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
    <w:p/>
    <w:p>
      <w:pPr>
        <w:jc w:val="center"/>
        <w:rPr>
          <w:b/>
          <w:sz w:val="36"/>
          <w:szCs w:val="36"/>
        </w:rPr>
      </w:pPr>
    </w:p>
    <w:p>
      <w:pPr>
        <w:jc w:val="center"/>
        <w:rPr>
          <w:b/>
          <w:sz w:val="52"/>
          <w:szCs w:val="52"/>
        </w:rPr>
      </w:pPr>
    </w:p>
    <w:p>
      <w:pPr>
        <w:jc w:val="center"/>
        <w:rPr>
          <w:b/>
          <w:sz w:val="52"/>
          <w:szCs w:val="52"/>
        </w:rPr>
      </w:pPr>
      <w:r>
        <w:rPr>
          <w:rFonts w:hint="eastAsia"/>
          <w:b/>
          <w:sz w:val="52"/>
          <w:szCs w:val="52"/>
        </w:rPr>
        <w:t>唐山糖业202</w:t>
      </w:r>
      <w:r>
        <w:rPr>
          <w:rFonts w:hint="eastAsia"/>
          <w:b/>
          <w:sz w:val="52"/>
          <w:szCs w:val="52"/>
          <w:lang w:val="en-US" w:eastAsia="zh-CN"/>
        </w:rPr>
        <w:t>4</w:t>
      </w:r>
      <w:r>
        <w:rPr>
          <w:rFonts w:hint="eastAsia"/>
          <w:b/>
          <w:sz w:val="52"/>
          <w:szCs w:val="52"/>
        </w:rPr>
        <w:t>年消防值守服务外包</w:t>
      </w:r>
    </w:p>
    <w:p>
      <w:pPr>
        <w:jc w:val="center"/>
        <w:rPr>
          <w:b/>
          <w:sz w:val="52"/>
          <w:szCs w:val="52"/>
          <w:u w:val="single"/>
        </w:rPr>
      </w:pPr>
      <w:r>
        <w:rPr>
          <w:rFonts w:hint="eastAsia"/>
          <w:b/>
          <w:sz w:val="52"/>
          <w:szCs w:val="52"/>
        </w:rPr>
        <w:t>项目谈判采购文件</w:t>
      </w:r>
    </w:p>
    <w:p>
      <w:pPr>
        <w:rPr>
          <w:sz w:val="36"/>
          <w:szCs w:val="36"/>
        </w:rPr>
      </w:pPr>
    </w:p>
    <w:p>
      <w:pPr>
        <w:rPr>
          <w:sz w:val="36"/>
          <w:szCs w:val="36"/>
        </w:rPr>
      </w:pPr>
    </w:p>
    <w:p/>
    <w:p/>
    <w:p/>
    <w:p/>
    <w:p/>
    <w:p/>
    <w:p/>
    <w:p/>
    <w:p/>
    <w:p/>
    <w:p/>
    <w:p/>
    <w:p/>
    <w:p/>
    <w:p/>
    <w:p/>
    <w:p>
      <w:pPr>
        <w:ind w:firstLine="1606" w:firstLineChars="500"/>
        <w:rPr>
          <w:rFonts w:asciiTheme="minorEastAsia" w:hAnsiTheme="minorEastAsia"/>
          <w:sz w:val="32"/>
          <w:szCs w:val="32"/>
          <w:u w:val="single"/>
        </w:rPr>
      </w:pPr>
      <w:r>
        <w:rPr>
          <w:rFonts w:hint="eastAsia" w:asciiTheme="minorEastAsia" w:hAnsiTheme="minorEastAsia"/>
          <w:b/>
          <w:sz w:val="32"/>
          <w:szCs w:val="32"/>
        </w:rPr>
        <w:t>招 标 人：</w:t>
      </w:r>
      <w:r>
        <w:rPr>
          <w:rFonts w:hint="eastAsia" w:asciiTheme="minorEastAsia" w:hAnsiTheme="minorEastAsia"/>
          <w:sz w:val="32"/>
          <w:szCs w:val="32"/>
          <w:u w:val="single"/>
        </w:rPr>
        <w:t>中粮（唐山）糖业有限公司</w:t>
      </w:r>
    </w:p>
    <w:p>
      <w:pPr>
        <w:ind w:firstLine="1606" w:firstLineChars="500"/>
        <w:rPr>
          <w:rFonts w:asciiTheme="minorEastAsia" w:hAnsiTheme="minorEastAsia"/>
          <w:sz w:val="32"/>
          <w:szCs w:val="32"/>
          <w:u w:val="single"/>
        </w:rPr>
      </w:pPr>
      <w:r>
        <w:rPr>
          <w:rFonts w:hint="eastAsia" w:asciiTheme="minorEastAsia" w:hAnsiTheme="minorEastAsia"/>
          <w:b/>
          <w:sz w:val="32"/>
          <w:szCs w:val="32"/>
        </w:rPr>
        <w:t>日    期：</w:t>
      </w:r>
      <w:r>
        <w:rPr>
          <w:rFonts w:asciiTheme="minorEastAsia" w:hAnsiTheme="minorEastAsia"/>
          <w:sz w:val="32"/>
          <w:szCs w:val="32"/>
          <w:u w:val="single"/>
        </w:rPr>
        <w:t>202</w:t>
      </w:r>
      <w:r>
        <w:rPr>
          <w:rFonts w:hint="eastAsia" w:asciiTheme="minorEastAsia" w:hAnsiTheme="minorEastAsia"/>
          <w:sz w:val="32"/>
          <w:szCs w:val="32"/>
          <w:u w:val="single"/>
          <w:lang w:val="en-US" w:eastAsia="zh-CN"/>
        </w:rPr>
        <w:t>4</w:t>
      </w:r>
      <w:r>
        <w:rPr>
          <w:rFonts w:hint="eastAsia" w:asciiTheme="minorEastAsia" w:hAnsiTheme="minorEastAsia"/>
          <w:sz w:val="32"/>
          <w:szCs w:val="32"/>
          <w:u w:val="single"/>
        </w:rPr>
        <w:t>年</w:t>
      </w:r>
      <w:r>
        <w:rPr>
          <w:rFonts w:hint="eastAsia" w:asciiTheme="minorEastAsia" w:hAnsiTheme="minorEastAsia"/>
          <w:sz w:val="32"/>
          <w:szCs w:val="32"/>
          <w:u w:val="single"/>
          <w:lang w:val="en-US" w:eastAsia="zh-CN"/>
        </w:rPr>
        <w:t xml:space="preserve">  </w:t>
      </w:r>
      <w:r>
        <w:rPr>
          <w:rFonts w:hint="eastAsia" w:asciiTheme="minorEastAsia" w:hAnsiTheme="minorEastAsia"/>
          <w:sz w:val="32"/>
          <w:szCs w:val="32"/>
          <w:u w:val="single"/>
        </w:rPr>
        <w:t>月</w:t>
      </w:r>
      <w:r>
        <w:rPr>
          <w:rFonts w:hint="eastAsia" w:asciiTheme="minorEastAsia" w:hAnsiTheme="minorEastAsia"/>
          <w:sz w:val="32"/>
          <w:szCs w:val="32"/>
          <w:u w:val="single"/>
          <w:lang w:val="en-US" w:eastAsia="zh-CN"/>
        </w:rPr>
        <w:t xml:space="preserve">  </w:t>
      </w:r>
      <w:r>
        <w:rPr>
          <w:rFonts w:hint="eastAsia" w:asciiTheme="minorEastAsia" w:hAnsiTheme="minorEastAsia"/>
          <w:sz w:val="32"/>
          <w:szCs w:val="32"/>
          <w:u w:val="single"/>
        </w:rPr>
        <w:t>日</w:t>
      </w:r>
    </w:p>
    <w:p>
      <w:pPr>
        <w:rPr>
          <w:sz w:val="32"/>
          <w:szCs w:val="32"/>
        </w:rPr>
      </w:pPr>
    </w:p>
    <w:p/>
    <w:p>
      <w:pPr>
        <w:sectPr>
          <w:pgSz w:w="11906" w:h="16838"/>
          <w:pgMar w:top="1440" w:right="1559" w:bottom="1440" w:left="1559" w:header="851" w:footer="992" w:gutter="0"/>
          <w:cols w:space="425" w:num="1"/>
          <w:docGrid w:type="lines" w:linePitch="312" w:charSpace="0"/>
        </w:sectPr>
      </w:pPr>
    </w:p>
    <w:p/>
    <w:p>
      <w:pPr>
        <w:jc w:val="center"/>
        <w:rPr>
          <w:rFonts w:ascii="方正小标宋简体" w:eastAsia="方正小标宋简体"/>
          <w:sz w:val="44"/>
          <w:szCs w:val="44"/>
        </w:rPr>
      </w:pPr>
      <w:r>
        <w:rPr>
          <w:rFonts w:hint="eastAsia" w:ascii="方正小标宋简体" w:eastAsia="方正小标宋简体"/>
          <w:sz w:val="44"/>
          <w:szCs w:val="44"/>
        </w:rPr>
        <w:t>目录</w:t>
      </w:r>
    </w:p>
    <w:p>
      <w:pPr>
        <w:jc w:val="center"/>
      </w:pPr>
    </w:p>
    <w:p>
      <w:pPr>
        <w:jc w:val="center"/>
      </w:pPr>
    </w:p>
    <w:p>
      <w:pPr>
        <w:rPr>
          <w:rFonts w:ascii="楷体_GB2312" w:eastAsia="楷体_GB2312"/>
          <w:bCs/>
          <w:sz w:val="28"/>
          <w:szCs w:val="28"/>
        </w:rPr>
      </w:pPr>
    </w:p>
    <w:p>
      <w:pPr>
        <w:pStyle w:val="28"/>
        <w:numPr>
          <w:ilvl w:val="0"/>
          <w:numId w:val="1"/>
        </w:numPr>
        <w:ind w:firstLineChars="0"/>
        <w:rPr>
          <w:rFonts w:ascii="楷体_GB2312" w:eastAsia="楷体_GB2312"/>
          <w:bCs/>
          <w:sz w:val="28"/>
          <w:szCs w:val="28"/>
        </w:rPr>
      </w:pPr>
      <w:r>
        <w:rPr>
          <w:rFonts w:hint="eastAsia" w:ascii="楷体_GB2312" w:eastAsia="楷体_GB2312"/>
          <w:bCs/>
          <w:sz w:val="28"/>
          <w:szCs w:val="28"/>
        </w:rPr>
        <w:t>谈判须知</w:t>
      </w:r>
      <w:r>
        <w:rPr>
          <w:rFonts w:ascii="楷体_GB2312" w:eastAsia="楷体_GB2312"/>
          <w:bCs/>
          <w:sz w:val="28"/>
          <w:szCs w:val="28"/>
        </w:rPr>
        <w:t>………………………………………………………………………</w:t>
      </w:r>
      <w:r>
        <w:rPr>
          <w:rFonts w:hint="eastAsia" w:ascii="楷体_GB2312" w:eastAsia="楷体_GB2312"/>
          <w:bCs/>
          <w:sz w:val="28"/>
          <w:szCs w:val="28"/>
        </w:rPr>
        <w:t>3</w:t>
      </w:r>
    </w:p>
    <w:p>
      <w:pPr>
        <w:pStyle w:val="28"/>
        <w:ind w:left="1260" w:firstLine="0" w:firstLineChars="0"/>
        <w:rPr>
          <w:rFonts w:ascii="楷体_GB2312" w:eastAsia="楷体_GB2312"/>
          <w:bCs/>
          <w:sz w:val="28"/>
          <w:szCs w:val="28"/>
        </w:rPr>
      </w:pPr>
    </w:p>
    <w:p>
      <w:pPr>
        <w:pStyle w:val="28"/>
        <w:numPr>
          <w:ilvl w:val="0"/>
          <w:numId w:val="1"/>
        </w:numPr>
        <w:ind w:firstLineChars="0"/>
        <w:rPr>
          <w:rFonts w:ascii="楷体_GB2312" w:eastAsia="楷体_GB2312"/>
          <w:bCs/>
          <w:sz w:val="28"/>
          <w:szCs w:val="28"/>
        </w:rPr>
      </w:pPr>
      <w:r>
        <w:rPr>
          <w:rFonts w:hint="eastAsia" w:ascii="楷体_GB2312" w:eastAsia="楷体_GB2312"/>
          <w:bCs/>
          <w:sz w:val="28"/>
          <w:szCs w:val="28"/>
        </w:rPr>
        <w:t>技术要求</w:t>
      </w:r>
      <w:r>
        <w:rPr>
          <w:rFonts w:ascii="楷体_GB2312" w:eastAsia="楷体_GB2312"/>
          <w:bCs/>
          <w:sz w:val="28"/>
          <w:szCs w:val="28"/>
        </w:rPr>
        <w:t>…………………………………………………………………….</w:t>
      </w:r>
      <w:r>
        <w:rPr>
          <w:rFonts w:hint="eastAsia" w:ascii="楷体_GB2312" w:eastAsia="楷体_GB2312"/>
          <w:bCs/>
          <w:sz w:val="28"/>
          <w:szCs w:val="28"/>
        </w:rPr>
        <w:t>7</w:t>
      </w:r>
    </w:p>
    <w:p>
      <w:pPr>
        <w:pStyle w:val="28"/>
        <w:ind w:left="1260" w:firstLine="0" w:firstLineChars="0"/>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第三章   合同条款</w:t>
      </w:r>
      <w:r>
        <w:rPr>
          <w:rFonts w:ascii="楷体_GB2312" w:eastAsia="楷体_GB2312"/>
          <w:bCs/>
          <w:sz w:val="28"/>
          <w:szCs w:val="28"/>
        </w:rPr>
        <w:t>……………………………………………………………………</w:t>
      </w:r>
      <w:r>
        <w:rPr>
          <w:rFonts w:hint="eastAsia" w:ascii="楷体_GB2312" w:eastAsia="楷体_GB2312"/>
          <w:bCs/>
          <w:sz w:val="28"/>
          <w:szCs w:val="28"/>
        </w:rPr>
        <w:t>.8</w:t>
      </w:r>
    </w:p>
    <w:p>
      <w:pPr>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第四章   评审方法</w:t>
      </w:r>
      <w:r>
        <w:rPr>
          <w:rFonts w:ascii="楷体_GB2312" w:eastAsia="楷体_GB2312"/>
          <w:bCs/>
          <w:sz w:val="28"/>
          <w:szCs w:val="28"/>
        </w:rPr>
        <w:t>………………………………………………………………………</w:t>
      </w:r>
      <w:r>
        <w:rPr>
          <w:rFonts w:hint="eastAsia" w:ascii="楷体_GB2312" w:eastAsia="楷体_GB2312"/>
          <w:bCs/>
          <w:sz w:val="28"/>
          <w:szCs w:val="28"/>
        </w:rPr>
        <w:t>14</w:t>
      </w:r>
    </w:p>
    <w:p>
      <w:pPr>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 xml:space="preserve">第五章 </w:t>
      </w:r>
      <w:r>
        <w:rPr>
          <w:rFonts w:ascii="楷体_GB2312" w:eastAsia="楷体_GB2312"/>
          <w:bCs/>
          <w:sz w:val="28"/>
          <w:szCs w:val="28"/>
        </w:rPr>
        <w:t xml:space="preserve">  </w:t>
      </w:r>
      <w:r>
        <w:rPr>
          <w:rFonts w:hint="eastAsia" w:ascii="楷体_GB2312" w:eastAsia="楷体_GB2312"/>
          <w:bCs/>
          <w:sz w:val="28"/>
          <w:szCs w:val="28"/>
        </w:rPr>
        <w:t>响应文件</w:t>
      </w:r>
      <w:r>
        <w:rPr>
          <w:rFonts w:ascii="楷体_GB2312" w:eastAsia="楷体_GB2312"/>
          <w:bCs/>
          <w:sz w:val="28"/>
          <w:szCs w:val="28"/>
        </w:rPr>
        <w:t>………………………………………………………………………</w:t>
      </w:r>
      <w:r>
        <w:rPr>
          <w:rFonts w:hint="eastAsia" w:ascii="楷体_GB2312" w:eastAsia="楷体_GB2312"/>
          <w:bCs/>
          <w:sz w:val="28"/>
          <w:szCs w:val="28"/>
        </w:rPr>
        <w:t>18</w:t>
      </w:r>
    </w:p>
    <w:p>
      <w:pPr>
        <w:rPr>
          <w:rFonts w:ascii="黑体" w:hAnsi="黑体" w:eastAsia="黑体"/>
          <w:bCs/>
          <w:sz w:val="36"/>
          <w:szCs w:val="28"/>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napToGrid w:val="0"/>
        <w:spacing w:line="580" w:lineRule="exact"/>
        <w:jc w:val="center"/>
        <w:rPr>
          <w:rFonts w:ascii="仿宋_GB2312" w:hAnsi="宋体" w:eastAsia="仿宋_GB2312" w:cs="仿宋_GB2312"/>
          <w:b/>
          <w:bCs/>
          <w:sz w:val="32"/>
          <w:szCs w:val="32"/>
        </w:rPr>
      </w:pPr>
    </w:p>
    <w:p>
      <w:pPr>
        <w:snapToGrid w:val="0"/>
        <w:spacing w:line="580" w:lineRule="exact"/>
        <w:jc w:val="center"/>
        <w:rPr>
          <w:rFonts w:ascii="仿宋_GB2312" w:hAnsi="宋体" w:eastAsia="仿宋_GB2312" w:cs="仿宋_GB2312"/>
          <w:b/>
          <w:bCs/>
          <w:sz w:val="32"/>
          <w:szCs w:val="32"/>
        </w:rPr>
      </w:pPr>
    </w:p>
    <w:p>
      <w:pPr>
        <w:snapToGrid w:val="0"/>
        <w:spacing w:line="580" w:lineRule="exact"/>
        <w:rPr>
          <w:rFonts w:ascii="仿宋_GB2312" w:hAnsi="宋体" w:eastAsia="仿宋_GB2312" w:cs="仿宋_GB2312"/>
          <w:b/>
          <w:bCs/>
          <w:sz w:val="32"/>
          <w:szCs w:val="32"/>
        </w:rPr>
      </w:pPr>
    </w:p>
    <w:p>
      <w:pPr>
        <w:pStyle w:val="2"/>
        <w:jc w:val="center"/>
        <w:rPr>
          <w:rFonts w:ascii="黑体" w:eastAsia="黑体"/>
          <w:bCs w:val="0"/>
          <w:sz w:val="36"/>
          <w:szCs w:val="36"/>
        </w:rPr>
        <w:sectPr>
          <w:footerReference r:id="rId4" w:type="first"/>
          <w:footerReference r:id="rId3" w:type="default"/>
          <w:pgSz w:w="11906" w:h="16838"/>
          <w:pgMar w:top="1418" w:right="1418" w:bottom="1418" w:left="1418" w:header="851" w:footer="743" w:gutter="0"/>
          <w:pgNumType w:start="1"/>
          <w:cols w:space="720" w:num="1"/>
          <w:titlePg/>
          <w:docGrid w:linePitch="286" w:charSpace="0"/>
        </w:sectPr>
      </w:pPr>
    </w:p>
    <w:p>
      <w:pPr>
        <w:pStyle w:val="2"/>
        <w:jc w:val="center"/>
        <w:rPr>
          <w:rFonts w:ascii="黑体" w:eastAsia="黑体"/>
          <w:sz w:val="36"/>
          <w:szCs w:val="36"/>
        </w:rPr>
      </w:pPr>
      <w:r>
        <w:rPr>
          <w:rFonts w:hint="eastAsia" w:ascii="黑体" w:eastAsia="黑体"/>
          <w:bCs w:val="0"/>
          <w:sz w:val="36"/>
          <w:szCs w:val="36"/>
        </w:rPr>
        <w:t>第一章</w:t>
      </w:r>
      <w:r>
        <w:rPr>
          <w:rFonts w:hint="eastAsia" w:ascii="黑体" w:eastAsia="黑体"/>
          <w:sz w:val="36"/>
          <w:szCs w:val="36"/>
        </w:rPr>
        <w:t>谈判须知</w:t>
      </w:r>
    </w:p>
    <w:p>
      <w:pPr>
        <w:rPr>
          <w:color w:val="FF0000"/>
        </w:rPr>
      </w:pPr>
      <w:r>
        <w:rPr>
          <w:rFonts w:hint="eastAsia"/>
          <w:color w:val="FF0000"/>
        </w:rPr>
        <w:t>（本谈判文件请投标单位认真阅读，任何遗漏或疏忽都有可能导致无效标书或废标）</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宋体"/>
                <w:szCs w:val="21"/>
              </w:rPr>
            </w:pPr>
            <w:r>
              <w:rPr>
                <w:rFonts w:hint="eastAsia" w:ascii="宋体" w:hAnsi="宋体" w:eastAsia="宋体" w:cs="宋体"/>
                <w:szCs w:val="21"/>
              </w:rPr>
              <w:t>序号</w:t>
            </w:r>
          </w:p>
        </w:tc>
        <w:tc>
          <w:tcPr>
            <w:tcW w:w="1418" w:type="dxa"/>
          </w:tcPr>
          <w:p>
            <w:pPr>
              <w:jc w:val="center"/>
              <w:rPr>
                <w:rFonts w:ascii="宋体" w:hAnsi="宋体" w:eastAsia="宋体" w:cs="宋体"/>
                <w:szCs w:val="21"/>
              </w:rPr>
            </w:pPr>
            <w:r>
              <w:rPr>
                <w:rFonts w:hint="eastAsia" w:ascii="宋体" w:hAnsi="宋体" w:eastAsia="宋体" w:cs="宋体"/>
                <w:szCs w:val="21"/>
              </w:rPr>
              <w:t>名称</w:t>
            </w:r>
          </w:p>
        </w:tc>
        <w:tc>
          <w:tcPr>
            <w:tcW w:w="7513" w:type="dxa"/>
          </w:tcPr>
          <w:p>
            <w:pPr>
              <w:jc w:val="center"/>
              <w:rPr>
                <w:rFonts w:ascii="宋体" w:hAnsi="宋体" w:eastAsia="宋体" w:cs="宋体"/>
                <w:szCs w:val="21"/>
              </w:rPr>
            </w:pPr>
            <w:r>
              <w:rPr>
                <w:rFonts w:hint="eastAsia" w:ascii="宋体" w:hAnsi="宋体" w:eastAsia="宋体" w:cs="宋体"/>
                <w:szCs w:val="21"/>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560" w:lineRule="exact"/>
              <w:jc w:val="left"/>
              <w:rPr>
                <w:rFonts w:asciiTheme="minorEastAsia" w:hAnsiTheme="minorEastAsia"/>
                <w:szCs w:val="21"/>
              </w:rPr>
            </w:pPr>
            <w:r>
              <w:rPr>
                <w:rFonts w:hint="eastAsia" w:asciiTheme="minorEastAsia" w:hAnsiTheme="minorEastAsia"/>
                <w:szCs w:val="21"/>
              </w:rPr>
              <w:t>1</w:t>
            </w:r>
          </w:p>
        </w:tc>
        <w:tc>
          <w:tcPr>
            <w:tcW w:w="1418" w:type="dxa"/>
          </w:tcPr>
          <w:p>
            <w:pPr>
              <w:spacing w:line="560" w:lineRule="exact"/>
              <w:jc w:val="left"/>
              <w:rPr>
                <w:rFonts w:asciiTheme="minorEastAsia" w:hAnsiTheme="minorEastAsia"/>
                <w:szCs w:val="21"/>
              </w:rPr>
            </w:pPr>
            <w:r>
              <w:rPr>
                <w:rFonts w:hint="eastAsia" w:asciiTheme="minorEastAsia" w:hAnsiTheme="minorEastAsia"/>
                <w:szCs w:val="21"/>
              </w:rPr>
              <w:t>项目名称</w:t>
            </w:r>
          </w:p>
        </w:tc>
        <w:tc>
          <w:tcPr>
            <w:tcW w:w="7513" w:type="dxa"/>
          </w:tcPr>
          <w:p>
            <w:pPr>
              <w:spacing w:line="560" w:lineRule="exact"/>
              <w:jc w:val="left"/>
              <w:rPr>
                <w:rFonts w:ascii="宋体" w:hAnsi="宋体" w:eastAsia="宋体" w:cs="宋体"/>
                <w:szCs w:val="21"/>
              </w:rPr>
            </w:pPr>
            <w:r>
              <w:rPr>
                <w:rFonts w:hint="eastAsia" w:ascii="宋体" w:hAnsi="宋体" w:eastAsia="宋体" w:cs="宋体"/>
                <w:szCs w:val="21"/>
              </w:rPr>
              <w:t>唐山糖业202</w:t>
            </w:r>
            <w:r>
              <w:rPr>
                <w:rFonts w:hint="eastAsia" w:ascii="宋体" w:hAnsi="宋体" w:eastAsia="宋体" w:cs="宋体"/>
                <w:szCs w:val="21"/>
                <w:lang w:val="en-US" w:eastAsia="zh-CN"/>
              </w:rPr>
              <w:t>4</w:t>
            </w:r>
            <w:r>
              <w:rPr>
                <w:rFonts w:hint="eastAsia" w:ascii="宋体" w:hAnsi="宋体" w:eastAsia="宋体" w:cs="宋体"/>
                <w:szCs w:val="21"/>
              </w:rPr>
              <w:t>年消防值守服务外包谈判采购项目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560" w:lineRule="exact"/>
              <w:jc w:val="left"/>
              <w:rPr>
                <w:rFonts w:asciiTheme="minorEastAsia" w:hAnsiTheme="minorEastAsia"/>
                <w:szCs w:val="21"/>
              </w:rPr>
            </w:pPr>
            <w:r>
              <w:rPr>
                <w:rFonts w:hint="eastAsia" w:asciiTheme="minorEastAsia" w:hAnsiTheme="minorEastAsia"/>
                <w:szCs w:val="21"/>
              </w:rPr>
              <w:t>2</w:t>
            </w:r>
          </w:p>
        </w:tc>
        <w:tc>
          <w:tcPr>
            <w:tcW w:w="1418" w:type="dxa"/>
          </w:tcPr>
          <w:p>
            <w:pPr>
              <w:spacing w:line="560" w:lineRule="exact"/>
              <w:jc w:val="left"/>
              <w:rPr>
                <w:rFonts w:asciiTheme="minorEastAsia" w:hAnsiTheme="minorEastAsia"/>
                <w:szCs w:val="21"/>
              </w:rPr>
            </w:pPr>
            <w:r>
              <w:rPr>
                <w:rFonts w:hint="eastAsia" w:asciiTheme="minorEastAsia" w:hAnsiTheme="minorEastAsia"/>
                <w:szCs w:val="21"/>
              </w:rPr>
              <w:t>适用范围</w:t>
            </w:r>
          </w:p>
        </w:tc>
        <w:tc>
          <w:tcPr>
            <w:tcW w:w="7513" w:type="dxa"/>
          </w:tcPr>
          <w:p>
            <w:pPr>
              <w:spacing w:line="560" w:lineRule="exact"/>
              <w:jc w:val="left"/>
              <w:rPr>
                <w:rFonts w:ascii="宋体" w:hAnsi="宋体" w:eastAsia="宋体" w:cs="宋体"/>
                <w:szCs w:val="21"/>
              </w:rPr>
            </w:pPr>
            <w:r>
              <w:rPr>
                <w:rFonts w:hint="eastAsia" w:ascii="宋体" w:hAnsi="宋体" w:eastAsia="宋体" w:cs="宋体"/>
                <w:bCs/>
                <w:szCs w:val="21"/>
              </w:rPr>
              <w:t>本招标文件仅适用于中粮（唐山）糖业有限公司组织的采购活动。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560" w:lineRule="exact"/>
              <w:jc w:val="left"/>
              <w:rPr>
                <w:rFonts w:asciiTheme="minorEastAsia" w:hAnsiTheme="minorEastAsia"/>
                <w:szCs w:val="21"/>
              </w:rPr>
            </w:pPr>
            <w:r>
              <w:rPr>
                <w:rFonts w:hint="eastAsia" w:asciiTheme="minorEastAsia" w:hAnsiTheme="minorEastAsia"/>
                <w:szCs w:val="21"/>
              </w:rPr>
              <w:t>3</w:t>
            </w:r>
          </w:p>
        </w:tc>
        <w:tc>
          <w:tcPr>
            <w:tcW w:w="1418" w:type="dxa"/>
          </w:tcPr>
          <w:p>
            <w:pPr>
              <w:spacing w:line="560" w:lineRule="exact"/>
              <w:jc w:val="left"/>
              <w:rPr>
                <w:rFonts w:asciiTheme="minorEastAsia" w:hAnsiTheme="minorEastAsia"/>
                <w:szCs w:val="21"/>
              </w:rPr>
            </w:pPr>
            <w:r>
              <w:rPr>
                <w:rFonts w:hint="eastAsia" w:asciiTheme="minorEastAsia" w:hAnsiTheme="minorEastAsia"/>
                <w:szCs w:val="21"/>
              </w:rPr>
              <w:t>定义</w:t>
            </w:r>
          </w:p>
        </w:tc>
        <w:tc>
          <w:tcPr>
            <w:tcW w:w="7513" w:type="dxa"/>
          </w:tcPr>
          <w:p>
            <w:pPr>
              <w:snapToGrid w:val="0"/>
              <w:spacing w:line="360" w:lineRule="auto"/>
              <w:rPr>
                <w:rFonts w:ascii="宋体" w:hAnsi="宋体" w:eastAsia="宋体" w:cs="宋体"/>
                <w:bCs/>
                <w:szCs w:val="21"/>
              </w:rPr>
            </w:pPr>
            <w:r>
              <w:rPr>
                <w:rFonts w:hint="eastAsia" w:ascii="宋体" w:hAnsi="宋体" w:eastAsia="宋体" w:cs="宋体"/>
                <w:bCs/>
                <w:szCs w:val="21"/>
              </w:rPr>
              <w:t>本招标文件使用的下列词语定义如下：</w:t>
            </w:r>
          </w:p>
          <w:p>
            <w:pPr>
              <w:snapToGrid w:val="0"/>
              <w:spacing w:line="360" w:lineRule="auto"/>
              <w:rPr>
                <w:rFonts w:ascii="宋体" w:hAnsi="宋体" w:eastAsia="宋体" w:cs="宋体"/>
                <w:bCs/>
                <w:szCs w:val="21"/>
              </w:rPr>
            </w:pPr>
            <w:r>
              <w:rPr>
                <w:rFonts w:hint="eastAsia" w:ascii="宋体" w:hAnsi="宋体" w:eastAsia="宋体" w:cs="宋体"/>
                <w:bCs/>
                <w:szCs w:val="21"/>
              </w:rPr>
              <w:t>（1）“招标人”均指中粮（唐山）糖业有限公司；</w:t>
            </w:r>
          </w:p>
          <w:p>
            <w:pPr>
              <w:snapToGrid w:val="0"/>
              <w:spacing w:line="360" w:lineRule="auto"/>
              <w:rPr>
                <w:rFonts w:ascii="宋体" w:hAnsi="宋体" w:eastAsia="宋体" w:cs="宋体"/>
                <w:bCs/>
                <w:szCs w:val="21"/>
              </w:rPr>
            </w:pPr>
            <w:r>
              <w:rPr>
                <w:rFonts w:hint="eastAsia" w:ascii="宋体" w:hAnsi="宋体" w:eastAsia="宋体" w:cs="宋体"/>
                <w:bCs/>
                <w:szCs w:val="21"/>
              </w:rPr>
              <w:t>（2）“投标人”指向中粮（唐山）糖业有限公司提交投标文件；</w:t>
            </w:r>
          </w:p>
          <w:p>
            <w:pPr>
              <w:snapToGrid w:val="0"/>
              <w:spacing w:line="360" w:lineRule="auto"/>
              <w:rPr>
                <w:rFonts w:ascii="宋体" w:hAnsi="宋体" w:eastAsia="宋体" w:cs="宋体"/>
                <w:bCs/>
                <w:szCs w:val="21"/>
              </w:rPr>
            </w:pPr>
            <w:r>
              <w:rPr>
                <w:rFonts w:hint="eastAsia" w:ascii="宋体" w:hAnsi="宋体" w:eastAsia="宋体" w:cs="宋体"/>
                <w:bCs/>
                <w:szCs w:val="21"/>
              </w:rPr>
              <w:t>（3）“招标文件”指中粮（唐山）糖业有限公司发出的本文件，包括附件；</w:t>
            </w:r>
          </w:p>
          <w:p>
            <w:pPr>
              <w:snapToGrid w:val="0"/>
              <w:spacing w:line="360" w:lineRule="auto"/>
              <w:rPr>
                <w:rFonts w:ascii="宋体" w:hAnsi="宋体" w:eastAsia="宋体" w:cs="宋体"/>
                <w:szCs w:val="21"/>
              </w:rPr>
            </w:pPr>
            <w:r>
              <w:rPr>
                <w:rFonts w:hint="eastAsia" w:ascii="宋体" w:hAnsi="宋体" w:eastAsia="宋体" w:cs="宋体"/>
                <w:bCs/>
                <w:szCs w:val="21"/>
              </w:rPr>
              <w:t>（4）“投标文件”指投标人根据本招标文件向中粮（唐山）糖业有限公司交的全部文件.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4</w:t>
            </w:r>
          </w:p>
        </w:tc>
        <w:tc>
          <w:tcPr>
            <w:tcW w:w="1418" w:type="dxa"/>
          </w:tcPr>
          <w:p>
            <w:pPr>
              <w:jc w:val="left"/>
              <w:rPr>
                <w:rFonts w:asciiTheme="minorEastAsia" w:hAnsiTheme="minorEastAsia"/>
                <w:szCs w:val="21"/>
              </w:rPr>
            </w:pPr>
            <w:r>
              <w:rPr>
                <w:rFonts w:hint="eastAsia" w:cs="仿宋_GB2312" w:asciiTheme="minorEastAsia" w:hAnsiTheme="minorEastAsia"/>
                <w:szCs w:val="21"/>
              </w:rPr>
              <w:t>项目地点</w:t>
            </w:r>
          </w:p>
        </w:tc>
        <w:tc>
          <w:tcPr>
            <w:tcW w:w="7513" w:type="dxa"/>
          </w:tcPr>
          <w:p>
            <w:pPr>
              <w:jc w:val="left"/>
              <w:rPr>
                <w:rFonts w:ascii="宋体" w:hAnsi="宋体" w:eastAsia="宋体" w:cs="宋体"/>
                <w:szCs w:val="21"/>
              </w:rPr>
            </w:pPr>
            <w:r>
              <w:rPr>
                <w:rFonts w:hint="eastAsia" w:ascii="宋体" w:hAnsi="宋体" w:eastAsia="宋体" w:cs="宋体"/>
                <w:szCs w:val="21"/>
              </w:rPr>
              <w:t>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5</w:t>
            </w:r>
          </w:p>
        </w:tc>
        <w:tc>
          <w:tcPr>
            <w:tcW w:w="1418" w:type="dxa"/>
          </w:tcPr>
          <w:p>
            <w:pPr>
              <w:jc w:val="left"/>
              <w:rPr>
                <w:rFonts w:asciiTheme="minorEastAsia" w:hAnsiTheme="minorEastAsia"/>
                <w:szCs w:val="21"/>
              </w:rPr>
            </w:pPr>
            <w:r>
              <w:rPr>
                <w:rFonts w:hint="eastAsia" w:cs="仿宋_GB2312" w:asciiTheme="minorEastAsia" w:hAnsiTheme="minorEastAsia"/>
                <w:szCs w:val="21"/>
              </w:rPr>
              <w:t>项目施工/服务区域</w:t>
            </w:r>
          </w:p>
        </w:tc>
        <w:tc>
          <w:tcPr>
            <w:tcW w:w="7513" w:type="dxa"/>
          </w:tcPr>
          <w:p>
            <w:pPr>
              <w:jc w:val="left"/>
              <w:rPr>
                <w:rFonts w:ascii="宋体" w:hAnsi="宋体" w:eastAsia="宋体" w:cs="宋体"/>
                <w:szCs w:val="21"/>
              </w:rPr>
            </w:pPr>
            <w:r>
              <w:rPr>
                <w:rFonts w:hint="eastAsia" w:ascii="宋体" w:hAnsi="宋体" w:eastAsia="宋体" w:cs="宋体"/>
                <w:szCs w:val="21"/>
              </w:rPr>
              <w:t>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6</w:t>
            </w:r>
          </w:p>
        </w:tc>
        <w:tc>
          <w:tcPr>
            <w:tcW w:w="1418" w:type="dxa"/>
          </w:tcPr>
          <w:p>
            <w:pPr>
              <w:jc w:val="left"/>
              <w:rPr>
                <w:rFonts w:asciiTheme="minorEastAsia" w:hAnsiTheme="minorEastAsia"/>
                <w:szCs w:val="21"/>
              </w:rPr>
            </w:pPr>
            <w:r>
              <w:rPr>
                <w:rFonts w:hint="eastAsia" w:cs="仿宋_GB2312" w:asciiTheme="minorEastAsia" w:hAnsiTheme="minorEastAsia"/>
                <w:szCs w:val="21"/>
              </w:rPr>
              <w:t>项目控制价</w:t>
            </w:r>
          </w:p>
        </w:tc>
        <w:tc>
          <w:tcPr>
            <w:tcW w:w="7513" w:type="dxa"/>
          </w:tcPr>
          <w:p>
            <w:pPr>
              <w:jc w:val="left"/>
              <w:rPr>
                <w:rFonts w:ascii="宋体" w:hAnsi="宋体" w:eastAsia="宋体" w:cs="宋体"/>
                <w:szCs w:val="21"/>
              </w:rPr>
            </w:pPr>
            <w:r>
              <w:rPr>
                <w:rFonts w:hint="eastAsia" w:ascii="宋体" w:hAnsi="宋体" w:eastAsia="宋体" w:cs="宋体"/>
                <w:color w:val="FF0000"/>
                <w:szCs w:val="21"/>
                <w:lang w:val="en-US" w:eastAsia="zh-CN"/>
              </w:rPr>
              <w:t>72</w:t>
            </w:r>
            <w:r>
              <w:rPr>
                <w:rFonts w:hint="eastAsia" w:ascii="宋体" w:hAnsi="宋体" w:eastAsia="宋体" w:cs="宋体"/>
                <w:color w:val="FF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7</w:t>
            </w:r>
          </w:p>
        </w:tc>
        <w:tc>
          <w:tcPr>
            <w:tcW w:w="1418" w:type="dxa"/>
          </w:tcPr>
          <w:p>
            <w:pPr>
              <w:jc w:val="left"/>
              <w:rPr>
                <w:rFonts w:asciiTheme="minorEastAsia" w:hAnsiTheme="minorEastAsia"/>
                <w:szCs w:val="21"/>
              </w:rPr>
            </w:pPr>
            <w:r>
              <w:rPr>
                <w:rFonts w:hint="eastAsia" w:asciiTheme="minorEastAsia" w:hAnsiTheme="minorEastAsia"/>
                <w:szCs w:val="21"/>
              </w:rPr>
              <w:t>项目/服务内容</w:t>
            </w:r>
          </w:p>
        </w:tc>
        <w:tc>
          <w:tcPr>
            <w:tcW w:w="7513" w:type="dxa"/>
          </w:tcPr>
          <w:p>
            <w:pPr>
              <w:spacing w:line="360" w:lineRule="auto"/>
              <w:jc w:val="left"/>
              <w:rPr>
                <w:rFonts w:ascii="宋体" w:hAnsi="宋体" w:eastAsia="宋体" w:cs="宋体"/>
                <w:szCs w:val="21"/>
              </w:rPr>
            </w:pPr>
            <w:r>
              <w:rPr>
                <w:rFonts w:hint="eastAsia" w:ascii="宋体" w:hAnsi="宋体" w:eastAsia="宋体" w:cs="宋体"/>
                <w:szCs w:val="21"/>
              </w:rPr>
              <w:t>1.消防值守人员负责发包人消防控制室内的消防安全设备检查、操作；设备设施的运行记录；消防控制室值班记录；日常消防设施的巡查并如实填写巡查记录；火警、故障、反馈等信息的记录并协调消防维保填写消防设施故障维修记录，按照相关要求及时处理。</w:t>
            </w:r>
          </w:p>
          <w:p>
            <w:pPr>
              <w:spacing w:line="360" w:lineRule="auto"/>
              <w:jc w:val="left"/>
              <w:rPr>
                <w:rFonts w:hint="eastAsia" w:ascii="宋体" w:hAnsi="宋体" w:eastAsia="宋体" w:cs="宋体"/>
                <w:szCs w:val="21"/>
              </w:rPr>
            </w:pPr>
            <w:r>
              <w:rPr>
                <w:rFonts w:hint="eastAsia" w:ascii="宋体" w:hAnsi="宋体" w:eastAsia="宋体" w:cs="宋体"/>
                <w:szCs w:val="21"/>
              </w:rPr>
              <w:t>2.值守人员应整理消防控制室相关资料，必须熟悉相关消防知识、甲方设备操作；对巡查、检查过程中发现的问题和隐患及时报告甲方，并提出合理建议；配合维保公司做好维护保养工作；在上级检查中能够清晰讲解消防控制设备的性能、各项操作功能及熟悉公司现场消防水系统、电系统；在检查和发生火情时能够及时、妥善处置。</w:t>
            </w:r>
          </w:p>
          <w:p>
            <w:pPr>
              <w:spacing w:line="360" w:lineRule="auto"/>
              <w:jc w:val="left"/>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3.消防控制室，值守人员须保证消防控制室365天*24小时不空岗、不缺岗，每班不低于2人，连续工作时长不超12小时/班，节假日值守人员的津贴、补贴等由乙方承担。</w:t>
            </w:r>
          </w:p>
          <w:p>
            <w:pPr>
              <w:spacing w:line="360" w:lineRule="auto"/>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.完成公司交办的其他事项。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hint="eastAsia" w:asciiTheme="minorEastAsia" w:hAnsiTheme="minorEastAsia"/>
                <w:szCs w:val="21"/>
              </w:rPr>
              <w:t>8</w:t>
            </w:r>
          </w:p>
        </w:tc>
        <w:tc>
          <w:tcPr>
            <w:tcW w:w="1418" w:type="dxa"/>
          </w:tcPr>
          <w:p>
            <w:pPr>
              <w:jc w:val="left"/>
              <w:rPr>
                <w:rFonts w:asciiTheme="minorEastAsia" w:hAnsiTheme="minorEastAsia"/>
                <w:szCs w:val="21"/>
              </w:rPr>
            </w:pPr>
            <w:r>
              <w:rPr>
                <w:rFonts w:hint="eastAsia" w:cs="仿宋_GB2312" w:asciiTheme="minorEastAsia" w:hAnsiTheme="minorEastAsia"/>
                <w:szCs w:val="21"/>
              </w:rPr>
              <w:t>项目服务</w:t>
            </w:r>
            <w:r>
              <w:rPr>
                <w:rFonts w:hint="eastAsia" w:asciiTheme="minorEastAsia" w:hAnsiTheme="minorEastAsia"/>
                <w:szCs w:val="21"/>
              </w:rPr>
              <w:t>期限</w:t>
            </w:r>
          </w:p>
        </w:tc>
        <w:tc>
          <w:tcPr>
            <w:tcW w:w="7513" w:type="dxa"/>
          </w:tcPr>
          <w:p>
            <w:pPr>
              <w:spacing w:line="360" w:lineRule="auto"/>
              <w:jc w:val="left"/>
              <w:rPr>
                <w:rFonts w:ascii="宋体" w:hAnsi="宋体" w:eastAsia="宋体" w:cs="宋体"/>
                <w:szCs w:val="21"/>
              </w:rPr>
            </w:pPr>
            <w:r>
              <w:rPr>
                <w:rFonts w:hint="eastAsia" w:ascii="宋体" w:hAnsi="宋体" w:eastAsia="宋体" w:cs="宋体"/>
                <w:b/>
                <w:bCs/>
                <w:color w:val="FF0000"/>
                <w:szCs w:val="21"/>
                <w:lang w:val="en-US" w:eastAsia="zh-CN"/>
              </w:rPr>
              <w:t>12</w:t>
            </w:r>
            <w:r>
              <w:rPr>
                <w:rFonts w:hint="eastAsia" w:ascii="宋体" w:hAnsi="宋体" w:eastAsia="宋体" w:cs="宋体"/>
                <w:b/>
                <w:bCs/>
                <w:color w:val="FF0000"/>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9</w:t>
            </w:r>
          </w:p>
        </w:tc>
        <w:tc>
          <w:tcPr>
            <w:tcW w:w="1418" w:type="dxa"/>
          </w:tcPr>
          <w:p>
            <w:pPr>
              <w:jc w:val="left"/>
              <w:rPr>
                <w:rFonts w:asciiTheme="minorEastAsia" w:hAnsiTheme="minorEastAsia"/>
                <w:szCs w:val="21"/>
              </w:rPr>
            </w:pPr>
            <w:r>
              <w:rPr>
                <w:rFonts w:hint="eastAsia" w:asciiTheme="minorEastAsia" w:hAnsiTheme="minorEastAsia"/>
                <w:szCs w:val="21"/>
              </w:rPr>
              <w:t>采购方式</w:t>
            </w:r>
          </w:p>
        </w:tc>
        <w:tc>
          <w:tcPr>
            <w:tcW w:w="7513" w:type="dxa"/>
          </w:tcPr>
          <w:p>
            <w:pPr>
              <w:jc w:val="left"/>
              <w:rPr>
                <w:rFonts w:ascii="宋体" w:hAnsi="宋体" w:eastAsia="宋体" w:cs="宋体"/>
                <w:szCs w:val="21"/>
              </w:rPr>
            </w:pPr>
            <w:r>
              <w:rPr>
                <w:rFonts w:hint="eastAsia" w:ascii="宋体" w:hAnsi="宋体" w:eastAsia="宋体" w:cs="宋体"/>
                <w:szCs w:val="21"/>
              </w:rPr>
              <w:t>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10</w:t>
            </w:r>
          </w:p>
        </w:tc>
        <w:tc>
          <w:tcPr>
            <w:tcW w:w="1418" w:type="dxa"/>
          </w:tcPr>
          <w:p>
            <w:pPr>
              <w:jc w:val="left"/>
              <w:rPr>
                <w:rFonts w:asciiTheme="minorEastAsia" w:hAnsiTheme="minorEastAsia"/>
                <w:szCs w:val="21"/>
              </w:rPr>
            </w:pPr>
            <w:r>
              <w:rPr>
                <w:rFonts w:hint="eastAsia" w:cs="仿宋_GB2312" w:asciiTheme="minorEastAsia" w:hAnsiTheme="minorEastAsia"/>
                <w:bCs/>
                <w:szCs w:val="21"/>
              </w:rPr>
              <w:t>合格意向投标人的资格条件</w:t>
            </w:r>
          </w:p>
        </w:tc>
        <w:tc>
          <w:tcPr>
            <w:tcW w:w="7513" w:type="dxa"/>
          </w:tcPr>
          <w:p>
            <w:pPr>
              <w:widowControl/>
              <w:snapToGrid w:val="0"/>
              <w:spacing w:line="360" w:lineRule="auto"/>
              <w:rPr>
                <w:rFonts w:ascii="宋体" w:hAnsi="宋体" w:eastAsia="宋体" w:cs="宋体"/>
                <w:bCs/>
                <w:szCs w:val="21"/>
              </w:rPr>
            </w:pPr>
            <w:r>
              <w:rPr>
                <w:rFonts w:hint="eastAsia" w:ascii="宋体" w:hAnsi="宋体" w:eastAsia="宋体" w:cs="宋体"/>
                <w:bCs/>
                <w:szCs w:val="21"/>
              </w:rPr>
              <w:t>（1）投标人必须是中华人民共和国境内合法注册的独立法人机构；</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（2）具备有效的“营业执照、税务登记证及组织机构代码证”或具备：“统一社会信用代码证”的营业执照；</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（3）提供法定代表人证明书和法定代表人授权委托证明书；</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（4）参加招投标活动前三年内在经营活动中没有重大违法记录；</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（5）单位负责人为同一人或者存在直接控股、管理关系的不同投标人，不得参加同一合同项下的投标活动；</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（6）在“信用中国”网站（www.creditchina.gov.cn）中被列入失信被执行人、重大税收违法案件当事人名单、政府采购严重违法失信行为记录名单的投标人，不得参加本次招标活动；</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（7）应自觉抵制采购领域商业贿赂行为；</w:t>
            </w:r>
          </w:p>
          <w:p>
            <w:pPr>
              <w:widowControl/>
              <w:snapToGrid w:val="0"/>
              <w:spacing w:line="360" w:lineRule="auto"/>
              <w:rPr>
                <w:rFonts w:ascii="宋体" w:hAnsi="宋体" w:eastAsia="宋体" w:cs="宋体"/>
                <w:bCs/>
                <w:szCs w:val="21"/>
              </w:rPr>
            </w:pPr>
            <w:r>
              <w:rPr>
                <w:rFonts w:hint="eastAsia" w:ascii="宋体" w:hAnsi="宋体" w:eastAsia="宋体" w:cs="宋体"/>
                <w:bCs/>
                <w:szCs w:val="21"/>
              </w:rPr>
              <w:t>（8）本项目不允许联合体竞争性谈判响应；</w:t>
            </w:r>
          </w:p>
          <w:p>
            <w:pPr>
              <w:widowControl/>
              <w:snapToGrid w:val="0"/>
              <w:spacing w:line="360" w:lineRule="auto"/>
              <w:rPr>
                <w:rFonts w:ascii="宋体" w:hAnsi="宋体" w:eastAsia="宋体" w:cs="宋体"/>
                <w:bCs/>
                <w:color w:val="00B0F0"/>
                <w:szCs w:val="21"/>
              </w:rPr>
            </w:pPr>
            <w:r>
              <w:rPr>
                <w:rFonts w:hint="eastAsia" w:ascii="宋体" w:hAnsi="宋体" w:eastAsia="宋体" w:cs="宋体"/>
                <w:bCs/>
                <w:szCs w:val="21"/>
              </w:rPr>
              <w:t>（9）中粮糖业黑名单内的供应商不得投标。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675" w:type="dxa"/>
          </w:tcPr>
          <w:p>
            <w:pPr>
              <w:jc w:val="left"/>
              <w:rPr>
                <w:rFonts w:asciiTheme="minorEastAsia" w:hAnsiTheme="minorEastAsia"/>
                <w:szCs w:val="21"/>
              </w:rPr>
            </w:pPr>
            <w:r>
              <w:rPr>
                <w:rFonts w:asciiTheme="minorEastAsia" w:hAnsiTheme="minorEastAsia"/>
                <w:szCs w:val="21"/>
              </w:rPr>
              <w:t>11</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投标人注册</w:t>
            </w:r>
          </w:p>
        </w:tc>
        <w:tc>
          <w:tcPr>
            <w:tcW w:w="7513" w:type="dxa"/>
          </w:tcPr>
          <w:p>
            <w:pPr>
              <w:snapToGrid w:val="0"/>
              <w:spacing w:line="360" w:lineRule="auto"/>
              <w:rPr>
                <w:rFonts w:ascii="宋体" w:hAnsi="宋体" w:eastAsia="宋体" w:cs="宋体"/>
                <w:szCs w:val="21"/>
              </w:rPr>
            </w:pPr>
            <w:r>
              <w:rPr>
                <w:rFonts w:hint="eastAsia" w:ascii="宋体" w:hAnsi="宋体" w:eastAsia="宋体" w:cs="宋体"/>
                <w:szCs w:val="21"/>
              </w:rPr>
              <w:t>意向投标人须在中粮糖业采购平台进行注册登记，通过审核的才能够在EPS系统内报名，进行查看公告等业务操作；</w:t>
            </w:r>
          </w:p>
          <w:p>
            <w:pPr>
              <w:snapToGrid w:val="0"/>
              <w:spacing w:line="360" w:lineRule="auto"/>
              <w:rPr>
                <w:rFonts w:ascii="宋体" w:hAnsi="宋体" w:eastAsia="宋体" w:cs="宋体"/>
                <w:szCs w:val="21"/>
              </w:rPr>
            </w:pPr>
            <w:r>
              <w:rPr>
                <w:rFonts w:hint="eastAsia" w:ascii="宋体" w:hAnsi="宋体" w:eastAsia="宋体" w:cs="宋体"/>
                <w:szCs w:val="21"/>
              </w:rPr>
              <w:t>采购平台网址：</w:t>
            </w:r>
            <w:r>
              <w:fldChar w:fldCharType="begin"/>
            </w:r>
            <w:r>
              <w:instrText xml:space="preserve"> HYPERLINK "https://eps.cofcotunhe.com" </w:instrText>
            </w:r>
            <w:r>
              <w:fldChar w:fldCharType="separate"/>
            </w:r>
            <w:r>
              <w:rPr>
                <w:rStyle w:val="25"/>
                <w:rFonts w:hint="eastAsia" w:ascii="宋体" w:hAnsi="宋体" w:eastAsia="宋体" w:cs="宋体"/>
                <w:szCs w:val="21"/>
              </w:rPr>
              <w:t>https://eps.cofcotunhe.com</w:t>
            </w:r>
            <w:r>
              <w:rPr>
                <w:rStyle w:val="25"/>
                <w:rFonts w:hint="eastAsia" w:ascii="宋体" w:hAnsi="宋体" w:eastAsia="宋体" w:cs="宋体"/>
                <w:szCs w:val="21"/>
              </w:rPr>
              <w:fldChar w:fldCharType="end"/>
            </w:r>
            <w:r>
              <w:rPr>
                <w:rFonts w:hint="eastAsia" w:ascii="宋体" w:hAnsi="宋体" w:eastAsia="宋体" w:cs="宋体"/>
                <w:szCs w:val="21"/>
              </w:rPr>
              <w:t>。</w:t>
            </w:r>
          </w:p>
          <w:p>
            <w:pPr>
              <w:snapToGrid w:val="0"/>
              <w:spacing w:line="360" w:lineRule="auto"/>
              <w:rPr>
                <w:rFonts w:ascii="宋体" w:hAnsi="宋体" w:eastAsia="宋体" w:cs="宋体"/>
                <w:szCs w:val="21"/>
              </w:rPr>
            </w:pPr>
            <w:r>
              <w:rPr>
                <w:rFonts w:hint="eastAsia" w:ascii="宋体" w:hAnsi="宋体" w:eastAsia="宋体" w:cs="宋体"/>
                <w:szCs w:val="21"/>
              </w:rPr>
              <w:t xml:space="preserve">已注册的意向投标人在EPS系统内自行更新资料，补充不足部分，更新已过期资质，重新提交审核，资质审核不通过的不得参与报价； </w:t>
            </w:r>
          </w:p>
          <w:p>
            <w:pPr>
              <w:snapToGrid w:val="0"/>
              <w:spacing w:line="360" w:lineRule="auto"/>
              <w:rPr>
                <w:rFonts w:ascii="宋体" w:hAnsi="宋体" w:eastAsia="宋体" w:cs="宋体"/>
                <w:szCs w:val="21"/>
              </w:rPr>
            </w:pPr>
            <w:r>
              <w:rPr>
                <w:rFonts w:hint="eastAsia" w:ascii="宋体" w:hAnsi="宋体" w:eastAsia="宋体" w:cs="宋体"/>
                <w:szCs w:val="21"/>
              </w:rPr>
              <w:t>请参与本次报价的意向投标人注册填报采购组织时，选择：唐山糖业工厂。</w:t>
            </w:r>
          </w:p>
          <w:p>
            <w:pPr>
              <w:snapToGrid w:val="0"/>
              <w:spacing w:line="360" w:lineRule="auto"/>
              <w:rPr>
                <w:rFonts w:ascii="宋体" w:hAnsi="宋体" w:eastAsia="宋体" w:cs="宋体"/>
                <w:szCs w:val="21"/>
              </w:rPr>
            </w:pPr>
            <w:r>
              <w:rPr>
                <w:rFonts w:hint="eastAsia" w:ascii="宋体" w:hAnsi="宋体" w:eastAsia="宋体" w:cs="宋体"/>
                <w:szCs w:val="21"/>
              </w:rPr>
              <w:t>系统固定注册资料需有：营业执照、组织机构代码证、税务登记证、开户许可证、纳税人资格证、法人代表授权委托书、质量承诺书、廉洁承诺书。</w:t>
            </w:r>
          </w:p>
          <w:p>
            <w:pPr>
              <w:snapToGrid w:val="0"/>
              <w:spacing w:line="360" w:lineRule="auto"/>
              <w:rPr>
                <w:rFonts w:ascii="宋体" w:hAnsi="宋体" w:eastAsia="宋体" w:cs="宋体"/>
                <w:color w:val="00B0F0"/>
                <w:szCs w:val="21"/>
              </w:rPr>
            </w:pPr>
            <w:r>
              <w:rPr>
                <w:rFonts w:hint="eastAsia" w:ascii="宋体" w:hAnsi="宋体" w:eastAsia="宋体" w:cs="宋体"/>
                <w:b/>
                <w:bCs/>
                <w:szCs w:val="21"/>
              </w:rPr>
              <w:t>除以上固定注册资料，供应商营业执照应具备建筑消防设施检测或维护、消防设施维修等经营资格。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1418" w:type="dxa"/>
            <w:vAlign w:val="center"/>
          </w:tcPr>
          <w:p>
            <w:pPr>
              <w:jc w:val="left"/>
              <w:rPr>
                <w:rFonts w:cs="仿宋_GB2312" w:asciiTheme="minorEastAsia" w:hAnsiTheme="minorEastAsia"/>
                <w:bCs/>
                <w:szCs w:val="21"/>
              </w:rPr>
            </w:pPr>
            <w:r>
              <w:rPr>
                <w:rFonts w:hint="eastAsia" w:asciiTheme="minorEastAsia" w:hAnsiTheme="minorEastAsia"/>
                <w:szCs w:val="21"/>
              </w:rPr>
              <w:t>响应有效期</w:t>
            </w:r>
          </w:p>
        </w:tc>
        <w:tc>
          <w:tcPr>
            <w:tcW w:w="7513"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响应有效期为开启响应文件之日起90日历天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13</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投标保证金</w:t>
            </w:r>
          </w:p>
        </w:tc>
        <w:tc>
          <w:tcPr>
            <w:tcW w:w="7513" w:type="dxa"/>
          </w:tcPr>
          <w:p>
            <w:pPr>
              <w:spacing w:line="360" w:lineRule="auto"/>
              <w:rPr>
                <w:rFonts w:ascii="宋体" w:hAnsi="宋体" w:eastAsia="宋体" w:cs="宋体"/>
                <w:szCs w:val="21"/>
                <w:highlight w:val="yellow"/>
              </w:rPr>
            </w:pPr>
            <w:r>
              <w:rPr>
                <w:rFonts w:hint="eastAsia" w:ascii="宋体" w:hAnsi="宋体" w:eastAsia="宋体" w:cs="宋体"/>
                <w:szCs w:val="21"/>
              </w:rPr>
              <w:t>意向投标人需在</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日前缴纳投标保证金：</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lang w:val="en-US" w:eastAsia="zh-CN"/>
              </w:rPr>
              <w:t>12000</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lang w:val="en-US" w:eastAsia="zh-CN"/>
              </w:rPr>
              <w:t>壹万贰仟元整</w:t>
            </w:r>
            <w:r>
              <w:rPr>
                <w:rFonts w:hint="eastAsia" w:ascii="宋体" w:hAnsi="宋体" w:eastAsia="宋体" w:cs="宋体"/>
                <w:color w:val="auto"/>
                <w:szCs w:val="21"/>
                <w:highlight w:val="none"/>
              </w:rPr>
              <w:t>）</w:t>
            </w:r>
          </w:p>
          <w:p>
            <w:pPr>
              <w:spacing w:line="360" w:lineRule="auto"/>
              <w:rPr>
                <w:rFonts w:ascii="宋体" w:hAnsi="宋体" w:eastAsia="宋体" w:cs="宋体"/>
                <w:szCs w:val="21"/>
              </w:rPr>
            </w:pPr>
            <w:r>
              <w:rPr>
                <w:rFonts w:hint="eastAsia" w:ascii="宋体" w:hAnsi="宋体" w:eastAsia="宋体" w:cs="宋体"/>
                <w:szCs w:val="21"/>
              </w:rPr>
              <w:t>以转账方式交至以下账户：</w:t>
            </w:r>
          </w:p>
          <w:p>
            <w:pPr>
              <w:spacing w:line="360" w:lineRule="auto"/>
              <w:rPr>
                <w:rFonts w:ascii="宋体" w:hAnsi="宋体" w:eastAsia="宋体" w:cs="宋体"/>
                <w:szCs w:val="21"/>
              </w:rPr>
            </w:pPr>
            <w:r>
              <w:rPr>
                <w:rFonts w:hint="eastAsia" w:ascii="宋体" w:hAnsi="宋体" w:eastAsia="宋体" w:cs="宋体"/>
                <w:szCs w:val="21"/>
              </w:rPr>
              <w:t xml:space="preserve">收款人：中粮（唐山）糖业有限公司；   </w:t>
            </w:r>
          </w:p>
          <w:p>
            <w:pPr>
              <w:spacing w:line="360" w:lineRule="auto"/>
              <w:rPr>
                <w:rFonts w:ascii="宋体" w:hAnsi="宋体" w:eastAsia="宋体" w:cs="宋体"/>
                <w:b/>
                <w:bCs/>
                <w:szCs w:val="21"/>
              </w:rPr>
            </w:pPr>
            <w:r>
              <w:rPr>
                <w:rFonts w:hint="eastAsia" w:ascii="宋体" w:hAnsi="宋体" w:eastAsia="宋体" w:cs="宋体"/>
                <w:szCs w:val="21"/>
              </w:rPr>
              <w:t>用途：</w:t>
            </w:r>
            <w:r>
              <w:rPr>
                <w:rFonts w:hint="eastAsia" w:ascii="宋体" w:hAnsi="宋体" w:eastAsia="宋体" w:cs="宋体"/>
                <w:b/>
                <w:bCs/>
                <w:szCs w:val="21"/>
              </w:rPr>
              <w:t>（唐山糖业202</w:t>
            </w:r>
            <w:r>
              <w:rPr>
                <w:rFonts w:hint="eastAsia" w:ascii="宋体" w:hAnsi="宋体" w:eastAsia="宋体" w:cs="宋体"/>
                <w:b/>
                <w:bCs/>
                <w:szCs w:val="21"/>
                <w:lang w:val="en-US" w:eastAsia="zh-CN"/>
              </w:rPr>
              <w:t>4</w:t>
            </w:r>
            <w:r>
              <w:rPr>
                <w:rFonts w:hint="eastAsia" w:ascii="宋体" w:hAnsi="宋体" w:eastAsia="宋体" w:cs="宋体"/>
                <w:b/>
                <w:bCs/>
                <w:szCs w:val="21"/>
              </w:rPr>
              <w:t>年消防控制室值守服务谈判采购项目）投标保证金</w:t>
            </w:r>
          </w:p>
          <w:p>
            <w:pPr>
              <w:spacing w:line="360" w:lineRule="auto"/>
              <w:rPr>
                <w:rFonts w:ascii="宋体" w:hAnsi="宋体" w:eastAsia="宋体" w:cs="宋体"/>
                <w:szCs w:val="21"/>
              </w:rPr>
            </w:pPr>
            <w:r>
              <w:rPr>
                <w:rFonts w:hint="eastAsia" w:ascii="宋体" w:hAnsi="宋体" w:eastAsia="宋体" w:cs="宋体"/>
                <w:szCs w:val="21"/>
              </w:rPr>
              <w:t xml:space="preserve">开户行：中国建设银行股份有限公司唐山曹妃甸自贸区支行； </w:t>
            </w:r>
          </w:p>
          <w:p>
            <w:pPr>
              <w:spacing w:line="360" w:lineRule="auto"/>
              <w:rPr>
                <w:rFonts w:ascii="宋体" w:hAnsi="宋体" w:eastAsia="宋体" w:cs="宋体"/>
                <w:szCs w:val="21"/>
              </w:rPr>
            </w:pPr>
            <w:r>
              <w:rPr>
                <w:rFonts w:hint="eastAsia" w:ascii="宋体" w:hAnsi="宋体" w:eastAsia="宋体" w:cs="宋体"/>
                <w:szCs w:val="21"/>
              </w:rPr>
              <w:t>行号：105125100039</w:t>
            </w:r>
          </w:p>
          <w:p>
            <w:pPr>
              <w:spacing w:line="360" w:lineRule="auto"/>
              <w:rPr>
                <w:rFonts w:ascii="宋体" w:hAnsi="宋体" w:eastAsia="宋体" w:cs="宋体"/>
                <w:szCs w:val="21"/>
              </w:rPr>
            </w:pPr>
            <w:r>
              <w:rPr>
                <w:rFonts w:hint="eastAsia" w:ascii="宋体" w:hAnsi="宋体" w:eastAsia="宋体" w:cs="宋体"/>
                <w:szCs w:val="21"/>
              </w:rPr>
              <w:t>银行账号：13001624101052503146</w:t>
            </w:r>
          </w:p>
          <w:p>
            <w:pPr>
              <w:snapToGrid w:val="0"/>
              <w:spacing w:line="360" w:lineRule="auto"/>
              <w:rPr>
                <w:rFonts w:ascii="宋体" w:hAnsi="宋体" w:eastAsia="宋体" w:cs="宋体"/>
                <w:szCs w:val="21"/>
              </w:rPr>
            </w:pPr>
            <w:r>
              <w:rPr>
                <w:rFonts w:hint="eastAsia" w:ascii="宋体" w:hAnsi="宋体" w:eastAsia="宋体" w:cs="宋体"/>
                <w:szCs w:val="21"/>
              </w:rPr>
              <w:t>谈判报价前意向供应商的保证金未交付或交付错误的不具报价资格。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14</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退还投标保证金</w:t>
            </w:r>
          </w:p>
        </w:tc>
        <w:tc>
          <w:tcPr>
            <w:tcW w:w="7513" w:type="dxa"/>
          </w:tcPr>
          <w:p>
            <w:pPr>
              <w:snapToGrid w:val="0"/>
              <w:spacing w:line="360" w:lineRule="auto"/>
              <w:rPr>
                <w:rFonts w:ascii="宋体" w:hAnsi="宋体" w:eastAsia="宋体" w:cs="宋体"/>
                <w:szCs w:val="21"/>
              </w:rPr>
            </w:pPr>
            <w:r>
              <w:rPr>
                <w:rFonts w:hint="eastAsia" w:ascii="宋体" w:hAnsi="宋体" w:eastAsia="宋体" w:cs="宋体"/>
                <w:szCs w:val="21"/>
              </w:rPr>
              <w:t>公布最终谈判结果后，</w:t>
            </w:r>
            <w:r>
              <w:rPr>
                <w:rFonts w:hint="eastAsia" w:ascii="宋体" w:hAnsi="宋体" w:eastAsia="宋体" w:cs="宋体"/>
                <w:b/>
                <w:bCs/>
                <w:szCs w:val="21"/>
              </w:rPr>
              <w:t>招标人将在次月退还投标保证金.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15</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不退回投标保证金的其他情形</w:t>
            </w:r>
          </w:p>
        </w:tc>
        <w:tc>
          <w:tcPr>
            <w:tcW w:w="7513" w:type="dxa"/>
          </w:tcPr>
          <w:p>
            <w:pPr>
              <w:spacing w:line="360" w:lineRule="auto"/>
              <w:jc w:val="left"/>
              <w:rPr>
                <w:rFonts w:ascii="宋体" w:hAnsi="宋体" w:eastAsia="宋体" w:cs="宋体"/>
                <w:szCs w:val="21"/>
              </w:rPr>
            </w:pPr>
            <w:r>
              <w:rPr>
                <w:rFonts w:hint="eastAsia" w:ascii="宋体" w:hAnsi="宋体" w:eastAsia="宋体" w:cs="宋体"/>
                <w:szCs w:val="21"/>
              </w:rPr>
              <w:t>提供虚假材料谋取中标、成交的；</w:t>
            </w:r>
          </w:p>
          <w:p>
            <w:pPr>
              <w:spacing w:line="360" w:lineRule="auto"/>
              <w:jc w:val="left"/>
              <w:rPr>
                <w:rFonts w:ascii="宋体" w:hAnsi="宋体" w:eastAsia="宋体" w:cs="宋体"/>
                <w:szCs w:val="21"/>
              </w:rPr>
            </w:pPr>
            <w:r>
              <w:rPr>
                <w:rFonts w:hint="eastAsia" w:ascii="宋体" w:hAnsi="宋体" w:eastAsia="宋体" w:cs="宋体"/>
                <w:szCs w:val="21"/>
              </w:rPr>
              <w:t>在响应本次采购中存在围标串标等违法违规行为的；</w:t>
            </w:r>
          </w:p>
          <w:p>
            <w:pPr>
              <w:snapToGrid w:val="0"/>
              <w:spacing w:line="360" w:lineRule="auto"/>
              <w:jc w:val="left"/>
              <w:rPr>
                <w:rFonts w:ascii="宋体" w:hAnsi="宋体" w:eastAsia="宋体" w:cs="宋体"/>
                <w:szCs w:val="21"/>
              </w:rPr>
            </w:pPr>
            <w:r>
              <w:rPr>
                <w:rFonts w:hint="eastAsia" w:ascii="宋体" w:hAnsi="宋体" w:eastAsia="宋体" w:cs="宋体"/>
                <w:szCs w:val="21"/>
              </w:rPr>
              <w:t>中标后，无正当理由拒绝签订合同的。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16</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谈判文件发布及报名截止时间</w:t>
            </w:r>
          </w:p>
        </w:tc>
        <w:tc>
          <w:tcPr>
            <w:tcW w:w="7513" w:type="dxa"/>
          </w:tcPr>
          <w:p>
            <w:pPr>
              <w:spacing w:line="360" w:lineRule="auto"/>
              <w:rPr>
                <w:rFonts w:ascii="宋体" w:hAnsi="宋体" w:eastAsia="宋体" w:cs="宋体"/>
                <w:szCs w:val="21"/>
              </w:rPr>
            </w:pPr>
            <w:r>
              <w:rPr>
                <w:rFonts w:hint="eastAsia" w:ascii="宋体" w:hAnsi="宋体" w:eastAsia="宋体" w:cs="宋体"/>
                <w:szCs w:val="21"/>
              </w:rPr>
              <w:t>谈判文件发放方式：中粮糖业EPS采购平台发布；</w:t>
            </w:r>
          </w:p>
          <w:p>
            <w:pPr>
              <w:spacing w:line="360" w:lineRule="auto"/>
              <w:rPr>
                <w:rFonts w:ascii="宋体" w:hAnsi="宋体" w:eastAsia="宋体" w:cs="宋体"/>
                <w:szCs w:val="21"/>
              </w:rPr>
            </w:pPr>
            <w:r>
              <w:rPr>
                <w:rFonts w:hint="eastAsia" w:ascii="宋体" w:hAnsi="宋体" w:eastAsia="宋体" w:cs="宋体"/>
                <w:szCs w:val="21"/>
              </w:rPr>
              <w:t>谈判文件发出时间：</w:t>
            </w:r>
            <w:r>
              <w:rPr>
                <w:rFonts w:hint="eastAsia" w:ascii="宋体" w:hAnsi="宋体" w:eastAsia="宋体" w:cs="宋体"/>
                <w:b/>
                <w:bCs/>
                <w:szCs w:val="21"/>
                <w:u w:val="single"/>
              </w:rPr>
              <w:t xml:space="preserve">       </w:t>
            </w:r>
            <w:r>
              <w:rPr>
                <w:rFonts w:hint="eastAsia" w:ascii="宋体" w:hAnsi="宋体" w:eastAsia="宋体" w:cs="宋体"/>
                <w:szCs w:val="21"/>
              </w:rPr>
              <w:t>年</w:t>
            </w:r>
            <w:r>
              <w:rPr>
                <w:rFonts w:hint="eastAsia" w:ascii="宋体" w:hAnsi="宋体" w:eastAsia="宋体" w:cs="宋体"/>
                <w:b/>
                <w:bCs/>
                <w:szCs w:val="21"/>
                <w:u w:val="single"/>
              </w:rPr>
              <w:t xml:space="preserve">     </w:t>
            </w:r>
            <w:r>
              <w:rPr>
                <w:rFonts w:hint="eastAsia" w:ascii="宋体" w:hAnsi="宋体" w:eastAsia="宋体" w:cs="宋体"/>
                <w:szCs w:val="21"/>
              </w:rPr>
              <w:t>月</w:t>
            </w:r>
            <w:r>
              <w:rPr>
                <w:rFonts w:hint="eastAsia" w:ascii="宋体" w:hAnsi="宋体" w:eastAsia="宋体" w:cs="宋体"/>
                <w:b/>
                <w:bCs/>
                <w:szCs w:val="21"/>
                <w:u w:val="single"/>
              </w:rPr>
              <w:t xml:space="preserve">      </w:t>
            </w:r>
            <w:r>
              <w:rPr>
                <w:rFonts w:hint="eastAsia" w:ascii="宋体" w:hAnsi="宋体" w:eastAsia="宋体" w:cs="宋体"/>
                <w:szCs w:val="21"/>
              </w:rPr>
              <w:t>日</w:t>
            </w:r>
          </w:p>
          <w:p>
            <w:pPr>
              <w:snapToGrid w:val="0"/>
              <w:spacing w:line="360" w:lineRule="auto"/>
              <w:jc w:val="left"/>
              <w:rPr>
                <w:rFonts w:ascii="宋体" w:hAnsi="宋体" w:eastAsia="宋体" w:cs="宋体"/>
                <w:szCs w:val="21"/>
              </w:rPr>
            </w:pPr>
            <w:r>
              <w:rPr>
                <w:rFonts w:hint="eastAsia" w:ascii="宋体" w:hAnsi="宋体" w:eastAsia="宋体" w:cs="宋体"/>
                <w:szCs w:val="21"/>
              </w:rPr>
              <w:t>请投标单位于</w:t>
            </w:r>
            <w:r>
              <w:rPr>
                <w:rFonts w:hint="eastAsia" w:ascii="宋体" w:hAnsi="宋体" w:eastAsia="宋体" w:cs="宋体"/>
                <w:b/>
                <w:bCs/>
                <w:szCs w:val="21"/>
                <w:u w:val="single"/>
              </w:rPr>
              <w:t xml:space="preserve">       </w:t>
            </w:r>
            <w:r>
              <w:rPr>
                <w:rFonts w:hint="eastAsia" w:ascii="宋体" w:hAnsi="宋体" w:eastAsia="宋体" w:cs="宋体"/>
                <w:szCs w:val="21"/>
              </w:rPr>
              <w:t>年</w:t>
            </w:r>
            <w:r>
              <w:rPr>
                <w:rFonts w:hint="eastAsia" w:ascii="宋体" w:hAnsi="宋体" w:eastAsia="宋体" w:cs="宋体"/>
                <w:b/>
                <w:bCs/>
                <w:szCs w:val="21"/>
                <w:u w:val="single"/>
              </w:rPr>
              <w:t xml:space="preserve">      </w:t>
            </w:r>
            <w:r>
              <w:rPr>
                <w:rFonts w:hint="eastAsia" w:ascii="宋体" w:hAnsi="宋体" w:eastAsia="宋体" w:cs="宋体"/>
                <w:szCs w:val="21"/>
              </w:rPr>
              <w:t>月</w:t>
            </w:r>
            <w:r>
              <w:rPr>
                <w:rFonts w:hint="eastAsia" w:ascii="宋体" w:hAnsi="宋体" w:eastAsia="宋体" w:cs="宋体"/>
                <w:b/>
                <w:bCs/>
                <w:szCs w:val="21"/>
                <w:u w:val="single"/>
              </w:rPr>
              <w:t xml:space="preserve">      </w:t>
            </w:r>
            <w:r>
              <w:rPr>
                <w:rFonts w:hint="eastAsia" w:ascii="宋体" w:hAnsi="宋体" w:eastAsia="宋体" w:cs="宋体"/>
                <w:szCs w:val="21"/>
              </w:rPr>
              <w:t>日前完成报名。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17</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谈判文件发布要求</w:t>
            </w:r>
          </w:p>
        </w:tc>
        <w:tc>
          <w:tcPr>
            <w:tcW w:w="7513" w:type="dxa"/>
          </w:tcPr>
          <w:p>
            <w:pPr>
              <w:spacing w:line="360" w:lineRule="auto"/>
              <w:rPr>
                <w:rFonts w:ascii="宋体" w:hAnsi="宋体" w:eastAsia="宋体" w:cs="宋体"/>
                <w:szCs w:val="21"/>
              </w:rPr>
            </w:pPr>
            <w:r>
              <w:rPr>
                <w:rFonts w:hint="eastAsia" w:ascii="宋体" w:hAnsi="宋体" w:eastAsia="宋体" w:cs="宋体"/>
                <w:szCs w:val="21"/>
              </w:rPr>
              <w:t>请仔细检查招标文件是否齐全，如有缺漏，请立即与招标人联系解决。</w:t>
            </w:r>
          </w:p>
          <w:p>
            <w:pPr>
              <w:numPr>
                <w:ilvl w:val="255"/>
                <w:numId w:val="0"/>
              </w:numPr>
              <w:tabs>
                <w:tab w:val="left" w:pos="540"/>
              </w:tabs>
              <w:spacing w:line="360" w:lineRule="auto"/>
              <w:rPr>
                <w:rFonts w:ascii="宋体" w:hAnsi="宋体" w:eastAsia="宋体" w:cs="宋体"/>
                <w:szCs w:val="21"/>
              </w:rPr>
            </w:pPr>
            <w:r>
              <w:rPr>
                <w:rFonts w:hint="eastAsia" w:ascii="宋体" w:hAnsi="宋体" w:eastAsia="宋体" w:cs="宋体"/>
                <w:szCs w:val="21"/>
              </w:rPr>
              <w:t>1.投标人被视为充分熟悉本采购项目所在地的与履行合同有关的各种情况，本招标文件不再对上述情况进行描述。</w:t>
            </w:r>
          </w:p>
          <w:p>
            <w:pPr>
              <w:numPr>
                <w:ilvl w:val="255"/>
                <w:numId w:val="0"/>
              </w:numPr>
              <w:tabs>
                <w:tab w:val="left" w:pos="540"/>
              </w:tabs>
              <w:spacing w:line="360" w:lineRule="auto"/>
              <w:rPr>
                <w:rFonts w:ascii="宋体" w:hAnsi="宋体" w:eastAsia="宋体" w:cs="宋体"/>
                <w:szCs w:val="21"/>
              </w:rPr>
            </w:pPr>
            <w:r>
              <w:rPr>
                <w:rFonts w:hint="eastAsia" w:ascii="宋体" w:hAnsi="宋体" w:eastAsia="宋体" w:cs="宋体"/>
                <w:szCs w:val="21"/>
              </w:rPr>
              <w:t>2.投标人必须详阅招标文件的所有条款、文件及表格格式。如果投标人的投标文件因自身的疏忽、遗漏不能满足本招标文件的要求,责任由投标人自负。招标人有权拒绝没有实质上响应招标文件要求的投标文件。</w:t>
            </w:r>
          </w:p>
          <w:p>
            <w:pPr>
              <w:numPr>
                <w:ilvl w:val="255"/>
                <w:numId w:val="0"/>
              </w:numPr>
              <w:spacing w:line="360" w:lineRule="auto"/>
              <w:rPr>
                <w:rFonts w:ascii="宋体" w:hAnsi="宋体" w:eastAsia="宋体" w:cs="宋体"/>
                <w:szCs w:val="21"/>
              </w:rPr>
            </w:pPr>
            <w:r>
              <w:rPr>
                <w:rFonts w:hint="eastAsia" w:ascii="宋体" w:hAnsi="宋体" w:eastAsia="宋体" w:cs="宋体"/>
                <w:szCs w:val="21"/>
              </w:rPr>
              <w:t>3.招标文件的解释</w:t>
            </w:r>
          </w:p>
          <w:p>
            <w:pPr>
              <w:numPr>
                <w:ilvl w:val="255"/>
                <w:numId w:val="0"/>
              </w:numPr>
              <w:spacing w:line="360" w:lineRule="auto"/>
              <w:ind w:firstLine="420" w:firstLineChars="200"/>
              <w:rPr>
                <w:rFonts w:ascii="宋体" w:hAnsi="宋体" w:eastAsia="宋体" w:cs="宋体"/>
                <w:b/>
                <w:bCs/>
                <w:szCs w:val="21"/>
              </w:rPr>
            </w:pPr>
            <w:r>
              <w:rPr>
                <w:rFonts w:hint="eastAsia" w:ascii="宋体" w:hAnsi="宋体" w:eastAsia="宋体" w:cs="宋体"/>
                <w:szCs w:val="21"/>
              </w:rPr>
              <w:t>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pPr>
              <w:numPr>
                <w:ilvl w:val="255"/>
                <w:numId w:val="0"/>
              </w:numPr>
              <w:spacing w:line="360" w:lineRule="auto"/>
              <w:rPr>
                <w:rFonts w:ascii="宋体" w:hAnsi="宋体" w:eastAsia="宋体" w:cs="宋体"/>
                <w:szCs w:val="21"/>
              </w:rPr>
            </w:pPr>
            <w:r>
              <w:rPr>
                <w:rFonts w:hint="eastAsia" w:ascii="宋体" w:hAnsi="宋体" w:eastAsia="宋体" w:cs="宋体"/>
                <w:szCs w:val="21"/>
              </w:rPr>
              <w:t>4.招标文件的补充</w:t>
            </w:r>
          </w:p>
          <w:p>
            <w:pPr>
              <w:numPr>
                <w:ilvl w:val="255"/>
                <w:numId w:val="0"/>
              </w:numPr>
              <w:tabs>
                <w:tab w:val="left" w:pos="540"/>
              </w:tabs>
              <w:spacing w:line="360" w:lineRule="auto"/>
              <w:rPr>
                <w:rFonts w:ascii="宋体" w:hAnsi="宋体" w:eastAsia="宋体" w:cs="宋体"/>
                <w:b/>
                <w:bCs/>
                <w:szCs w:val="21"/>
              </w:rPr>
            </w:pPr>
            <w:r>
              <w:rPr>
                <w:rFonts w:hint="eastAsia" w:ascii="宋体" w:hAnsi="宋体" w:eastAsia="宋体" w:cs="宋体"/>
                <w:szCs w:val="21"/>
              </w:rPr>
              <w:t>4.1在组织招标时间之前，招标人可以根据需要对招标文件用补充文件的方式进行修正。</w:t>
            </w:r>
          </w:p>
          <w:p>
            <w:pPr>
              <w:numPr>
                <w:ilvl w:val="255"/>
                <w:numId w:val="0"/>
              </w:numPr>
              <w:tabs>
                <w:tab w:val="left" w:pos="540"/>
              </w:tabs>
              <w:spacing w:line="360" w:lineRule="auto"/>
              <w:rPr>
                <w:rFonts w:ascii="宋体" w:hAnsi="宋体" w:eastAsia="宋体" w:cs="宋体"/>
                <w:b/>
                <w:bCs/>
                <w:szCs w:val="21"/>
              </w:rPr>
            </w:pPr>
            <w:r>
              <w:rPr>
                <w:rFonts w:hint="eastAsia" w:ascii="宋体" w:hAnsi="宋体" w:eastAsia="宋体" w:cs="宋体"/>
                <w:szCs w:val="21"/>
              </w:rPr>
              <w:t>4.2 对招标文件的补充，应以书面形式通知所有投标人。补充文件将作为招标文件的组成部分，对所有投标人有约束力。</w:t>
            </w:r>
          </w:p>
          <w:p>
            <w:pPr>
              <w:snapToGrid w:val="0"/>
              <w:spacing w:line="360" w:lineRule="auto"/>
              <w:rPr>
                <w:rFonts w:ascii="宋体" w:hAnsi="宋体" w:eastAsia="宋体" w:cs="宋体"/>
                <w:szCs w:val="21"/>
              </w:rPr>
            </w:pPr>
            <w:r>
              <w:rPr>
                <w:rFonts w:hint="eastAsia" w:ascii="宋体" w:hAnsi="宋体" w:eastAsia="宋体" w:cs="宋体"/>
                <w:szCs w:val="21"/>
              </w:rPr>
              <w:t>4.3为使投标人有足够的时间按招标文件的补充要求修正投标文件，招标人有权决定推迟招标采购的组织招标时间，并将此变更书面通知所有投标人。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开标时间及响应文件提交</w:t>
            </w:r>
          </w:p>
        </w:tc>
        <w:tc>
          <w:tcPr>
            <w:tcW w:w="7513" w:type="dxa"/>
          </w:tcPr>
          <w:p>
            <w:pPr>
              <w:spacing w:line="360" w:lineRule="auto"/>
              <w:jc w:val="left"/>
              <w:rPr>
                <w:rFonts w:ascii="宋体" w:hAnsi="宋体" w:eastAsia="宋体" w:cs="宋体"/>
                <w:szCs w:val="21"/>
              </w:rPr>
            </w:pPr>
            <w:r>
              <w:rPr>
                <w:rFonts w:hint="eastAsia" w:ascii="宋体" w:hAnsi="宋体" w:eastAsia="宋体" w:cs="宋体"/>
                <w:szCs w:val="21"/>
              </w:rPr>
              <w:t>开标时间为</w:t>
            </w:r>
            <w:r>
              <w:rPr>
                <w:rFonts w:hint="eastAsia" w:ascii="宋体" w:hAnsi="宋体" w:eastAsia="宋体" w:cs="宋体"/>
                <w:b/>
                <w:bCs/>
                <w:szCs w:val="21"/>
                <w:u w:val="single"/>
              </w:rPr>
              <w:t xml:space="preserve">     </w:t>
            </w:r>
            <w:r>
              <w:rPr>
                <w:rFonts w:hint="eastAsia" w:ascii="宋体" w:hAnsi="宋体" w:eastAsia="宋体" w:cs="宋体"/>
                <w:szCs w:val="21"/>
              </w:rPr>
              <w:t>年</w:t>
            </w:r>
            <w:r>
              <w:rPr>
                <w:rFonts w:hint="eastAsia" w:ascii="宋体" w:hAnsi="宋体" w:eastAsia="宋体" w:cs="宋体"/>
                <w:b/>
                <w:bCs/>
                <w:szCs w:val="21"/>
                <w:u w:val="single"/>
              </w:rPr>
              <w:t xml:space="preserve">    </w:t>
            </w:r>
            <w:r>
              <w:rPr>
                <w:rFonts w:hint="eastAsia" w:ascii="宋体" w:hAnsi="宋体" w:eastAsia="宋体" w:cs="宋体"/>
                <w:szCs w:val="21"/>
              </w:rPr>
              <w:t>月</w:t>
            </w:r>
            <w:r>
              <w:rPr>
                <w:rFonts w:hint="eastAsia" w:ascii="宋体" w:hAnsi="宋体" w:eastAsia="宋体" w:cs="宋体"/>
                <w:b/>
                <w:bCs/>
                <w:szCs w:val="21"/>
                <w:u w:val="single"/>
              </w:rPr>
              <w:t xml:space="preserve">   </w:t>
            </w:r>
            <w:r>
              <w:rPr>
                <w:rFonts w:hint="eastAsia" w:ascii="宋体" w:hAnsi="宋体" w:eastAsia="宋体" w:cs="宋体"/>
                <w:szCs w:val="21"/>
              </w:rPr>
              <w:t>日</w:t>
            </w:r>
            <w:r>
              <w:rPr>
                <w:rFonts w:hint="eastAsia" w:ascii="宋体" w:hAnsi="宋体" w:eastAsia="宋体" w:cs="宋体"/>
                <w:b/>
                <w:bCs/>
                <w:szCs w:val="21"/>
                <w:u w:val="single"/>
              </w:rPr>
              <w:t xml:space="preserve">    </w:t>
            </w:r>
            <w:r>
              <w:rPr>
                <w:rFonts w:hint="eastAsia" w:ascii="宋体" w:hAnsi="宋体" w:eastAsia="宋体" w:cs="宋体"/>
                <w:szCs w:val="21"/>
              </w:rPr>
              <w:t>时</w:t>
            </w:r>
            <w:r>
              <w:rPr>
                <w:rFonts w:hint="eastAsia" w:ascii="宋体" w:hAnsi="宋体" w:eastAsia="宋体" w:cs="宋体"/>
                <w:b/>
                <w:bCs/>
                <w:szCs w:val="21"/>
                <w:u w:val="single"/>
              </w:rPr>
              <w:t xml:space="preserve">    </w:t>
            </w:r>
            <w:r>
              <w:rPr>
                <w:rFonts w:hint="eastAsia" w:ascii="宋体" w:hAnsi="宋体" w:eastAsia="宋体" w:cs="宋体"/>
                <w:szCs w:val="21"/>
              </w:rPr>
              <w:t>分；</w:t>
            </w:r>
          </w:p>
          <w:p>
            <w:pPr>
              <w:spacing w:line="360" w:lineRule="auto"/>
              <w:rPr>
                <w:rFonts w:ascii="宋体" w:hAnsi="宋体" w:eastAsia="宋体" w:cs="宋体"/>
                <w:szCs w:val="21"/>
              </w:rPr>
            </w:pPr>
            <w:r>
              <w:rPr>
                <w:rFonts w:hint="eastAsia" w:ascii="宋体" w:hAnsi="宋体" w:eastAsia="宋体" w:cs="宋体"/>
                <w:szCs w:val="21"/>
              </w:rPr>
              <w:t>参加谈判的投标人需要在开标前完成报价，并把谈判响应文件填写完整并加盖公章后，在EPS系统中上传，</w:t>
            </w:r>
            <w:r>
              <w:rPr>
                <w:rFonts w:hint="eastAsia" w:ascii="宋体" w:hAnsi="宋体" w:eastAsia="宋体" w:cs="宋体"/>
                <w:b/>
                <w:bCs/>
                <w:szCs w:val="21"/>
              </w:rPr>
              <w:t>上传文件只接受原件扫描件，不接受电子签，复印件为无效资料。</w:t>
            </w:r>
          </w:p>
          <w:p>
            <w:pPr>
              <w:spacing w:line="360" w:lineRule="auto"/>
              <w:rPr>
                <w:rFonts w:ascii="宋体" w:hAnsi="宋体" w:eastAsia="宋体" w:cs="宋体"/>
                <w:szCs w:val="21"/>
              </w:rPr>
            </w:pPr>
            <w:r>
              <w:rPr>
                <w:rFonts w:hint="eastAsia" w:ascii="宋体" w:hAnsi="宋体" w:eastAsia="宋体" w:cs="宋体"/>
                <w:bCs/>
                <w:szCs w:val="21"/>
              </w:rPr>
              <w:t>本项目采用“综合评审法”，详见第四章《评审办法》，评审方法中需要提供的评审要件包括但不限于为：</w:t>
            </w:r>
            <w:r>
              <w:rPr>
                <w:rFonts w:hint="eastAsia" w:ascii="宋体" w:hAnsi="宋体" w:eastAsia="宋体" w:cs="宋体"/>
                <w:b/>
                <w:szCs w:val="21"/>
              </w:rPr>
              <w:t>“服务方案与技术措施、服务重点、难点分析与对策、服务人员资质及证书、应急预案保证措施”</w:t>
            </w:r>
            <w:r>
              <w:rPr>
                <w:rFonts w:hint="eastAsia" w:ascii="宋体" w:hAnsi="宋体" w:eastAsia="宋体" w:cs="宋体"/>
                <w:szCs w:val="21"/>
              </w:rPr>
              <w:t xml:space="preserve"> </w:t>
            </w:r>
            <w:r>
              <w:rPr>
                <w:rFonts w:hint="eastAsia" w:ascii="宋体" w:hAnsi="宋体" w:eastAsia="宋体" w:cs="宋体"/>
                <w:b/>
                <w:szCs w:val="21"/>
              </w:rPr>
              <w:t xml:space="preserve"> </w:t>
            </w:r>
          </w:p>
          <w:p>
            <w:pPr>
              <w:snapToGrid w:val="0"/>
              <w:spacing w:line="360" w:lineRule="auto"/>
              <w:rPr>
                <w:rFonts w:ascii="宋体" w:hAnsi="宋体" w:eastAsia="宋体" w:cs="宋体"/>
                <w:szCs w:val="21"/>
              </w:rPr>
            </w:pPr>
            <w:r>
              <w:rPr>
                <w:rFonts w:hint="eastAsia" w:ascii="宋体" w:hAnsi="宋体" w:eastAsia="宋体" w:cs="宋体"/>
                <w:bCs/>
                <w:szCs w:val="21"/>
              </w:rPr>
              <w:t>谈判时，供方提供的资料是否充分，将会影响其最终得分。</w:t>
            </w:r>
            <w:r>
              <w:rPr>
                <w:rFonts w:hint="eastAsia" w:ascii="宋体" w:hAnsi="宋体" w:eastAsia="宋体" w:cs="宋体"/>
                <w:szCs w:val="21"/>
              </w:rPr>
              <w:t>同时供应商业绩不得造假，一经发现取消投标资格。在谈判响应截止时间前，响应方未完成响应文件上传工作将被视为放弃响应。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19</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评标方法</w:t>
            </w:r>
          </w:p>
        </w:tc>
        <w:tc>
          <w:tcPr>
            <w:tcW w:w="7513" w:type="dxa"/>
          </w:tcPr>
          <w:p>
            <w:pPr>
              <w:snapToGrid w:val="0"/>
              <w:spacing w:line="360" w:lineRule="auto"/>
              <w:jc w:val="left"/>
              <w:rPr>
                <w:rFonts w:ascii="宋体" w:hAnsi="宋体" w:eastAsia="宋体" w:cs="宋体"/>
                <w:szCs w:val="21"/>
              </w:rPr>
            </w:pPr>
            <w:r>
              <w:rPr>
                <w:rFonts w:hint="eastAsia" w:ascii="宋体" w:hAnsi="宋体" w:eastAsia="宋体" w:cs="宋体"/>
                <w:szCs w:val="21"/>
              </w:rPr>
              <w:t>采用综合评标法，详见第四章《评审办法》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20</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谈判地点</w:t>
            </w:r>
          </w:p>
        </w:tc>
        <w:tc>
          <w:tcPr>
            <w:tcW w:w="7513" w:type="dxa"/>
          </w:tcPr>
          <w:p>
            <w:pPr>
              <w:snapToGrid w:val="0"/>
              <w:spacing w:line="360" w:lineRule="auto"/>
              <w:rPr>
                <w:rFonts w:ascii="宋体" w:hAnsi="宋体" w:eastAsia="宋体" w:cs="宋体"/>
                <w:color w:val="FF0000"/>
                <w:szCs w:val="21"/>
              </w:rPr>
            </w:pPr>
            <w:r>
              <w:rPr>
                <w:rFonts w:hint="eastAsia" w:ascii="宋体" w:hAnsi="宋体" w:eastAsia="宋体" w:cs="宋体"/>
                <w:szCs w:val="21"/>
              </w:rPr>
              <w:t>中粮糖业EPS采购平台，腾讯会议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21</w:t>
            </w:r>
          </w:p>
        </w:tc>
        <w:tc>
          <w:tcPr>
            <w:tcW w:w="1418" w:type="dxa"/>
          </w:tcPr>
          <w:p>
            <w:pPr>
              <w:jc w:val="left"/>
              <w:rPr>
                <w:rFonts w:cs="仿宋_GB2312" w:asciiTheme="minorEastAsia" w:hAnsiTheme="minorEastAsia"/>
                <w:bCs/>
                <w:szCs w:val="21"/>
              </w:rPr>
            </w:pPr>
            <w:r>
              <w:rPr>
                <w:rFonts w:hint="eastAsia" w:cs="仿宋_GB2312" w:asciiTheme="majorEastAsia" w:hAnsiTheme="majorEastAsia" w:eastAsiaTheme="majorEastAsia"/>
                <w:bCs/>
                <w:szCs w:val="21"/>
              </w:rPr>
              <w:t>保密原则</w:t>
            </w:r>
          </w:p>
        </w:tc>
        <w:tc>
          <w:tcPr>
            <w:tcW w:w="7513" w:type="dxa"/>
          </w:tcPr>
          <w:p>
            <w:pPr>
              <w:snapToGrid w:val="0"/>
              <w:spacing w:line="360" w:lineRule="auto"/>
              <w:rPr>
                <w:rFonts w:ascii="宋体" w:hAnsi="宋体" w:eastAsia="宋体" w:cs="宋体"/>
                <w:szCs w:val="21"/>
              </w:rPr>
            </w:pPr>
            <w:r>
              <w:rPr>
                <w:rFonts w:hint="eastAsia" w:ascii="宋体" w:hAnsi="宋体" w:eastAsia="宋体" w:cs="宋体"/>
                <w:szCs w:val="21"/>
              </w:rPr>
              <w:t>投标人应将所有招标人送出的招标文件包括有关项目资料作为保密文件处理。对于任何违反此规定的投标人的投标文件视为废标。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22</w:t>
            </w:r>
          </w:p>
        </w:tc>
        <w:tc>
          <w:tcPr>
            <w:tcW w:w="1418" w:type="dxa"/>
          </w:tcPr>
          <w:p>
            <w:pPr>
              <w:jc w:val="left"/>
              <w:rPr>
                <w:rFonts w:cs="仿宋_GB2312" w:asciiTheme="minorEastAsia" w:hAnsiTheme="minorEastAsia"/>
                <w:bCs/>
                <w:szCs w:val="21"/>
              </w:rPr>
            </w:pPr>
            <w:r>
              <w:rPr>
                <w:rFonts w:hint="eastAsia" w:cs="仿宋_GB2312" w:asciiTheme="majorEastAsia" w:hAnsiTheme="majorEastAsia" w:eastAsiaTheme="majorEastAsia"/>
                <w:bCs/>
                <w:szCs w:val="21"/>
              </w:rPr>
              <w:t>招标文件约束力</w:t>
            </w:r>
          </w:p>
        </w:tc>
        <w:tc>
          <w:tcPr>
            <w:tcW w:w="7513" w:type="dxa"/>
          </w:tcPr>
          <w:p>
            <w:pPr>
              <w:snapToGrid w:val="0"/>
              <w:spacing w:line="360" w:lineRule="auto"/>
              <w:rPr>
                <w:rFonts w:ascii="宋体" w:hAnsi="宋体" w:eastAsia="宋体" w:cs="宋体"/>
                <w:szCs w:val="21"/>
              </w:rPr>
            </w:pPr>
            <w:r>
              <w:rPr>
                <w:rFonts w:hint="eastAsia" w:ascii="宋体" w:hAnsi="宋体" w:eastAsia="宋体" w:cs="宋体"/>
                <w:szCs w:val="21"/>
              </w:rPr>
              <w:t>投标人一旦领取了本招标文件并参加招标，即被认为接受了本招标文件中的所有条件和规定。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asciiTheme="minorEastAsia" w:hAnsiTheme="minorEastAsia"/>
                <w:szCs w:val="21"/>
              </w:rPr>
              <w:t>23</w:t>
            </w:r>
          </w:p>
        </w:tc>
        <w:tc>
          <w:tcPr>
            <w:tcW w:w="1418" w:type="dxa"/>
          </w:tcPr>
          <w:p>
            <w:pPr>
              <w:jc w:val="left"/>
              <w:rPr>
                <w:rFonts w:cs="仿宋_GB2312" w:asciiTheme="minorEastAsia" w:hAnsiTheme="minorEastAsia"/>
                <w:bCs/>
                <w:szCs w:val="21"/>
              </w:rPr>
            </w:pPr>
            <w:r>
              <w:rPr>
                <w:rFonts w:hint="eastAsia" w:cs="仿宋_GB2312" w:asciiTheme="majorEastAsia" w:hAnsiTheme="majorEastAsia" w:eastAsiaTheme="majorEastAsia"/>
                <w:bCs/>
                <w:szCs w:val="21"/>
              </w:rPr>
              <w:t>谈判文件编制要求</w:t>
            </w:r>
          </w:p>
        </w:tc>
        <w:tc>
          <w:tcPr>
            <w:tcW w:w="7513" w:type="dxa"/>
          </w:tcPr>
          <w:p>
            <w:pPr>
              <w:spacing w:line="360" w:lineRule="auto"/>
              <w:rPr>
                <w:rFonts w:ascii="宋体" w:hAnsi="宋体" w:eastAsia="宋体" w:cs="宋体"/>
                <w:szCs w:val="21"/>
              </w:rPr>
            </w:pPr>
            <w:r>
              <w:rPr>
                <w:rFonts w:hint="eastAsia" w:ascii="宋体" w:hAnsi="宋体" w:eastAsia="宋体" w:cs="宋体"/>
                <w:szCs w:val="21"/>
              </w:rPr>
              <w:t>1.供应商对谈判响应文件应按要求编制。</w:t>
            </w:r>
          </w:p>
          <w:p>
            <w:pPr>
              <w:spacing w:line="360" w:lineRule="auto"/>
              <w:rPr>
                <w:rFonts w:ascii="宋体" w:hAnsi="宋体" w:eastAsia="宋体" w:cs="宋体"/>
                <w:szCs w:val="21"/>
              </w:rPr>
            </w:pPr>
            <w:r>
              <w:rPr>
                <w:rFonts w:hint="eastAsia" w:ascii="宋体" w:hAnsi="宋体" w:eastAsia="宋体" w:cs="宋体"/>
                <w:szCs w:val="21"/>
              </w:rPr>
              <w:t>2.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pPr>
              <w:spacing w:line="360" w:lineRule="auto"/>
              <w:rPr>
                <w:rFonts w:ascii="宋体" w:hAnsi="宋体" w:eastAsia="宋体" w:cs="宋体"/>
                <w:szCs w:val="21"/>
              </w:rPr>
            </w:pPr>
            <w:r>
              <w:rPr>
                <w:rFonts w:hint="eastAsia" w:ascii="宋体" w:hAnsi="宋体" w:eastAsia="宋体" w:cs="宋体"/>
                <w:szCs w:val="21"/>
              </w:rPr>
              <w:t>3.供应商应认真阅读、并充分理解本文件的全部内容（包括所有的补充、修改内容），承诺并履行本文件中各项条款规定及要求。</w:t>
            </w:r>
          </w:p>
          <w:p>
            <w:pPr>
              <w:spacing w:line="360" w:lineRule="auto"/>
              <w:rPr>
                <w:rFonts w:ascii="宋体" w:hAnsi="宋体" w:eastAsia="宋体" w:cs="宋体"/>
                <w:szCs w:val="21"/>
              </w:rPr>
            </w:pPr>
            <w:r>
              <w:rPr>
                <w:rFonts w:hint="eastAsia" w:ascii="宋体" w:hAnsi="宋体" w:eastAsia="宋体" w:cs="宋体"/>
                <w:szCs w:val="21"/>
              </w:rPr>
              <w:t>4. 谈判响应文件必须按本文件的全部内容，包括所有的补充通知及附件进行编制。</w:t>
            </w:r>
          </w:p>
          <w:p>
            <w:pPr>
              <w:snapToGrid w:val="0"/>
              <w:spacing w:line="360" w:lineRule="auto"/>
              <w:rPr>
                <w:rFonts w:ascii="宋体" w:hAnsi="宋体" w:eastAsia="宋体" w:cs="宋体"/>
                <w:szCs w:val="21"/>
              </w:rPr>
            </w:pPr>
            <w:r>
              <w:rPr>
                <w:rFonts w:hint="eastAsia" w:ascii="宋体" w:hAnsi="宋体" w:eastAsia="宋体" w:cs="宋体"/>
                <w:szCs w:val="21"/>
              </w:rPr>
              <w:t>5.如因供应商只填写和提供了本文件要求的部分内容和附件，而给评审造成困难，其可能导致的结果和责任由供应商自行承担。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报价要求</w:t>
            </w:r>
          </w:p>
        </w:tc>
        <w:tc>
          <w:tcPr>
            <w:tcW w:w="7513" w:type="dxa"/>
          </w:tcPr>
          <w:p>
            <w:pPr>
              <w:snapToGrid w:val="0"/>
              <w:spacing w:line="360" w:lineRule="auto"/>
              <w:ind w:firstLine="315" w:firstLineChars="150"/>
              <w:rPr>
                <w:rFonts w:ascii="宋体" w:hAnsi="宋体" w:eastAsia="宋体" w:cs="宋体"/>
                <w:color w:val="FF0000"/>
                <w:szCs w:val="21"/>
              </w:rPr>
            </w:pPr>
            <w:r>
              <w:rPr>
                <w:rFonts w:hint="eastAsia" w:ascii="宋体" w:hAnsi="宋体" w:eastAsia="宋体" w:cs="宋体"/>
                <w:szCs w:val="21"/>
              </w:rPr>
              <w:t>本项目的投标报价采用综合总价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填报的报价由投标人自行承担全部风险并达到预期的质量要求，中标后除采购文件及服务合同条款规定外，不得以任何理由调整报价或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tcPr>
          <w:p>
            <w:pPr>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中标通知书发布</w:t>
            </w:r>
          </w:p>
        </w:tc>
        <w:tc>
          <w:tcPr>
            <w:tcW w:w="7513" w:type="dxa"/>
          </w:tcPr>
          <w:p>
            <w:pPr>
              <w:snapToGrid w:val="0"/>
              <w:spacing w:line="360" w:lineRule="auto"/>
              <w:ind w:firstLine="315" w:firstLineChars="150"/>
              <w:rPr>
                <w:rFonts w:ascii="宋体" w:hAnsi="宋体" w:eastAsia="宋体" w:cs="宋体"/>
                <w:color w:val="FF0000"/>
                <w:szCs w:val="21"/>
              </w:rPr>
            </w:pPr>
            <w:r>
              <w:rPr>
                <w:rFonts w:hint="eastAsia" w:ascii="宋体" w:hAnsi="宋体" w:eastAsia="宋体" w:cs="宋体"/>
                <w:bCs/>
                <w:szCs w:val="21"/>
              </w:rPr>
              <w:t>招标人将在评标结束后在</w:t>
            </w:r>
            <w:r>
              <w:rPr>
                <w:rFonts w:hint="eastAsia" w:ascii="宋体" w:hAnsi="宋体" w:eastAsia="宋体" w:cs="宋体"/>
                <w:szCs w:val="21"/>
              </w:rPr>
              <w:t>http://eps.tunhe.com平台网站</w:t>
            </w:r>
            <w:r>
              <w:rPr>
                <w:rFonts w:hint="eastAsia" w:ascii="宋体" w:hAnsi="宋体" w:eastAsia="宋体" w:cs="宋体"/>
                <w:bCs/>
                <w:szCs w:val="21"/>
              </w:rPr>
              <w:t>向中标人发出《中标通知书》，同时向所有落标人发出《招标结果通知书》。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75" w:type="dxa"/>
          </w:tcPr>
          <w:p>
            <w:pPr>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合同签订要求</w:t>
            </w:r>
          </w:p>
        </w:tc>
        <w:tc>
          <w:tcPr>
            <w:tcW w:w="7513" w:type="dxa"/>
          </w:tcPr>
          <w:p>
            <w:pPr>
              <w:snapToGrid w:val="0"/>
              <w:spacing w:line="360" w:lineRule="auto"/>
              <w:ind w:firstLine="315" w:firstLineChars="150"/>
              <w:rPr>
                <w:rFonts w:ascii="宋体" w:hAnsi="宋体" w:eastAsia="宋体" w:cs="宋体"/>
                <w:color w:val="FF0000"/>
                <w:szCs w:val="21"/>
              </w:rPr>
            </w:pPr>
            <w:r>
              <w:rPr>
                <w:rFonts w:hint="eastAsia" w:ascii="宋体" w:hAnsi="宋体" w:eastAsia="宋体" w:cs="宋体"/>
                <w:szCs w:val="21"/>
              </w:rPr>
              <w:t>中标人在收到《中标通知书》之后，应按照《中标通知书》规定的时间签订合同。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75" w:type="dxa"/>
          </w:tcPr>
          <w:p>
            <w:pPr>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p>
        </w:tc>
        <w:tc>
          <w:tcPr>
            <w:tcW w:w="1418" w:type="dxa"/>
          </w:tcPr>
          <w:p>
            <w:pPr>
              <w:jc w:val="left"/>
              <w:rPr>
                <w:rFonts w:cs="仿宋_GB2312" w:asciiTheme="minorEastAsia" w:hAnsiTheme="minorEastAsia"/>
                <w:bCs/>
                <w:szCs w:val="21"/>
              </w:rPr>
            </w:pPr>
            <w:r>
              <w:rPr>
                <w:rFonts w:hint="eastAsia"/>
              </w:rPr>
              <w:t>项目联系人</w:t>
            </w:r>
          </w:p>
        </w:tc>
        <w:tc>
          <w:tcPr>
            <w:tcW w:w="7513" w:type="dxa"/>
          </w:tcPr>
          <w:p>
            <w:pPr>
              <w:pStyle w:val="19"/>
              <w:ind w:left="0" w:leftChars="0" w:firstLine="0" w:firstLineChars="0"/>
            </w:pPr>
            <w:r>
              <w:rPr>
                <w:rFonts w:hint="eastAsia"/>
              </w:rPr>
              <w:t xml:space="preserve">联系人：肖跃 </w:t>
            </w:r>
            <w:r>
              <w:t xml:space="preserve">       </w:t>
            </w:r>
            <w:r>
              <w:rPr>
                <w:rFonts w:hint="eastAsia"/>
              </w:rPr>
              <w:t>联系电话：1</w:t>
            </w:r>
            <w:r>
              <w:t>8231535777</w:t>
            </w:r>
          </w:p>
          <w:p>
            <w:pPr>
              <w:snapToGrid w:val="0"/>
              <w:spacing w:line="360" w:lineRule="auto"/>
              <w:rPr>
                <w:rFonts w:hint="default" w:ascii="宋体" w:hAnsi="宋体" w:cs="宋体" w:eastAsiaTheme="minorEastAsia"/>
                <w:szCs w:val="21"/>
                <w:lang w:val="en-US" w:eastAsia="zh-CN"/>
              </w:rPr>
            </w:pPr>
            <w:r>
              <w:rPr>
                <w:rFonts w:hint="eastAsia"/>
              </w:rPr>
              <w:t>联系人：</w:t>
            </w:r>
            <w:r>
              <w:rPr>
                <w:rFonts w:hint="eastAsia"/>
                <w:lang w:val="en-US" w:eastAsia="zh-CN"/>
              </w:rPr>
              <w:t>张振涛</w:t>
            </w:r>
            <w:r>
              <w:rPr>
                <w:rFonts w:hint="eastAsia"/>
              </w:rPr>
              <w:t xml:space="preserve"> </w:t>
            </w:r>
            <w:r>
              <w:t xml:space="preserve">     </w:t>
            </w:r>
            <w:r>
              <w:rPr>
                <w:rFonts w:hint="eastAsia"/>
              </w:rPr>
              <w:t>联系电话：</w:t>
            </w:r>
            <w:r>
              <w:t>1</w:t>
            </w:r>
            <w:r>
              <w:rPr>
                <w:rFonts w:hint="eastAsia"/>
                <w:lang w:val="en-US" w:eastAsia="zh-CN"/>
              </w:rPr>
              <w:t>3673259137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w:t>
            </w:r>
          </w:p>
        </w:tc>
        <w:tc>
          <w:tcPr>
            <w:tcW w:w="1418" w:type="dxa"/>
          </w:tcPr>
          <w:p>
            <w:pPr>
              <w:jc w:val="left"/>
              <w:rPr>
                <w:rFonts w:cs="仿宋_GB2312" w:asciiTheme="minorEastAsia" w:hAnsiTheme="minorEastAsia"/>
                <w:bCs/>
                <w:szCs w:val="21"/>
              </w:rPr>
            </w:pPr>
            <w:r>
              <w:rPr>
                <w:rFonts w:hint="eastAsia" w:cs="仿宋_GB2312" w:asciiTheme="minorEastAsia" w:hAnsiTheme="minorEastAsia"/>
                <w:bCs/>
                <w:szCs w:val="21"/>
              </w:rPr>
              <w:t>中粮糖业采购监督联系方式</w:t>
            </w:r>
          </w:p>
          <w:p>
            <w:pPr>
              <w:jc w:val="left"/>
              <w:rPr>
                <w:rFonts w:cs="仿宋_GB2312" w:asciiTheme="minorEastAsia" w:hAnsiTheme="minorEastAsia"/>
                <w:bCs/>
                <w:szCs w:val="21"/>
              </w:rPr>
            </w:pPr>
          </w:p>
        </w:tc>
        <w:tc>
          <w:tcPr>
            <w:tcW w:w="7513" w:type="dxa"/>
          </w:tcPr>
          <w:p>
            <w:pPr>
              <w:snapToGrid w:val="0"/>
              <w:spacing w:line="360" w:lineRule="auto"/>
              <w:rPr>
                <w:rFonts w:ascii="宋体" w:hAnsi="宋体" w:eastAsia="宋体" w:cs="宋体"/>
                <w:szCs w:val="21"/>
              </w:rPr>
            </w:pPr>
            <w:r>
              <w:rPr>
                <w:rFonts w:hint="eastAsia" w:ascii="宋体" w:hAnsi="宋体" w:eastAsia="宋体" w:cs="宋体"/>
                <w:szCs w:val="21"/>
              </w:rPr>
              <w:t>一、纪委办公室联系方式：        </w:t>
            </w:r>
            <w:r>
              <w:rPr>
                <w:rFonts w:hint="eastAsia" w:ascii="宋体" w:hAnsi="宋体" w:eastAsia="宋体" w:cs="宋体"/>
                <w:szCs w:val="21"/>
              </w:rPr>
              <w:br w:type="textWrapping"/>
            </w:r>
            <w:r>
              <w:rPr>
                <w:rFonts w:hint="eastAsia" w:ascii="宋体" w:hAnsi="宋体" w:eastAsia="宋体" w:cs="宋体"/>
                <w:szCs w:val="21"/>
              </w:rPr>
              <w:t>办公电话：010-85017235</w:t>
            </w:r>
            <w:r>
              <w:rPr>
                <w:rFonts w:hint="eastAsia" w:ascii="宋体" w:hAnsi="宋体" w:eastAsia="宋体" w:cs="宋体"/>
                <w:szCs w:val="21"/>
              </w:rPr>
              <w:br w:type="textWrapping"/>
            </w:r>
            <w:r>
              <w:rPr>
                <w:rFonts w:hint="eastAsia" w:ascii="宋体" w:hAnsi="宋体" w:eastAsia="宋体" w:cs="宋体"/>
                <w:szCs w:val="21"/>
              </w:rPr>
              <w:t>通讯地址：北京市朝阳区朝阳门南大街8号9层905室纪委办公室收，邮编100020</w:t>
            </w:r>
          </w:p>
          <w:p>
            <w:pPr>
              <w:snapToGrid w:val="0"/>
              <w:spacing w:line="360" w:lineRule="auto"/>
              <w:rPr>
                <w:rFonts w:ascii="宋体" w:hAnsi="宋体" w:eastAsia="宋体" w:cs="宋体"/>
                <w:szCs w:val="21"/>
              </w:rPr>
            </w:pPr>
            <w:r>
              <w:rPr>
                <w:rFonts w:hint="eastAsia" w:ascii="宋体" w:hAnsi="宋体" w:eastAsia="宋体" w:cs="宋体"/>
                <w:szCs w:val="21"/>
              </w:rPr>
              <w:t>二、采购项目监督人员联系方式</w:t>
            </w:r>
          </w:p>
          <w:p>
            <w:pPr>
              <w:spacing w:line="360" w:lineRule="auto"/>
              <w:ind w:firstLine="210" w:firstLineChars="100"/>
              <w:rPr>
                <w:rFonts w:hint="eastAsia" w:asciiTheme="minorEastAsia" w:hAnsiTheme="minorEastAsia" w:eastAsiaTheme="minorEastAsia"/>
                <w:bCs/>
                <w:szCs w:val="21"/>
                <w:lang w:eastAsia="zh-CN"/>
              </w:rPr>
            </w:pPr>
            <w:r>
              <w:rPr>
                <w:rFonts w:hint="eastAsia" w:asciiTheme="minorEastAsia" w:hAnsiTheme="minorEastAsia"/>
                <w:bCs/>
                <w:szCs w:val="21"/>
              </w:rPr>
              <w:t>姓名：</w:t>
            </w:r>
            <w:r>
              <w:rPr>
                <w:rFonts w:hint="eastAsia" w:asciiTheme="minorEastAsia" w:hAnsiTheme="minorEastAsia"/>
                <w:bCs/>
                <w:szCs w:val="21"/>
                <w:lang w:val="en-US" w:eastAsia="zh-CN"/>
              </w:rPr>
              <w:t>于小涵</w:t>
            </w:r>
          </w:p>
          <w:p>
            <w:pPr>
              <w:snapToGrid w:val="0"/>
              <w:spacing w:line="360" w:lineRule="auto"/>
              <w:ind w:firstLine="210" w:firstLineChars="100"/>
              <w:rPr>
                <w:rFonts w:ascii="宋体" w:hAnsi="宋体" w:eastAsia="宋体" w:cs="宋体"/>
                <w:szCs w:val="21"/>
              </w:rPr>
            </w:pPr>
            <w:r>
              <w:rPr>
                <w:rFonts w:hint="eastAsia" w:asciiTheme="minorEastAsia" w:hAnsiTheme="minorEastAsia"/>
                <w:bCs/>
                <w:szCs w:val="21"/>
              </w:rPr>
              <w:t>联系电话：15846321177</w:t>
            </w:r>
          </w:p>
        </w:tc>
      </w:tr>
    </w:tbl>
    <w:p>
      <w:pPr>
        <w:jc w:val="center"/>
        <w:rPr>
          <w:rFonts w:cs="仿宋_GB2312" w:asciiTheme="minorEastAsia" w:hAnsiTheme="minorEastAsia"/>
          <w:kern w:val="0"/>
          <w:sz w:val="20"/>
          <w:szCs w:val="28"/>
        </w:rPr>
      </w:pPr>
      <w:bookmarkStart w:id="0" w:name="_Toc21028"/>
      <w:bookmarkStart w:id="1" w:name="_Toc490749736"/>
      <w:bookmarkStart w:id="2" w:name="_Toc19347"/>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jc w:val="center"/>
        <w:rPr>
          <w:rFonts w:ascii="黑体" w:eastAsia="黑体"/>
          <w:bCs/>
          <w:sz w:val="36"/>
          <w:szCs w:val="36"/>
        </w:rPr>
      </w:pPr>
      <w:r>
        <w:rPr>
          <w:rFonts w:hint="eastAsia" w:ascii="黑体" w:eastAsia="黑体"/>
          <w:bCs/>
          <w:sz w:val="36"/>
          <w:szCs w:val="36"/>
        </w:rPr>
        <w:t>第二章 技术要求</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企业应具有检测、维保的相应资质，消防值守人员年龄要求55周岁以下，身体健康，头脑灵活，服从管理，乙方提供值守人员身份证及资格证书复印件供甲方备案保存，并保证人、证一致，不得造假。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值守人员负责发包人消防控制室内的消防控制设备的监视和运行，不得撤离职守，做好检查，操作等工作；消防安全设备检查及操作；设备设施的运行记录；消防控制室值班记录；日常消防设施的巡查并如实填写巡查记录；火警、故障、反馈等信息的记录并协调消防维保填写消防设施故障维修记录，按照相关要求及时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值守人员应整理消防控制室相关资料，必须熟悉相关消防知识、甲方设备操作；对巡查、检查过程中发现的问题和隐患及时报告甲方，并提出合理建议；配合维保公司做好维护保养工作；在上级检查中能够清晰讲解消防控制设备的性能、各项操作功能及熟悉公司现场消防水系统、电系统；在检查和发生火情时能够及时、妥善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熟悉本单位所采用消防设施系统基本原理、功能，熟练掌握操作技术，协助技术人员进行修理、维护，不得擅自拆卸、挪用或停用，保证设备正常运行。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火灾时要在三分钟内确认，查找报警点位要熟悉，准确，在第一时间到达报警位置，控制室人员及时，准确启动有关消防设备，现场人员会扑救初起火灾，正确有效地组织、协助扑救火灾及人员疏散，给领导决策当好参谋，并及时报警，消防队到达后，要如实报告情况，协助消防人员扑救火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对消防控制室设备及通讯器材等要进行经常性的检查，定期做好各系统功能试验，以确保消防设施各系统运行状况良好。做好交接班工作，认真做好各项记录。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积极参加消防业务学习和专业培训，不断提高业务素质。</w:t>
      </w:r>
    </w:p>
    <w:p>
      <w:pPr>
        <w:ind w:firstLine="2880" w:firstLineChars="800"/>
        <w:rPr>
          <w:rFonts w:ascii="黑体" w:eastAsia="黑体"/>
          <w:bCs/>
          <w:sz w:val="36"/>
          <w:szCs w:val="36"/>
        </w:rPr>
      </w:pPr>
    </w:p>
    <w:p>
      <w:pPr>
        <w:ind w:firstLine="2880" w:firstLineChars="800"/>
        <w:rPr>
          <w:rFonts w:ascii="黑体" w:eastAsia="黑体"/>
          <w:bCs/>
          <w:sz w:val="36"/>
          <w:szCs w:val="36"/>
        </w:rPr>
      </w:pPr>
      <w:r>
        <w:rPr>
          <w:rFonts w:hint="eastAsia" w:ascii="黑体" w:eastAsia="黑体"/>
          <w:bCs/>
          <w:sz w:val="36"/>
          <w:szCs w:val="36"/>
        </w:rPr>
        <w:t>第三章 合同条款</w:t>
      </w:r>
    </w:p>
    <w:p>
      <w:pPr>
        <w:spacing w:line="560" w:lineRule="exact"/>
        <w:ind w:firstLine="640" w:firstLineChars="200"/>
        <w:rPr>
          <w:rFonts w:ascii="黑体" w:hAnsi="黑体" w:eastAsia="黑体" w:cs="黑体"/>
          <w:sz w:val="32"/>
          <w:szCs w:val="28"/>
        </w:rPr>
      </w:pP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一、合同签订</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根据《中华人民共和国民法典》和国家有关法律、法规，甲乙双方经平等协商，自愿签订本合同。</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二、具体内容</w:t>
      </w:r>
    </w:p>
    <w:p>
      <w:pPr>
        <w:pStyle w:val="28"/>
        <w:numPr>
          <w:ilvl w:val="255"/>
          <w:numId w:val="0"/>
        </w:num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消防值守人员负责发包人消防控制室内的消防安全设备检查、操作；设备设施的运行记录；消防控制室值班记录；日常消防设施的巡查并如实填写巡查记录；火警、故障、反馈等信息的记录并协调消防维保填写消防设施故障维修记录，按照相关要求及时处理。</w:t>
      </w:r>
    </w:p>
    <w:p>
      <w:pPr>
        <w:pStyle w:val="28"/>
        <w:numPr>
          <w:ilvl w:val="255"/>
          <w:numId w:val="0"/>
        </w:num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值守人员应整理消防控制室相关资料，必须熟悉相关消防知识、甲方设备操作；对巡查、检查过程中发现的问题和隐患及时报告甲方，并提出合理建议；配合维保公司做好维护保养工作；在上级检查中能够清晰讲解消防控制设备的性能、各项操作功能及熟悉公司现场消防水系统、电系统；在检查和发生火情时能够及时、妥善处置。</w:t>
      </w:r>
    </w:p>
    <w:p>
      <w:pPr>
        <w:pStyle w:val="28"/>
        <w:spacing w:line="560" w:lineRule="exact"/>
        <w:ind w:firstLine="640"/>
        <w:rPr>
          <w:rFonts w:ascii="Times New Roman" w:hAnsi="Times New Roman" w:eastAsia="仿宋_GB2312"/>
          <w:sz w:val="32"/>
          <w:szCs w:val="28"/>
        </w:rPr>
      </w:pPr>
      <w:r>
        <w:rPr>
          <w:rFonts w:hint="eastAsia" w:ascii="Times New Roman" w:hAnsi="Times New Roman" w:eastAsia="仿宋_GB2312"/>
          <w:sz w:val="32"/>
          <w:szCs w:val="28"/>
        </w:rPr>
        <w:t>3.完成公司交办的其他事项。</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三、消防值守人员的数量、要求</w:t>
      </w:r>
    </w:p>
    <w:p>
      <w:pPr>
        <w:spacing w:line="560" w:lineRule="exact"/>
        <w:ind w:firstLine="640" w:firstLineChars="200"/>
        <w:rPr>
          <w:rFonts w:ascii="Times New Roman" w:hAnsi="Times New Roman" w:eastAsia="仿宋_GB2312"/>
          <w:sz w:val="32"/>
          <w:szCs w:val="28"/>
          <w:u w:val="single"/>
        </w:rPr>
      </w:pPr>
      <w:r>
        <w:rPr>
          <w:rFonts w:hint="eastAsia" w:ascii="Times New Roman" w:hAnsi="Times New Roman" w:eastAsia="仿宋_GB2312"/>
          <w:sz w:val="32"/>
          <w:szCs w:val="28"/>
        </w:rPr>
        <w:t>1.按照相关要求，乙方向甲方派遣符合要求的消防值守人员</w:t>
      </w:r>
      <w:r>
        <w:rPr>
          <w:rFonts w:hint="eastAsia" w:ascii="Times New Roman" w:hAnsi="Times New Roman" w:eastAsia="仿宋_GB2312"/>
          <w:sz w:val="32"/>
          <w:szCs w:val="28"/>
          <w:u w:val="single"/>
        </w:rPr>
        <w:t>6名</w:t>
      </w:r>
      <w:r>
        <w:rPr>
          <w:rFonts w:hint="eastAsia" w:ascii="Times New Roman" w:hAnsi="Times New Roman" w:eastAsia="仿宋_GB2312"/>
          <w:sz w:val="32"/>
          <w:szCs w:val="28"/>
        </w:rPr>
        <w:t>，具备一定的处理突发事件的能力且持有消防控制室操作</w:t>
      </w:r>
      <w:r>
        <w:rPr>
          <w:rFonts w:hint="eastAsia" w:ascii="Times New Roman" w:hAnsi="Times New Roman" w:eastAsia="仿宋_GB2312"/>
          <w:color w:val="FF0000"/>
          <w:sz w:val="32"/>
          <w:szCs w:val="28"/>
          <w:lang w:val="en-US" w:eastAsia="zh-CN"/>
        </w:rPr>
        <w:t>中级</w:t>
      </w:r>
      <w:r>
        <w:rPr>
          <w:rFonts w:hint="eastAsia" w:ascii="Times New Roman" w:hAnsi="Times New Roman" w:eastAsia="仿宋_GB2312"/>
          <w:sz w:val="32"/>
          <w:szCs w:val="28"/>
        </w:rPr>
        <w:t>职业资格证书。甲方因人员调整配置后，乙方应按照甲方要求调整配备消防值守人员，甲方按照乙方委派人数给予支付服务费。</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2.消防值守人员年龄要求</w:t>
      </w:r>
      <w:r>
        <w:rPr>
          <w:rFonts w:hint="eastAsia" w:ascii="Times New Roman" w:hAnsi="Times New Roman" w:eastAsia="仿宋_GB2312"/>
          <w:sz w:val="32"/>
          <w:szCs w:val="28"/>
          <w:u w:val="single"/>
        </w:rPr>
        <w:t>55周岁</w:t>
      </w:r>
      <w:r>
        <w:rPr>
          <w:rFonts w:hint="eastAsia" w:ascii="Times New Roman" w:hAnsi="Times New Roman" w:eastAsia="仿宋_GB2312"/>
          <w:sz w:val="32"/>
          <w:szCs w:val="28"/>
        </w:rPr>
        <w:t>以下，身体健康，头脑灵活，服从管理，乙方提供值守人员身份证及资格证书复印件供甲方备案保存，并保证人、证一致，不得造假。</w:t>
      </w:r>
    </w:p>
    <w:p>
      <w:pPr>
        <w:spacing w:line="560" w:lineRule="exact"/>
        <w:ind w:firstLine="640" w:firstLineChars="200"/>
        <w:rPr>
          <w:rFonts w:hint="eastAsia" w:ascii="Times New Roman" w:hAnsi="Times New Roman" w:eastAsia="仿宋_GB2312"/>
          <w:sz w:val="32"/>
          <w:szCs w:val="28"/>
        </w:rPr>
      </w:pPr>
      <w:r>
        <w:rPr>
          <w:rFonts w:hint="eastAsia" w:ascii="Times New Roman" w:hAnsi="Times New Roman" w:eastAsia="仿宋_GB2312"/>
          <w:sz w:val="32"/>
          <w:szCs w:val="28"/>
        </w:rPr>
        <w:t>3.值守岗位为：</w:t>
      </w:r>
      <w:r>
        <w:rPr>
          <w:rFonts w:hint="eastAsia" w:ascii="Times New Roman" w:hAnsi="Times New Roman" w:eastAsia="仿宋_GB2312"/>
          <w:color w:val="FF0000"/>
          <w:sz w:val="32"/>
          <w:szCs w:val="28"/>
        </w:rPr>
        <w:t>消防控制室，值守人员须保证消防控制室365天*24小时不空岗、不缺岗，每班不低于2人，连续工作时长不超12小时/班，节假日值守人员的津贴、补贴等由乙方承担。</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四、甲方的权利和义务</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1.因乙方消防值守人员操作不当致使消防设备受到损坏，应由乙方给予修复或赔偿设备及由此带来的损失。</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2.甲方负责为乙方消防值守人员免费提供必要的工作条件（如：桌椅、对讲机、登记本等）。</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3.甲方有义务按期如数支付本合同项下服务费，在每月月底前按照</w:t>
      </w:r>
      <w:r>
        <w:rPr>
          <w:rFonts w:hint="eastAsia" w:ascii="Times New Roman" w:hAnsi="Times New Roman" w:eastAsia="仿宋_GB2312"/>
          <w:sz w:val="32"/>
          <w:szCs w:val="28"/>
          <w:u w:val="single"/>
        </w:rPr>
        <w:t>《消防控制室值守人员考核考评表》</w:t>
      </w:r>
      <w:r>
        <w:rPr>
          <w:rFonts w:hint="eastAsia" w:ascii="Times New Roman" w:hAnsi="Times New Roman" w:eastAsia="仿宋_GB2312"/>
          <w:sz w:val="32"/>
          <w:szCs w:val="28"/>
        </w:rPr>
        <w:t>对消防值守人员做出考核考评。</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4.消防值守人员因失职或操作失误导致，受伤、致残、死亡，乙方应根据工伤保险有关规定全权、尽快处理并独立承担后果。甲方不负任何责任，可协助乙方做好善后工作。</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5.消防值守人员在工作中发生违法、违纪行为，甲方除按相关规定进行处理外，同时通知乙方进行严肃处理。在工作中严重失职造成经济损失等严重后果，则追究乙方的责任。乙方有义务赔偿在服务中造成的经济损失。</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五、乙方的权利和义务</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1.乙方提供的消防值守服务应符合国家有关规定和甲方提出的要求。</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2.乙方负责消防值守人员的工资、加班费、意外伤害险及其他福利待遇，并负责提供值守人员住宿。</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3.乙方负责值守人员的思想教育和业务素质的提高，以优质的服务完成消防值守工作。</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4.乙方有权对甲方公司范围内的安全隐患提出整改意见，甲方应认真研究和整改。对于经甲方确认该安全隐患存在，但未进行整改而发生的安全事故，乙方不负责任。</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5.对甲方提出不称职的值守人员应在</w:t>
      </w:r>
      <w:r>
        <w:rPr>
          <w:rFonts w:hint="eastAsia" w:ascii="Times New Roman" w:hAnsi="Times New Roman" w:eastAsia="仿宋_GB2312"/>
          <w:sz w:val="32"/>
          <w:szCs w:val="28"/>
          <w:u w:val="single"/>
        </w:rPr>
        <w:t>20个</w:t>
      </w:r>
      <w:r>
        <w:rPr>
          <w:rFonts w:hint="eastAsia" w:ascii="Times New Roman" w:hAnsi="Times New Roman" w:eastAsia="仿宋_GB2312"/>
          <w:sz w:val="32"/>
          <w:szCs w:val="28"/>
        </w:rPr>
        <w:t>工作日内予以更换，增加;如人员因其他任何原因离职，乙方应在</w:t>
      </w:r>
      <w:r>
        <w:rPr>
          <w:rFonts w:hint="eastAsia" w:ascii="Times New Roman" w:hAnsi="Times New Roman" w:eastAsia="仿宋_GB2312"/>
          <w:sz w:val="32"/>
          <w:szCs w:val="28"/>
          <w:u w:val="single"/>
        </w:rPr>
        <w:t>10个</w:t>
      </w:r>
      <w:r>
        <w:rPr>
          <w:rFonts w:hint="eastAsia" w:ascii="Times New Roman" w:hAnsi="Times New Roman" w:eastAsia="仿宋_GB2312"/>
          <w:sz w:val="32"/>
          <w:szCs w:val="28"/>
        </w:rPr>
        <w:t>工作日内必须补充到位，缺位期间，乙方调配人员进行值守，不得空缺。</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6.乙方有权利如期如数收取值守服务费。</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六、安全环保要求</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甲方对乙方值守人员在工作中履行安全管理协议、遵章守纪等情况进行监督检查，对发现外包人员存在的违章违纪行为，及时进行教育并要求其整改，同时根据内部管理制度对乙方进行考核。对不听劝告、严重违章违纪者，甲方有权将其驱逐出厂。</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2.乙方值守人员在工作中应严格履行安全管理协议及相关环保规定，并有义务严格遵守甲方的安全生产规章制度、操作规程等，服从甲方管理。</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3.乙方人员发生变更情况应及时书面告知甲方并履行人员变更手续。</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七、其他要求</w:t>
      </w:r>
    </w:p>
    <w:p>
      <w:pPr>
        <w:pStyle w:val="28"/>
        <w:spacing w:line="560" w:lineRule="exact"/>
        <w:ind w:firstLine="640"/>
        <w:rPr>
          <w:rFonts w:ascii="Times New Roman" w:hAnsi="Times New Roman" w:eastAsia="仿宋_GB2312"/>
          <w:sz w:val="32"/>
          <w:szCs w:val="28"/>
        </w:rPr>
      </w:pPr>
      <w:r>
        <w:rPr>
          <w:rFonts w:hint="eastAsia" w:ascii="Times New Roman" w:hAnsi="Times New Roman" w:eastAsia="仿宋_GB2312"/>
          <w:sz w:val="32"/>
          <w:szCs w:val="28"/>
        </w:rPr>
        <w:t>1.消防值守人员配合公司做好消防演练工作，熟悉报警信号确认的处置流程，懂得初起火灾扑救处置流程，配合公司员工进行火灾扑救。</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2.消防值守人员的具体执勤时间、职责范围、勤务安排等，由甲方负责。</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3.值守人员必须严格遵守《消防控制室管理制度》及其他各项规章制度，严格履行《消防控制室值班人员职责》。</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4.值守人员严禁带厂外无关人员进厂。</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5.值守人员严禁睡觉、饮酒、玩游戏、看电影或者做其他与工作无关的事情。</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6.值守人员做好保密工作，不得向无关人员提及厂内工作。</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7.值守人员调班、请假须告知甲方负责人，非必要不得替班，不得空岗，值守人员替换值班时，须向甲方安全环保部报备，值守人员上岗后须尽快熟悉环境。</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8.服务期限：</w:t>
      </w:r>
      <w:r>
        <w:rPr>
          <w:rFonts w:hint="eastAsia" w:ascii="Times New Roman" w:hAnsi="Times New Roman" w:eastAsia="仿宋_GB2312"/>
          <w:sz w:val="32"/>
          <w:szCs w:val="28"/>
          <w:u w:val="single"/>
          <w:lang w:val="en-US" w:eastAsia="zh-CN"/>
        </w:rPr>
        <w:t>12</w:t>
      </w:r>
      <w:r>
        <w:rPr>
          <w:rFonts w:hint="eastAsia" w:ascii="Times New Roman" w:hAnsi="Times New Roman" w:eastAsia="仿宋_GB2312"/>
          <w:sz w:val="32"/>
          <w:szCs w:val="28"/>
        </w:rPr>
        <w:t>个月，起止时间为</w:t>
      </w:r>
      <w:r>
        <w:rPr>
          <w:rFonts w:hint="eastAsia" w:ascii="Times New Roman" w:hAnsi="Times New Roman" w:eastAsia="仿宋_GB2312"/>
          <w:sz w:val="32"/>
          <w:szCs w:val="28"/>
          <w:u w:val="single"/>
        </w:rPr>
        <w:t>202</w:t>
      </w:r>
      <w:r>
        <w:rPr>
          <w:rFonts w:hint="eastAsia" w:ascii="Times New Roman" w:hAnsi="Times New Roman" w:eastAsia="仿宋_GB2312"/>
          <w:sz w:val="32"/>
          <w:szCs w:val="28"/>
          <w:u w:val="single"/>
          <w:lang w:val="en-US" w:eastAsia="zh-CN"/>
        </w:rPr>
        <w:t>4</w:t>
      </w:r>
      <w:r>
        <w:rPr>
          <w:rFonts w:hint="eastAsia" w:ascii="Times New Roman" w:hAnsi="Times New Roman" w:eastAsia="仿宋_GB2312"/>
          <w:sz w:val="32"/>
          <w:szCs w:val="28"/>
        </w:rPr>
        <w:t>年</w:t>
      </w:r>
      <w:r>
        <w:rPr>
          <w:rFonts w:hint="eastAsia" w:ascii="Times New Roman" w:hAnsi="Times New Roman" w:eastAsia="仿宋_GB2312"/>
          <w:sz w:val="32"/>
          <w:szCs w:val="28"/>
          <w:u w:val="single"/>
        </w:rPr>
        <w:t>0</w:t>
      </w:r>
      <w:r>
        <w:rPr>
          <w:rFonts w:hint="eastAsia" w:ascii="Times New Roman" w:hAnsi="Times New Roman" w:eastAsia="仿宋_GB2312"/>
          <w:sz w:val="32"/>
          <w:szCs w:val="28"/>
          <w:u w:val="single"/>
          <w:lang w:val="en-US" w:eastAsia="zh-CN"/>
        </w:rPr>
        <w:t>4</w:t>
      </w:r>
      <w:r>
        <w:rPr>
          <w:rFonts w:hint="eastAsia" w:ascii="Times New Roman" w:hAnsi="Times New Roman" w:eastAsia="仿宋_GB2312"/>
          <w:sz w:val="32"/>
          <w:szCs w:val="28"/>
        </w:rPr>
        <w:t>月</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u w:val="single"/>
          <w:lang w:val="en-US" w:eastAsia="zh-CN"/>
        </w:rPr>
        <w:t>26</w:t>
      </w:r>
      <w:r>
        <w:rPr>
          <w:rFonts w:hint="eastAsia" w:ascii="Times New Roman" w:hAnsi="Times New Roman" w:eastAsia="仿宋_GB2312"/>
          <w:sz w:val="32"/>
          <w:szCs w:val="28"/>
        </w:rPr>
        <w:t>日至</w:t>
      </w:r>
      <w:r>
        <w:rPr>
          <w:rFonts w:hint="eastAsia" w:ascii="Times New Roman" w:hAnsi="Times New Roman" w:eastAsia="仿宋_GB2312"/>
          <w:sz w:val="32"/>
          <w:szCs w:val="28"/>
          <w:u w:val="single"/>
        </w:rPr>
        <w:t xml:space="preserve">     202</w:t>
      </w:r>
      <w:r>
        <w:rPr>
          <w:rFonts w:hint="eastAsia" w:ascii="Times New Roman" w:hAnsi="Times New Roman" w:eastAsia="仿宋_GB2312"/>
          <w:sz w:val="32"/>
          <w:szCs w:val="28"/>
          <w:u w:val="single"/>
          <w:lang w:val="en-US" w:eastAsia="zh-CN"/>
        </w:rPr>
        <w:t>5</w:t>
      </w:r>
      <w:r>
        <w:rPr>
          <w:rFonts w:hint="eastAsia" w:ascii="Times New Roman" w:hAnsi="Times New Roman" w:eastAsia="仿宋_GB2312"/>
          <w:sz w:val="32"/>
          <w:szCs w:val="28"/>
        </w:rPr>
        <w:t>年</w:t>
      </w:r>
      <w:r>
        <w:rPr>
          <w:rFonts w:hint="eastAsia" w:ascii="Times New Roman" w:hAnsi="Times New Roman" w:eastAsia="仿宋_GB2312"/>
          <w:sz w:val="32"/>
          <w:szCs w:val="28"/>
          <w:u w:val="single"/>
        </w:rPr>
        <w:t xml:space="preserve"> 04</w:t>
      </w:r>
      <w:r>
        <w:rPr>
          <w:rFonts w:hint="eastAsia" w:ascii="Times New Roman" w:hAnsi="Times New Roman" w:eastAsia="仿宋_GB2312"/>
          <w:sz w:val="32"/>
          <w:szCs w:val="28"/>
        </w:rPr>
        <w:t>月</w:t>
      </w:r>
      <w:r>
        <w:rPr>
          <w:rFonts w:hint="eastAsia" w:ascii="Times New Roman" w:hAnsi="Times New Roman" w:eastAsia="仿宋_GB2312"/>
          <w:sz w:val="32"/>
          <w:szCs w:val="28"/>
          <w:u w:val="single"/>
          <w:lang w:val="en-US" w:eastAsia="zh-CN"/>
        </w:rPr>
        <w:t>25</w:t>
      </w:r>
      <w:r>
        <w:rPr>
          <w:rFonts w:hint="eastAsia" w:ascii="Times New Roman" w:hAnsi="Times New Roman" w:eastAsia="仿宋_GB2312"/>
          <w:sz w:val="32"/>
          <w:szCs w:val="28"/>
        </w:rPr>
        <w:t>日。</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八、服务费标准及付款方式</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1.甲方按月支付给乙方消防值守服务费。</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2.值守服务费（</w:t>
      </w:r>
      <w:r>
        <w:rPr>
          <w:rFonts w:hint="eastAsia" w:ascii="Times New Roman" w:hAnsi="Times New Roman" w:eastAsia="仿宋_GB2312"/>
          <w:sz w:val="32"/>
          <w:szCs w:val="28"/>
          <w:lang w:val="en-US" w:eastAsia="zh-CN"/>
        </w:rPr>
        <w:t>12</w:t>
      </w:r>
      <w:r>
        <w:rPr>
          <w:rFonts w:hint="eastAsia" w:ascii="Times New Roman" w:hAnsi="Times New Roman" w:eastAsia="仿宋_GB2312"/>
          <w:sz w:val="32"/>
          <w:szCs w:val="28"/>
        </w:rPr>
        <w:t>个月）：税率：</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增值税。</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含税总额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不含税金额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税额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3.值守服务费月费用：</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含税总额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不含税金额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税额</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元人民币（大写</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w:t>
      </w:r>
    </w:p>
    <w:p>
      <w:pPr>
        <w:spacing w:line="560" w:lineRule="exact"/>
        <w:ind w:left="638" w:leftChars="304"/>
        <w:rPr>
          <w:rFonts w:ascii="Times New Roman" w:hAnsi="Times New Roman" w:eastAsia="仿宋_GB2312"/>
          <w:sz w:val="32"/>
          <w:szCs w:val="28"/>
        </w:rPr>
      </w:pPr>
      <w:r>
        <w:rPr>
          <w:rFonts w:hint="eastAsia" w:ascii="Times New Roman" w:hAnsi="Times New Roman" w:eastAsia="仿宋_GB2312"/>
          <w:sz w:val="32"/>
          <w:szCs w:val="28"/>
        </w:rPr>
        <w:t>（注：如遇国家财政部门进行税率调整，在税率调整期间，</w:t>
      </w:r>
    </w:p>
    <w:p>
      <w:pPr>
        <w:spacing w:line="560" w:lineRule="exact"/>
        <w:rPr>
          <w:rFonts w:ascii="Times New Roman" w:hAnsi="Times New Roman" w:eastAsia="仿宋_GB2312"/>
          <w:sz w:val="32"/>
          <w:szCs w:val="28"/>
        </w:rPr>
      </w:pPr>
      <w:r>
        <w:rPr>
          <w:rFonts w:hint="eastAsia" w:ascii="Times New Roman" w:hAnsi="Times New Roman" w:eastAsia="仿宋_GB2312"/>
          <w:sz w:val="32"/>
          <w:szCs w:val="28"/>
        </w:rPr>
        <w:t>乙方给予甲方结算额按不含税金额为准，税率根据政策变动进行结算。）</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4.值守服务费以银行转账方式支付。支付日期为值守服务满一个月后的第</w:t>
      </w:r>
      <w:r>
        <w:rPr>
          <w:rFonts w:hint="eastAsia" w:ascii="Times New Roman" w:hAnsi="Times New Roman" w:eastAsia="仿宋_GB2312"/>
          <w:sz w:val="32"/>
          <w:szCs w:val="28"/>
          <w:u w:val="single"/>
        </w:rPr>
        <w:t xml:space="preserve"> 10 </w:t>
      </w:r>
      <w:r>
        <w:rPr>
          <w:rFonts w:hint="eastAsia" w:ascii="Times New Roman" w:hAnsi="Times New Roman" w:eastAsia="仿宋_GB2312"/>
          <w:sz w:val="32"/>
          <w:szCs w:val="28"/>
        </w:rPr>
        <w:t>日前支付上一月度周期的服务费。如支付日期最后1日为国家法定节假日、公休日，则节假日、公休日后的第1个工作日为支付期限。每次付款前，乙方须向甲方提供符合税法要求的发票（税率</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%的增值税专用发票）和收据，因提供发票和收据不符合公司要求和国家规定的，造成的风险和损失由发票提供方承担。</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5.本合同约定的值守服务费标准包括乙方支付给值守人员的加班费以及不能享受国家法定年休假所产生的费用。</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九、合同变更、终止和解除或续签</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1.甲方不按合同条款执行或未如期如数支付（因乙方违约行为导致的甲方拒付情形除外），情况严重且经乙方书面纠错合理时间后仍不执行的，承担合同期总酬金5%的违约金。情况严重的，乙方有权解除合同并要求甲方承担违约责任。</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2.除本合同其他条款规定之外，乙方未按合同条款执行且经甲方下达整改通知书后一周仍未达到要求时，承担合同期总酬金5%的违约金。情况严重的，甲方有权解除合同并要求乙方承担违约责任。</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3.经甲、乙双方协商，可变更合同部分条款。</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4.因不可抗拒因素不能继续履行合同时，双方可协商终止或解除合同。合同解除的，双方应根据本合同的约定据实结算服务费，双方互不承担违约责任。但合同生效期内双方权利义务不受影响。</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5.本合同期限届满即终止。一方若要求续订时，应在本合同期满前一个月内提出，由双方协商确定。</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6.因乙方管理达不到甲方需求、在甲方规定的整改期结束后服务质量仍达不到标准的，甲方有权解除合同。</w:t>
      </w:r>
    </w:p>
    <w:p>
      <w:pPr>
        <w:spacing w:line="560" w:lineRule="exact"/>
        <w:ind w:firstLine="640" w:firstLineChars="200"/>
        <w:rPr>
          <w:rFonts w:ascii="黑体" w:hAnsi="黑体" w:eastAsia="黑体" w:cs="黑体"/>
          <w:sz w:val="32"/>
          <w:szCs w:val="28"/>
        </w:rPr>
      </w:pPr>
      <w:r>
        <w:rPr>
          <w:rFonts w:hint="eastAsia" w:ascii="黑体" w:hAnsi="黑体" w:eastAsia="黑体" w:cs="黑体"/>
          <w:sz w:val="32"/>
          <w:szCs w:val="28"/>
        </w:rPr>
        <w:t>十、争议的解决</w:t>
      </w:r>
    </w:p>
    <w:p>
      <w:pPr>
        <w:spacing w:line="56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合同履行中，如发生争议，双方协商解决，协商不成可向甲方所在地人民法院起诉。</w:t>
      </w:r>
    </w:p>
    <w:p>
      <w:pPr>
        <w:spacing w:line="560" w:lineRule="exact"/>
        <w:ind w:firstLine="640" w:firstLineChars="200"/>
        <w:rPr>
          <w:rFonts w:ascii="Times New Roman" w:hAnsi="Times New Roman" w:eastAsia="仿宋_GB2312"/>
          <w:sz w:val="32"/>
          <w:szCs w:val="28"/>
        </w:rPr>
      </w:pPr>
      <w:r>
        <w:rPr>
          <w:rFonts w:hint="eastAsia" w:ascii="黑体" w:hAnsi="黑体" w:eastAsia="黑体" w:cs="黑体"/>
          <w:sz w:val="32"/>
          <w:szCs w:val="28"/>
        </w:rPr>
        <w:t>十一、</w:t>
      </w:r>
      <w:r>
        <w:rPr>
          <w:rFonts w:hint="eastAsia" w:ascii="Times New Roman" w:hAnsi="Times New Roman" w:eastAsia="仿宋_GB2312"/>
          <w:sz w:val="32"/>
          <w:szCs w:val="28"/>
        </w:rPr>
        <w:t>未尽事宜双方协商解决或补充协议的方式解决。</w:t>
      </w:r>
    </w:p>
    <w:p>
      <w:pPr>
        <w:spacing w:line="560" w:lineRule="exact"/>
        <w:ind w:firstLine="640" w:firstLineChars="200"/>
        <w:rPr>
          <w:rFonts w:ascii="Times New Roman" w:hAnsi="Times New Roman" w:eastAsia="仿宋_GB2312"/>
          <w:sz w:val="32"/>
          <w:szCs w:val="28"/>
        </w:rPr>
      </w:pPr>
      <w:r>
        <w:rPr>
          <w:rFonts w:hint="eastAsia" w:ascii="黑体" w:hAnsi="黑体" w:eastAsia="黑体" w:cs="黑体"/>
          <w:sz w:val="32"/>
          <w:szCs w:val="28"/>
        </w:rPr>
        <w:t>十二、</w:t>
      </w:r>
      <w:r>
        <w:rPr>
          <w:rFonts w:hint="eastAsia" w:ascii="Times New Roman" w:hAnsi="Times New Roman" w:eastAsia="仿宋_GB2312"/>
          <w:sz w:val="32"/>
          <w:szCs w:val="28"/>
        </w:rPr>
        <w:t>本合同一式</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份，甲方</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份 ，乙方</w:t>
      </w:r>
      <w:r>
        <w:rPr>
          <w:rFonts w:hint="eastAsia" w:ascii="Times New Roman" w:hAnsi="Times New Roman" w:eastAsia="仿宋_GB2312"/>
          <w:sz w:val="32"/>
          <w:szCs w:val="28"/>
          <w:u w:val="single"/>
        </w:rPr>
        <w:t xml:space="preserve">    </w:t>
      </w:r>
      <w:r>
        <w:rPr>
          <w:rFonts w:hint="eastAsia" w:ascii="Times New Roman" w:hAnsi="Times New Roman" w:eastAsia="仿宋_GB2312"/>
          <w:sz w:val="32"/>
          <w:szCs w:val="28"/>
        </w:rPr>
        <w:t>份 ，合同自双方签字或盖章之日起生效。</w:t>
      </w:r>
    </w:p>
    <w:p>
      <w:pPr>
        <w:pStyle w:val="2"/>
        <w:spacing w:line="580" w:lineRule="exact"/>
        <w:jc w:val="center"/>
        <w:rPr>
          <w:rFonts w:ascii="黑体" w:eastAsia="黑体" w:hAnsiTheme="minorHAnsi" w:cstheme="minorBidi"/>
          <w:b w:val="0"/>
          <w:kern w:val="2"/>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bookmarkEnd w:id="0"/>
    <w:bookmarkEnd w:id="1"/>
    <w:bookmarkEnd w:id="2"/>
    <w:p>
      <w:pPr>
        <w:pStyle w:val="2"/>
        <w:keepNext w:val="0"/>
        <w:keepLines w:val="0"/>
        <w:spacing w:before="0" w:after="0" w:line="580" w:lineRule="exact"/>
        <w:jc w:val="center"/>
        <w:rPr>
          <w:rFonts w:ascii="黑体" w:eastAsia="黑体" w:hAnsiTheme="minorHAnsi" w:cstheme="minorBidi"/>
          <w:b w:val="0"/>
          <w:kern w:val="2"/>
          <w:sz w:val="36"/>
          <w:szCs w:val="36"/>
        </w:rPr>
      </w:pPr>
      <w:r>
        <w:rPr>
          <w:rFonts w:hint="eastAsia" w:ascii="黑体" w:eastAsia="黑体" w:hAnsiTheme="minorHAnsi" w:cstheme="minorBidi"/>
          <w:b w:val="0"/>
          <w:kern w:val="2"/>
          <w:sz w:val="36"/>
          <w:szCs w:val="36"/>
        </w:rPr>
        <w:t>第四章  评审方法</w:t>
      </w:r>
    </w:p>
    <w:p>
      <w:pPr>
        <w:pStyle w:val="2"/>
        <w:spacing w:line="580" w:lineRule="exact"/>
        <w:rPr>
          <w:rFonts w:ascii="黑体" w:eastAsia="黑体" w:hAnsiTheme="minorHAnsi" w:cstheme="minorBidi"/>
          <w:b w:val="0"/>
          <w:kern w:val="2"/>
          <w:sz w:val="36"/>
          <w:szCs w:val="36"/>
        </w:rPr>
      </w:pPr>
      <w:r>
        <w:rPr>
          <w:rFonts w:hint="eastAsia" w:ascii="方正小标宋简体" w:hAnsi="仿宋_GB2312" w:eastAsia="方正小标宋简体" w:cs="仿宋_GB2312"/>
          <w:bCs w:val="0"/>
          <w:sz w:val="32"/>
          <w:szCs w:val="32"/>
        </w:rPr>
        <w:t>一、总则：</w:t>
      </w:r>
    </w:p>
    <w:p>
      <w:pPr>
        <w:widowControl/>
        <w:spacing w:line="580" w:lineRule="exact"/>
        <w:ind w:firstLine="560" w:firstLineChars="200"/>
        <w:jc w:val="left"/>
        <w:rPr>
          <w:rFonts w:ascii="楷体_GB2312" w:hAnsi="宋体" w:eastAsia="楷体_GB2312" w:cs="仿宋_GB2312"/>
          <w:bCs/>
          <w:color w:val="000000"/>
          <w:sz w:val="28"/>
          <w:szCs w:val="28"/>
          <w:shd w:val="clear" w:color="auto" w:fill="FFFFFF"/>
        </w:rPr>
      </w:pPr>
      <w:r>
        <w:rPr>
          <w:rFonts w:hint="eastAsia" w:ascii="楷体_GB2312" w:hAnsi="宋体" w:eastAsia="楷体_GB2312" w:cs="仿宋_GB2312"/>
          <w:bCs/>
          <w:color w:val="000000"/>
          <w:sz w:val="28"/>
          <w:szCs w:val="28"/>
          <w:shd w:val="clear" w:color="auto" w:fill="FFFFFF"/>
        </w:rPr>
        <w:t xml:space="preserve">评审采用“综合评标法”。评审小组依据采购文件中的标准、办法对投标人的响应文件进行评审。 </w:t>
      </w:r>
    </w:p>
    <w:p>
      <w:pPr>
        <w:spacing w:line="580" w:lineRule="exact"/>
        <w:rPr>
          <w:rFonts w:ascii="方正小标宋简体" w:hAnsi="仿宋_GB2312" w:eastAsia="方正小标宋简体" w:cs="仿宋_GB2312"/>
          <w:bCs/>
          <w:sz w:val="32"/>
          <w:szCs w:val="32"/>
        </w:rPr>
      </w:pPr>
      <w:r>
        <w:rPr>
          <w:rFonts w:hint="eastAsia" w:ascii="方正小标宋简体" w:hAnsi="仿宋_GB2312" w:eastAsia="方正小标宋简体" w:cs="仿宋_GB2312"/>
          <w:bCs/>
          <w:sz w:val="32"/>
          <w:szCs w:val="32"/>
        </w:rPr>
        <w:t>二、评审方式：</w:t>
      </w:r>
    </w:p>
    <w:p>
      <w:pPr>
        <w:spacing w:line="360" w:lineRule="auto"/>
        <w:ind w:firstLine="560" w:firstLineChars="200"/>
        <w:rPr>
          <w:rFonts w:cs="仿宋_GB2312"/>
          <w:bCs/>
          <w:sz w:val="28"/>
          <w:szCs w:val="28"/>
        </w:rPr>
      </w:pPr>
      <w:r>
        <w:rPr>
          <w:rFonts w:hint="eastAsia"/>
          <w:sz w:val="28"/>
          <w:szCs w:val="28"/>
        </w:rPr>
        <w:t>评委构成：由采购人依法组建的谈判小组负责。谈判小组人数为3人以上单数（包含3人）</w:t>
      </w:r>
    </w:p>
    <w:p>
      <w:pPr>
        <w:spacing w:line="360" w:lineRule="auto"/>
        <w:ind w:firstLine="560" w:firstLineChars="200"/>
        <w:rPr>
          <w:rFonts w:cs="仿宋_GB2312"/>
          <w:bCs/>
          <w:sz w:val="28"/>
          <w:szCs w:val="28"/>
        </w:rPr>
      </w:pPr>
      <w:r>
        <w:rPr>
          <w:rFonts w:hint="eastAsia" w:cs="仿宋_GB2312"/>
          <w:bCs/>
          <w:sz w:val="28"/>
          <w:szCs w:val="28"/>
        </w:rPr>
        <w:t>评审小组对商务部分和技术部分进行综合评审，评审小组将采用百分制打分的方式，按得分排名；</w:t>
      </w:r>
    </w:p>
    <w:p>
      <w:pPr>
        <w:spacing w:line="360" w:lineRule="auto"/>
        <w:ind w:firstLine="560" w:firstLineChars="200"/>
        <w:rPr>
          <w:rFonts w:cs="仿宋_GB2312"/>
          <w:bCs/>
          <w:sz w:val="28"/>
          <w:szCs w:val="28"/>
        </w:rPr>
      </w:pPr>
      <w:r>
        <w:rPr>
          <w:rFonts w:hint="eastAsia" w:cs="仿宋_GB2312"/>
          <w:bCs/>
          <w:sz w:val="28"/>
          <w:szCs w:val="28"/>
        </w:rPr>
        <w:t>评审小组成员打分的分值应在规定范围内，高于或低于该范围为无效打分。</w:t>
      </w:r>
    </w:p>
    <w:p>
      <w:pPr>
        <w:spacing w:line="360" w:lineRule="auto"/>
        <w:ind w:firstLine="560" w:firstLineChars="200"/>
        <w:rPr>
          <w:sz w:val="28"/>
          <w:szCs w:val="28"/>
        </w:rPr>
      </w:pPr>
      <w:r>
        <w:rPr>
          <w:rFonts w:hint="eastAsia"/>
          <w:sz w:val="28"/>
          <w:szCs w:val="28"/>
        </w:rPr>
        <w:t>评审依据：评委将以响应文件为评审依据，对供应商的响应报价、商务、技术等方面内容进行综合评审。</w:t>
      </w:r>
    </w:p>
    <w:p>
      <w:pPr>
        <w:spacing w:line="360" w:lineRule="auto"/>
        <w:rPr>
          <w:sz w:val="28"/>
          <w:szCs w:val="28"/>
        </w:rPr>
      </w:pPr>
      <w:r>
        <w:rPr>
          <w:rFonts w:hint="eastAsia"/>
          <w:sz w:val="28"/>
          <w:szCs w:val="28"/>
        </w:rPr>
        <w:t>三、</w:t>
      </w:r>
      <w:r>
        <w:rPr>
          <w:rFonts w:hint="eastAsia"/>
          <w:b/>
          <w:bCs/>
          <w:sz w:val="28"/>
          <w:szCs w:val="28"/>
        </w:rPr>
        <w:t>供应商出现下列情形之一的，其响应将作为否决响应处理</w:t>
      </w:r>
      <w:r>
        <w:rPr>
          <w:rFonts w:hint="eastAsia"/>
          <w:sz w:val="28"/>
          <w:szCs w:val="28"/>
        </w:rPr>
        <w:t>：</w:t>
      </w:r>
    </w:p>
    <w:p>
      <w:pPr>
        <w:tabs>
          <w:tab w:val="left" w:pos="851"/>
        </w:tabs>
        <w:spacing w:line="360" w:lineRule="auto"/>
        <w:ind w:firstLine="560" w:firstLineChars="20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pPr>
        <w:tabs>
          <w:tab w:val="left" w:pos="851"/>
        </w:tabs>
        <w:spacing w:line="360" w:lineRule="auto"/>
        <w:ind w:firstLine="560" w:firstLineChars="20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pPr>
        <w:tabs>
          <w:tab w:val="left" w:pos="851"/>
        </w:tabs>
        <w:spacing w:line="360" w:lineRule="auto"/>
        <w:ind w:firstLine="560" w:firstLineChars="20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pPr>
        <w:tabs>
          <w:tab w:val="left" w:pos="851"/>
        </w:tabs>
        <w:spacing w:line="360" w:lineRule="auto"/>
        <w:ind w:firstLine="560" w:firstLineChars="20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pPr>
        <w:tabs>
          <w:tab w:val="left" w:pos="851"/>
        </w:tabs>
        <w:spacing w:line="360" w:lineRule="auto"/>
        <w:ind w:firstLine="560" w:firstLineChars="200"/>
        <w:rPr>
          <w:bCs/>
          <w:sz w:val="28"/>
          <w:szCs w:val="28"/>
        </w:rPr>
      </w:pPr>
      <w:r>
        <w:rPr>
          <w:rFonts w:hint="eastAsia"/>
          <w:bCs/>
          <w:sz w:val="28"/>
          <w:szCs w:val="28"/>
        </w:rPr>
        <w:t>(5)</w:t>
      </w:r>
      <w:r>
        <w:rPr>
          <w:rFonts w:hint="eastAsia"/>
          <w:bCs/>
          <w:sz w:val="28"/>
          <w:szCs w:val="28"/>
        </w:rPr>
        <w:tab/>
      </w:r>
      <w:r>
        <w:rPr>
          <w:rFonts w:hint="eastAsia"/>
          <w:bCs/>
          <w:sz w:val="28"/>
          <w:szCs w:val="28"/>
        </w:rPr>
        <w:t>同一供应商递交两份或多份内容不同的响应文件，或在一份响应文件中对同一采购项目报有两个或多个报价，且未声明哪一个有效；</w:t>
      </w:r>
    </w:p>
    <w:p>
      <w:pPr>
        <w:tabs>
          <w:tab w:val="left" w:pos="851"/>
        </w:tabs>
        <w:spacing w:line="360" w:lineRule="auto"/>
        <w:ind w:firstLine="560" w:firstLineChars="20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pPr>
        <w:tabs>
          <w:tab w:val="left" w:pos="851"/>
        </w:tabs>
        <w:spacing w:line="360" w:lineRule="auto"/>
        <w:ind w:firstLine="560" w:firstLineChars="20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响应文件没有对谈判文件的实质性要求和条件作出响应；</w:t>
      </w:r>
    </w:p>
    <w:p>
      <w:pPr>
        <w:tabs>
          <w:tab w:val="left" w:pos="851"/>
        </w:tabs>
        <w:spacing w:line="360" w:lineRule="auto"/>
        <w:ind w:firstLine="560" w:firstLineChars="20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pPr>
        <w:tabs>
          <w:tab w:val="left" w:pos="851"/>
        </w:tabs>
        <w:spacing w:line="360" w:lineRule="auto"/>
        <w:ind w:firstLine="560" w:firstLineChars="20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pPr>
        <w:tabs>
          <w:tab w:val="left" w:pos="851"/>
        </w:tabs>
        <w:spacing w:line="360" w:lineRule="auto"/>
        <w:rPr>
          <w:b/>
          <w:sz w:val="28"/>
          <w:szCs w:val="28"/>
        </w:rPr>
      </w:pPr>
      <w:r>
        <w:rPr>
          <w:rFonts w:hint="eastAsia"/>
          <w:b/>
          <w:sz w:val="28"/>
          <w:szCs w:val="28"/>
        </w:rPr>
        <w:t>四、澄清</w:t>
      </w:r>
    </w:p>
    <w:p>
      <w:pPr>
        <w:spacing w:line="360" w:lineRule="auto"/>
        <w:ind w:firstLine="560" w:firstLineChars="200"/>
        <w:rPr>
          <w:rFonts w:cs="仿宋_GB2312"/>
          <w:sz w:val="28"/>
          <w:szCs w:val="28"/>
        </w:rPr>
      </w:pPr>
      <w:r>
        <w:rPr>
          <w:rFonts w:hint="eastAsia" w:cs="仿宋_GB2312"/>
          <w:sz w:val="28"/>
          <w:szCs w:val="28"/>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p>
    <w:p>
      <w:pPr>
        <w:spacing w:line="360" w:lineRule="auto"/>
        <w:rPr>
          <w:sz w:val="28"/>
          <w:szCs w:val="28"/>
        </w:rPr>
      </w:pPr>
      <w:r>
        <w:rPr>
          <w:rFonts w:hint="eastAsia" w:ascii="方正小标宋简体" w:hAnsi="宋体" w:eastAsia="方正小标宋简体" w:cs="仿宋_GB2312"/>
          <w:bCs/>
          <w:color w:val="000000"/>
          <w:sz w:val="28"/>
          <w:szCs w:val="28"/>
          <w:shd w:val="clear" w:color="auto" w:fill="FFFFFF"/>
        </w:rPr>
        <w:t>五、评审方法：</w:t>
      </w:r>
    </w:p>
    <w:p>
      <w:pPr>
        <w:spacing w:line="580" w:lineRule="exact"/>
        <w:rPr>
          <w:rFonts w:ascii="方正小标宋简体" w:eastAsia="方正小标宋简体" w:cs="仿宋_GB2312"/>
          <w:bCs/>
          <w:color w:val="000000"/>
          <w:sz w:val="28"/>
          <w:szCs w:val="28"/>
          <w:shd w:val="clear" w:color="auto" w:fill="FFFFFF"/>
        </w:rPr>
      </w:pPr>
      <w:r>
        <w:rPr>
          <w:rFonts w:hint="eastAsia" w:ascii="方正小标宋简体" w:eastAsia="方正小标宋简体" w:cs="仿宋_GB2312"/>
          <w:bCs/>
          <w:color w:val="000000"/>
          <w:sz w:val="28"/>
          <w:szCs w:val="28"/>
          <w:shd w:val="clear" w:color="auto" w:fill="FFFFFF"/>
        </w:rPr>
        <w:t>评分标准如下：价格部分、商务部分和技术部分按百分制打分，</w:t>
      </w:r>
      <w:r>
        <w:rPr>
          <w:rFonts w:hint="eastAsia" w:asciiTheme="minorEastAsia" w:hAnsiTheme="minorEastAsia"/>
          <w:bCs/>
          <w:sz w:val="28"/>
          <w:szCs w:val="28"/>
        </w:rPr>
        <w:t>按四舍五入取至小数点后两位</w:t>
      </w:r>
    </w:p>
    <w:p>
      <w:pPr>
        <w:pStyle w:val="28"/>
        <w:widowControl/>
        <w:numPr>
          <w:ilvl w:val="0"/>
          <w:numId w:val="2"/>
        </w:numPr>
        <w:spacing w:line="580" w:lineRule="exact"/>
        <w:ind w:firstLineChars="0"/>
        <w:jc w:val="left"/>
        <w:rPr>
          <w:rFonts w:ascii="方正小标宋简体" w:hAnsi="宋体" w:eastAsia="方正小标宋简体" w:cs="仿宋_GB2312"/>
          <w:bCs/>
          <w:color w:val="000000"/>
          <w:sz w:val="28"/>
          <w:szCs w:val="28"/>
          <w:shd w:val="clear" w:color="auto" w:fill="FFFFFF"/>
        </w:rPr>
      </w:pPr>
      <w:r>
        <w:rPr>
          <w:rFonts w:hint="eastAsia" w:ascii="方正小标宋简体" w:hAnsi="宋体" w:eastAsia="方正小标宋简体" w:cs="仿宋_GB2312"/>
          <w:bCs/>
          <w:color w:val="000000"/>
          <w:sz w:val="28"/>
          <w:szCs w:val="28"/>
          <w:shd w:val="clear" w:color="auto" w:fill="FFFFFF"/>
        </w:rPr>
        <w:t>价格部分（60分）</w:t>
      </w:r>
    </w:p>
    <w:p>
      <w:pPr>
        <w:widowControl/>
        <w:spacing w:line="580" w:lineRule="exact"/>
        <w:jc w:val="left"/>
        <w:rPr>
          <w:rFonts w:ascii="方正小标宋简体" w:hAnsi="宋体" w:eastAsia="方正小标宋简体" w:cs="仿宋_GB2312"/>
          <w:bCs/>
          <w:color w:val="000000"/>
          <w:sz w:val="28"/>
          <w:szCs w:val="28"/>
          <w:shd w:val="clear" w:color="auto" w:fill="FFFFFF"/>
        </w:rPr>
      </w:pPr>
    </w:p>
    <w:tbl>
      <w:tblPr>
        <w:tblStyle w:val="2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ascii="宋体" w:hAnsi="宋体" w:eastAsia="宋体" w:cs="宋体"/>
                <w:bCs/>
                <w:color w:val="000000"/>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同等条件报价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60</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投标最低报价得满分，其他供应商投标报价：</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高于最低报价1%以下的，每高1%扣0.5分；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高于最低报价1%-2%的，每高1%扣1分；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高于最低报价2%以上的，每高1%扣1.5分；</w:t>
            </w:r>
          </w:p>
          <w:p>
            <w:pPr>
              <w:widowControl/>
              <w:snapToGrid w:val="0"/>
              <w:spacing w:line="240" w:lineRule="atLeast"/>
              <w:jc w:val="left"/>
              <w:rPr>
                <w:rFonts w:ascii="宋体" w:hAnsi="宋体" w:eastAsia="宋体" w:cs="宋体"/>
                <w:bCs/>
                <w:kern w:val="0"/>
                <w:szCs w:val="21"/>
              </w:rPr>
            </w:pPr>
            <w:r>
              <w:rPr>
                <w:rFonts w:hint="eastAsia"/>
              </w:rPr>
              <w:t>（</w:t>
            </w:r>
            <w:r>
              <w:rPr>
                <w:rFonts w:hint="eastAsia" w:ascii="Times New Roman" w:hAnsi="Times New Roman" w:eastAsia="宋体" w:cs="Times New Roman"/>
                <w:b/>
                <w:bCs/>
              </w:rPr>
              <w:t>税率不一致，同等报价情况下，以不含税金额为准）</w:t>
            </w:r>
          </w:p>
        </w:tc>
      </w:tr>
    </w:tbl>
    <w:p>
      <w:pPr>
        <w:widowControl/>
        <w:spacing w:line="580" w:lineRule="exact"/>
        <w:jc w:val="left"/>
        <w:rPr>
          <w:rFonts w:ascii="方正小标宋简体" w:hAnsi="宋体" w:eastAsia="方正小标宋简体" w:cs="仿宋_GB2312"/>
          <w:bCs/>
          <w:color w:val="000000"/>
          <w:sz w:val="28"/>
          <w:szCs w:val="28"/>
          <w:shd w:val="clear" w:color="auto" w:fill="FFFFFF"/>
        </w:rPr>
      </w:pPr>
    </w:p>
    <w:p>
      <w:pPr>
        <w:widowControl/>
        <w:spacing w:line="580" w:lineRule="exact"/>
        <w:jc w:val="left"/>
        <w:rPr>
          <w:rFonts w:ascii="方正小标宋简体" w:hAnsi="宋体" w:eastAsia="方正小标宋简体" w:cs="仿宋_GB2312"/>
          <w:bCs/>
          <w:color w:val="000000"/>
          <w:sz w:val="28"/>
          <w:szCs w:val="28"/>
          <w:shd w:val="clear" w:color="auto" w:fill="FFFFFF"/>
        </w:rPr>
      </w:pPr>
      <w:r>
        <w:rPr>
          <w:rFonts w:hint="eastAsia" w:ascii="方正小标宋简体" w:hAnsi="宋体" w:eastAsia="方正小标宋简体" w:cs="仿宋_GB2312"/>
          <w:bCs/>
          <w:color w:val="000000"/>
          <w:sz w:val="28"/>
          <w:szCs w:val="28"/>
          <w:shd w:val="clear" w:color="auto" w:fill="FFFFFF"/>
        </w:rPr>
        <w:t>（</w:t>
      </w:r>
      <w:r>
        <w:rPr>
          <w:rFonts w:ascii="方正小标宋简体" w:hAnsi="宋体" w:eastAsia="方正小标宋简体" w:cs="仿宋_GB2312"/>
          <w:bCs/>
          <w:color w:val="000000"/>
          <w:sz w:val="28"/>
          <w:szCs w:val="28"/>
          <w:shd w:val="clear" w:color="auto" w:fill="FFFFFF"/>
        </w:rPr>
        <w:t>2</w:t>
      </w:r>
      <w:r>
        <w:rPr>
          <w:rFonts w:hint="eastAsia" w:ascii="方正小标宋简体" w:hAnsi="宋体" w:eastAsia="方正小标宋简体" w:cs="仿宋_GB2312"/>
          <w:bCs/>
          <w:color w:val="000000"/>
          <w:sz w:val="28"/>
          <w:szCs w:val="28"/>
          <w:shd w:val="clear" w:color="auto" w:fill="FFFFFF"/>
        </w:rPr>
        <w:t>）商务部分（5分）</w:t>
      </w:r>
    </w:p>
    <w:tbl>
      <w:tblPr>
        <w:tblStyle w:val="2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服务/工程业绩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5</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1、自202</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月1日以来</w:t>
            </w:r>
            <w:r>
              <w:rPr>
                <w:rFonts w:hint="eastAsia" w:ascii="宋体" w:hAnsi="宋体" w:eastAsia="宋体" w:cs="宋体"/>
                <w:bCs/>
                <w:kern w:val="0"/>
                <w:szCs w:val="21"/>
                <w:lang w:val="en-US" w:eastAsia="zh-CN"/>
              </w:rPr>
              <w:t>承揽过同类服务</w:t>
            </w:r>
            <w:r>
              <w:rPr>
                <w:rFonts w:hint="eastAsia" w:ascii="宋体" w:hAnsi="宋体" w:eastAsia="宋体" w:cs="宋体"/>
                <w:bCs/>
                <w:kern w:val="0"/>
                <w:szCs w:val="21"/>
              </w:rPr>
              <w:t>的每个得1分，最高5分。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提供的业绩均须以合同复印件等证明材料为准，上传到第五章 响应文件-响应方案中。</w:t>
            </w:r>
          </w:p>
        </w:tc>
      </w:tr>
    </w:tbl>
    <w:p>
      <w:pPr>
        <w:widowControl/>
        <w:spacing w:line="580" w:lineRule="exact"/>
        <w:jc w:val="left"/>
        <w:rPr>
          <w:rFonts w:ascii="方正小标宋简体" w:hAnsi="宋体" w:eastAsia="方正小标宋简体" w:cs="仿宋_GB2312"/>
          <w:bCs/>
          <w:color w:val="000000"/>
          <w:sz w:val="28"/>
          <w:szCs w:val="28"/>
          <w:shd w:val="clear" w:color="auto" w:fill="FFFFFF"/>
        </w:rPr>
      </w:pPr>
    </w:p>
    <w:p>
      <w:pPr>
        <w:spacing w:line="520" w:lineRule="exact"/>
        <w:rPr>
          <w:rFonts w:ascii="方正小标宋简体" w:hAnsi="宋体" w:eastAsia="方正小标宋简体" w:cs="仿宋_GB2312"/>
          <w:sz w:val="28"/>
          <w:szCs w:val="28"/>
        </w:rPr>
      </w:pPr>
      <w:r>
        <w:rPr>
          <w:rFonts w:hint="eastAsia" w:ascii="方正小标宋简体" w:hAnsi="宋体" w:eastAsia="方正小标宋简体" w:cs="仿宋_GB2312"/>
          <w:sz w:val="28"/>
          <w:szCs w:val="28"/>
        </w:rPr>
        <w:t>（</w:t>
      </w:r>
      <w:r>
        <w:rPr>
          <w:rFonts w:ascii="方正小标宋简体" w:hAnsi="宋体" w:eastAsia="方正小标宋简体" w:cs="仿宋_GB2312"/>
          <w:sz w:val="28"/>
          <w:szCs w:val="28"/>
        </w:rPr>
        <w:t>3</w:t>
      </w:r>
      <w:r>
        <w:rPr>
          <w:rFonts w:hint="eastAsia" w:ascii="方正小标宋简体" w:hAnsi="宋体" w:eastAsia="方正小标宋简体" w:cs="仿宋_GB2312"/>
          <w:sz w:val="28"/>
          <w:szCs w:val="28"/>
        </w:rPr>
        <w:t>）技术部分（35分）</w:t>
      </w:r>
    </w:p>
    <w:tbl>
      <w:tblPr>
        <w:tblStyle w:val="20"/>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23"/>
        <w:gridCol w:w="822"/>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评价类别</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会议响应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5</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未接入视频会议不得分；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仅有销售代表或其他人员接入视频会议的，得2分；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公司法人及销售代表按时接入视频会议的，得5分。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服务方案与技术措施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6</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评分标准： 横向比较，综合评分；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方案完善周到、科学合理、可行性强得</w:t>
            </w: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Cs w:val="21"/>
              </w:rPr>
              <w:t>-6分；</w:t>
            </w:r>
            <w:r>
              <w:rPr>
                <w:rFonts w:hint="eastAsia" w:ascii="宋体" w:hAnsi="宋体" w:eastAsia="宋体" w:cs="宋体"/>
                <w:bCs/>
                <w:color w:val="000000"/>
                <w:kern w:val="0"/>
                <w:szCs w:val="21"/>
              </w:rPr>
              <w:br w:type="textWrapping"/>
            </w:r>
            <w:r>
              <w:rPr>
                <w:rFonts w:hint="eastAsia" w:ascii="宋体" w:hAnsi="宋体" w:eastAsia="宋体" w:cs="宋体"/>
                <w:bCs/>
                <w:color w:val="000000"/>
                <w:kern w:val="0"/>
                <w:szCs w:val="21"/>
              </w:rPr>
              <w:t>方案相对完整、科学、可行性设计较好得</w:t>
            </w:r>
            <w:r>
              <w:rPr>
                <w:rFonts w:hint="eastAsia" w:ascii="宋体" w:hAnsi="宋体" w:eastAsia="宋体" w:cs="宋体"/>
                <w:bCs/>
                <w:color w:val="000000"/>
                <w:kern w:val="0"/>
                <w:szCs w:val="21"/>
                <w:lang w:val="en-US" w:eastAsia="zh-CN"/>
              </w:rPr>
              <w:t>2</w:t>
            </w:r>
            <w:r>
              <w:rPr>
                <w:rFonts w:hint="eastAsia" w:ascii="宋体" w:hAnsi="宋体" w:eastAsia="宋体" w:cs="宋体"/>
                <w:bCs/>
                <w:color w:val="000000"/>
                <w:kern w:val="0"/>
                <w:szCs w:val="21"/>
              </w:rPr>
              <w:t>-4分；</w:t>
            </w:r>
            <w:r>
              <w:rPr>
                <w:rFonts w:hint="eastAsia" w:ascii="宋体" w:hAnsi="宋体" w:eastAsia="宋体" w:cs="宋体"/>
                <w:bCs/>
                <w:color w:val="000000"/>
                <w:kern w:val="0"/>
                <w:szCs w:val="21"/>
              </w:rPr>
              <w:br w:type="textWrapping"/>
            </w:r>
            <w:r>
              <w:rPr>
                <w:rFonts w:hint="eastAsia" w:ascii="宋体" w:hAnsi="宋体" w:eastAsia="宋体" w:cs="宋体"/>
                <w:bCs/>
                <w:color w:val="000000"/>
                <w:kern w:val="0"/>
                <w:szCs w:val="21"/>
              </w:rPr>
              <w:t>方案一般、可行性一般、设计不全面得1-2分。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服务重点、难点分析及对策</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9</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根据投标方对我公司针对消防值守服务的可行性、完整性进行综合评审：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服务重点、难点分析到位且措施合理的：</w:t>
            </w:r>
            <w:r>
              <w:rPr>
                <w:rFonts w:ascii="宋体" w:hAnsi="宋体" w:eastAsia="宋体" w:cs="宋体"/>
                <w:bCs/>
                <w:color w:val="000000"/>
                <w:kern w:val="0"/>
                <w:szCs w:val="21"/>
              </w:rPr>
              <w:t>7</w:t>
            </w:r>
            <w:r>
              <w:rPr>
                <w:rFonts w:hint="eastAsia" w:ascii="宋体" w:hAnsi="宋体" w:eastAsia="宋体" w:cs="宋体"/>
                <w:bCs/>
                <w:color w:val="000000"/>
                <w:kern w:val="0"/>
                <w:szCs w:val="21"/>
              </w:rPr>
              <w:t>-</w:t>
            </w:r>
            <w:r>
              <w:rPr>
                <w:rFonts w:ascii="宋体" w:hAnsi="宋体" w:eastAsia="宋体" w:cs="宋体"/>
                <w:bCs/>
                <w:color w:val="000000"/>
                <w:kern w:val="0"/>
                <w:szCs w:val="21"/>
              </w:rPr>
              <w:t>9</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服务重点、难点分析及措施较为简单：</w:t>
            </w:r>
            <w:r>
              <w:rPr>
                <w:rFonts w:ascii="宋体" w:hAnsi="宋体" w:eastAsia="宋体" w:cs="宋体"/>
                <w:bCs/>
                <w:color w:val="000000"/>
                <w:kern w:val="0"/>
                <w:szCs w:val="21"/>
              </w:rPr>
              <w:t>4</w:t>
            </w:r>
            <w:r>
              <w:rPr>
                <w:rFonts w:hint="eastAsia" w:ascii="宋体" w:hAnsi="宋体" w:eastAsia="宋体" w:cs="宋体"/>
                <w:bCs/>
                <w:color w:val="000000"/>
                <w:kern w:val="0"/>
                <w:szCs w:val="21"/>
              </w:rPr>
              <w:t>-</w:t>
            </w: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内容严重缺失且无针对性的：1-</w:t>
            </w: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lang w:val="en-US" w:eastAsia="zh-CN"/>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服务人员资质及证书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9</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根据投标方到我公司服务人员资质</w:t>
            </w:r>
            <w:bookmarkStart w:id="8" w:name="_GoBack"/>
            <w:bookmarkEnd w:id="8"/>
            <w:r>
              <w:rPr>
                <w:rFonts w:hint="eastAsia" w:ascii="宋体" w:hAnsi="宋体" w:eastAsia="宋体" w:cs="宋体"/>
                <w:bCs/>
                <w:color w:val="000000"/>
                <w:kern w:val="0"/>
                <w:szCs w:val="21"/>
              </w:rPr>
              <w:t>情况进行综合评审：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值守人员有5年及以上相关企业消防值守经验得7-9分；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有4年及以上得4-</w:t>
            </w: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有3年及以上得1-</w:t>
            </w: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3年以下经验不得分。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lang w:val="en-US" w:eastAsia="zh-CN"/>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应急预案保证措施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6</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根据投标方对服务过程中可能发生得突发应急事件，如防疫、自然灾害等不可抗拒，是否制定应急预案、应急预案是否完善、应急预案是否具有可操作性等进行综合评审：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应急预案内容详细、全面，科学合理，可操作性强得</w:t>
            </w:r>
            <w:r>
              <w:rPr>
                <w:rFonts w:hint="eastAsia" w:ascii="宋体" w:hAnsi="宋体" w:eastAsia="宋体" w:cs="宋体"/>
                <w:bCs/>
                <w:color w:val="000000"/>
                <w:kern w:val="0"/>
                <w:szCs w:val="21"/>
                <w:lang w:val="en-US" w:eastAsia="zh-CN"/>
              </w:rPr>
              <w:t>4</w:t>
            </w:r>
            <w:r>
              <w:rPr>
                <w:rFonts w:hint="eastAsia" w:ascii="宋体" w:hAnsi="宋体" w:eastAsia="宋体" w:cs="宋体"/>
                <w:bCs/>
                <w:color w:val="000000"/>
                <w:kern w:val="0"/>
                <w:szCs w:val="21"/>
              </w:rPr>
              <w:t>-6分；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应急预案内容比较详细，合理，有一定的操作性得</w:t>
            </w:r>
            <w:r>
              <w:rPr>
                <w:rFonts w:hint="eastAsia" w:ascii="宋体" w:hAnsi="宋体" w:eastAsia="宋体" w:cs="宋体"/>
                <w:bCs/>
                <w:color w:val="000000"/>
                <w:kern w:val="0"/>
                <w:szCs w:val="21"/>
                <w:lang w:val="en-US" w:eastAsia="zh-CN"/>
              </w:rPr>
              <w:t>2</w:t>
            </w:r>
            <w:r>
              <w:rPr>
                <w:rFonts w:hint="eastAsia" w:ascii="宋体" w:hAnsi="宋体" w:eastAsia="宋体" w:cs="宋体"/>
                <w:bCs/>
                <w:color w:val="000000"/>
                <w:kern w:val="0"/>
                <w:szCs w:val="21"/>
              </w:rPr>
              <w:t>-4分；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应急预案内容粗糙，部分合理，可操作性空间小得1-2分。</w:t>
            </w:r>
          </w:p>
        </w:tc>
      </w:tr>
    </w:tbl>
    <w:p>
      <w:pPr>
        <w:spacing w:line="520" w:lineRule="exact"/>
        <w:rPr>
          <w:rFonts w:ascii="仿宋_GB2312" w:hAnsi="仿宋_GB2312" w:eastAsia="仿宋_GB2312" w:cs="仿宋_GB2312"/>
          <w:bCs/>
          <w:sz w:val="28"/>
          <w:szCs w:val="28"/>
        </w:rPr>
      </w:pP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二、推荐入围单位</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（1）按评审得分由高到低顺序排列。得分相同的，按评标价由低到高顺序排列。得分且评标价相同的，按技术指标优劣顺序排列。得分、评标价及技术指标相同的，由评标委员会集体研究处理。</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（2）评审中遇到的其它问题，由评标小组集体研究处理。</w:t>
      </w:r>
    </w:p>
    <w:p>
      <w:pPr>
        <w:spacing w:line="520" w:lineRule="exact"/>
        <w:ind w:firstLine="607" w:firstLineChars="217"/>
        <w:rPr>
          <w:rFonts w:ascii="楷体_GB2312" w:hAnsi="仿宋_GB2312" w:eastAsia="楷体_GB2312" w:cs="仿宋_GB2312"/>
          <w:bCs/>
          <w:sz w:val="28"/>
          <w:szCs w:val="28"/>
        </w:rPr>
      </w:pPr>
      <w:r>
        <w:rPr>
          <w:rFonts w:hint="eastAsia" w:ascii="楷体_GB2312" w:hAnsi="仿宋_GB2312" w:eastAsia="楷体_GB2312" w:cs="仿宋_GB2312"/>
          <w:sz w:val="28"/>
          <w:szCs w:val="28"/>
        </w:rPr>
        <w:t>（3）</w:t>
      </w:r>
      <w:r>
        <w:rPr>
          <w:rFonts w:hint="eastAsia" w:ascii="楷体_GB2312" w:hAnsi="仿宋_GB2312" w:eastAsia="楷体_GB2312" w:cs="仿宋_GB2312"/>
          <w:bCs/>
          <w:sz w:val="28"/>
          <w:szCs w:val="28"/>
        </w:rPr>
        <w:t>评标小组根据评标专家评分及签字的会议纪要，推荐入围单位。</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bCs/>
          <w:sz w:val="28"/>
          <w:szCs w:val="28"/>
        </w:rPr>
        <w:t>中标单位的确定</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招标方谈判小组根据综合评分情况初步确定入围单位，并将评标结果按审批流程报批。</w:t>
      </w:r>
    </w:p>
    <w:p>
      <w:pPr>
        <w:ind w:firstLine="1400" w:firstLineChars="500"/>
        <w:rPr>
          <w:rFonts w:ascii="楷体_GB2312" w:hAnsi="宋体" w:eastAsia="楷体_GB2312"/>
          <w:bCs/>
          <w:sz w:val="28"/>
          <w:szCs w:val="28"/>
        </w:rPr>
      </w:pPr>
    </w:p>
    <w:p>
      <w:pPr>
        <w:widowControl/>
        <w:jc w:val="left"/>
        <w:rPr>
          <w:rFonts w:ascii="宋体" w:hAnsi="宋体"/>
          <w:bCs/>
          <w:sz w:val="28"/>
          <w:szCs w:val="28"/>
        </w:rPr>
      </w:pPr>
      <w:r>
        <w:rPr>
          <w:rFonts w:ascii="宋体" w:hAnsi="宋体"/>
          <w:bCs/>
          <w:sz w:val="28"/>
          <w:szCs w:val="28"/>
        </w:rPr>
        <w:br w:type="page"/>
      </w:r>
    </w:p>
    <w:p>
      <w:pPr>
        <w:spacing w:line="360" w:lineRule="auto"/>
        <w:ind w:firstLine="480"/>
        <w:jc w:val="center"/>
        <w:rPr>
          <w:rFonts w:ascii="方正小标宋简体" w:eastAsia="方正小标宋简体"/>
          <w:sz w:val="32"/>
          <w:szCs w:val="32"/>
          <w:shd w:val="clear" w:color="auto" w:fill="FFFFFF"/>
        </w:rPr>
      </w:pPr>
      <w:r>
        <w:rPr>
          <w:rFonts w:hint="eastAsia" w:ascii="方正小标宋简体" w:eastAsia="方正小标宋简体"/>
          <w:sz w:val="32"/>
          <w:szCs w:val="32"/>
          <w:shd w:val="clear" w:color="auto" w:fill="FFFFFF"/>
        </w:rPr>
        <w:t>第五章 响应文件</w:t>
      </w:r>
    </w:p>
    <w:p>
      <w:pPr>
        <w:numPr>
          <w:ilvl w:val="0"/>
          <w:numId w:val="3"/>
        </w:numPr>
        <w:spacing w:line="400" w:lineRule="exact"/>
        <w:jc w:val="center"/>
        <w:rPr>
          <w:rFonts w:ascii="黑体" w:hAnsi="黑体" w:eastAsia="黑体" w:cs="仿宋_GB2312"/>
          <w:b/>
          <w:bCs/>
          <w:sz w:val="30"/>
          <w:szCs w:val="30"/>
        </w:rPr>
      </w:pPr>
      <w:bookmarkStart w:id="3" w:name="_Toc13912_WPSOffice_Level1"/>
      <w:r>
        <w:rPr>
          <w:rFonts w:hint="eastAsia" w:ascii="黑体" w:hAnsi="黑体" w:eastAsia="黑体" w:cs="仿宋_GB2312"/>
          <w:sz w:val="30"/>
          <w:szCs w:val="30"/>
        </w:rPr>
        <w:t>营业执照、信用报告等资质文件</w:t>
      </w: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numPr>
          <w:ilvl w:val="0"/>
          <w:numId w:val="3"/>
        </w:numPr>
        <w:spacing w:line="400" w:lineRule="exact"/>
        <w:jc w:val="center"/>
        <w:rPr>
          <w:rFonts w:ascii="黑体" w:hAnsi="黑体" w:eastAsia="黑体" w:cs="仿宋_GB2312"/>
          <w:b/>
          <w:bCs/>
          <w:sz w:val="30"/>
          <w:szCs w:val="30"/>
        </w:rPr>
      </w:pPr>
      <w:r>
        <w:rPr>
          <w:rFonts w:hint="eastAsia" w:ascii="黑体" w:hAnsi="黑体" w:eastAsia="黑体" w:cs="仿宋_GB2312"/>
          <w:b/>
          <w:bCs/>
          <w:sz w:val="30"/>
          <w:szCs w:val="30"/>
        </w:rPr>
        <w:t>投标单位的承诺函</w:t>
      </w:r>
      <w:bookmarkEnd w:id="3"/>
    </w:p>
    <w:p>
      <w:pPr>
        <w:spacing w:line="520" w:lineRule="exact"/>
        <w:jc w:val="center"/>
        <w:rPr>
          <w:rFonts w:ascii="仿宋_GB2312" w:hAnsi="仿宋_GB2312" w:eastAsia="仿宋_GB2312" w:cs="仿宋_GB2312"/>
          <w:b/>
          <w:bCs/>
          <w:sz w:val="28"/>
          <w:szCs w:val="28"/>
        </w:rPr>
      </w:pPr>
    </w:p>
    <w:p>
      <w:pPr>
        <w:pStyle w:val="53"/>
        <w:tabs>
          <w:tab w:val="left" w:pos="600"/>
          <w:tab w:val="clear" w:pos="2160"/>
          <w:tab w:val="clear" w:pos="2520"/>
        </w:tabs>
        <w:adjustRightInd w:val="0"/>
        <w:spacing w:line="520" w:lineRule="exact"/>
        <w:rPr>
          <w:rFonts w:ascii="仿宋_GB2312" w:hAnsi="仿宋_GB2312" w:eastAsia="仿宋_GB2312" w:cs="仿宋_GB2312"/>
          <w:szCs w:val="28"/>
          <w:lang w:eastAsia="zh-CN"/>
        </w:rPr>
      </w:pPr>
      <w:r>
        <w:rPr>
          <w:rFonts w:hint="eastAsia" w:ascii="仿宋_GB2312" w:hAnsi="仿宋_GB2312" w:eastAsia="仿宋_GB2312" w:cs="仿宋_GB2312"/>
          <w:snapToGrid/>
          <w:kern w:val="2"/>
          <w:szCs w:val="28"/>
          <w:lang w:val="en-US" w:eastAsia="zh-CN"/>
        </w:rPr>
        <w:t>致：</w:t>
      </w:r>
      <w:r>
        <w:rPr>
          <w:rFonts w:hint="eastAsia" w:ascii="仿宋_GB2312" w:hAnsi="仿宋_GB2312" w:eastAsia="仿宋_GB2312" w:cs="仿宋_GB2312"/>
          <w:snapToGrid/>
          <w:kern w:val="2"/>
          <w:szCs w:val="28"/>
          <w:lang w:val="en-US" w:eastAsia="zh-CN"/>
        </w:rPr>
        <w:tab/>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（投标单位名称），在此作如下承诺： </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1.完全理解和接受招标文件的一切规定和要求。</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2.投标报价为闭口价，即在投标有效期，该投标报价固定不变。</w:t>
      </w:r>
    </w:p>
    <w:p>
      <w:pPr>
        <w:pStyle w:val="5"/>
        <w:spacing w:line="520" w:lineRule="exact"/>
        <w:ind w:left="559" w:leftChars="266" w:firstLine="22" w:firstLineChars="8"/>
        <w:rPr>
          <w:rFonts w:ascii="仿宋_GB2312" w:hAnsi="仿宋_GB2312" w:eastAsia="仿宋_GB2312" w:cs="仿宋_GB2312"/>
          <w:sz w:val="28"/>
          <w:szCs w:val="28"/>
        </w:rPr>
      </w:pPr>
      <w:r>
        <w:rPr>
          <w:rFonts w:hint="eastAsia" w:ascii="仿宋_GB2312" w:hAnsi="仿宋_GB2312" w:eastAsia="仿宋_GB2312" w:cs="仿宋_GB2312"/>
          <w:sz w:val="28"/>
          <w:szCs w:val="28"/>
        </w:rPr>
        <w:t>3.若中标，我方将按照招标文件及我方投标文件的具体规定签订</w:t>
      </w:r>
    </w:p>
    <w:p>
      <w:pPr>
        <w:pStyle w:val="5"/>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合同。</w:t>
      </w:r>
    </w:p>
    <w:p>
      <w:pPr>
        <w:pStyle w:val="5"/>
        <w:spacing w:line="520" w:lineRule="exact"/>
        <w:ind w:firstLine="579" w:firstLineChars="207"/>
        <w:rPr>
          <w:rFonts w:ascii="仿宋_GB2312" w:hAnsi="仿宋_GB2312" w:eastAsia="仿宋_GB2312" w:cs="仿宋_GB2312"/>
          <w:sz w:val="28"/>
          <w:szCs w:val="28"/>
        </w:rPr>
      </w:pPr>
      <w:r>
        <w:rPr>
          <w:rFonts w:hint="eastAsia" w:ascii="仿宋_GB2312" w:hAnsi="仿宋_GB2312" w:eastAsia="仿宋_GB2312" w:cs="仿宋_GB2312"/>
          <w:sz w:val="28"/>
          <w:szCs w:val="28"/>
        </w:rPr>
        <w:t>4.在整个招、投标过程中，我方若有违反以下承诺的行为，贵方</w:t>
      </w:r>
    </w:p>
    <w:p>
      <w:pPr>
        <w:pStyle w:val="5"/>
        <w:spacing w:line="520" w:lineRule="exact"/>
        <w:ind w:firstLine="22" w:firstLineChars="8"/>
        <w:rPr>
          <w:rFonts w:ascii="仿宋_GB2312" w:hAnsi="仿宋_GB2312" w:eastAsia="仿宋_GB2312" w:cs="仿宋_GB2312"/>
          <w:sz w:val="28"/>
          <w:szCs w:val="28"/>
        </w:rPr>
      </w:pPr>
      <w:r>
        <w:rPr>
          <w:rFonts w:hint="eastAsia" w:ascii="仿宋_GB2312" w:hAnsi="仿宋_GB2312" w:eastAsia="仿宋_GB2312" w:cs="仿宋_GB2312"/>
          <w:sz w:val="28"/>
          <w:szCs w:val="28"/>
        </w:rPr>
        <w:t>可按招标文件之规定给予惩罚，我方完全接受。</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A.不与招标人、其他投标人或者招标代理机构串通投标，损害国家利益、社会利益或他人的合法权益。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B.不向招标人或评标委员会成员或相关人员行贿，以牟取中标。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C.不以他人名义投标或者其他方式弄虚作假，骗取中标。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D.不接受任何形式的挂靠，不扰乱招投标市场秩序。</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E.不在投标中哄抬价格或恶意压价。</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F.不在招投标活动中虚假投诉。</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5.在整个招、投标过程中及招、投标结束后，未经招标单位书</w:t>
      </w:r>
    </w:p>
    <w:p>
      <w:pPr>
        <w:pStyle w:val="5"/>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面同意，我方保证不向任何第三方泄露本次招、投标的任何信息、资料及内容。</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6.投标文件中所有关于投标单位资格的文件、证明、陈述均是</w:t>
      </w:r>
    </w:p>
    <w:p>
      <w:pPr>
        <w:pStyle w:val="5"/>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真实的、准确的。若有违背，我公司承担由此而产生的一切后果。</w:t>
      </w:r>
    </w:p>
    <w:p>
      <w:pPr>
        <w:pStyle w:val="5"/>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7.本承诺函与合同具有同等的法律效力。</w:t>
      </w:r>
    </w:p>
    <w:p>
      <w:pPr>
        <w:pStyle w:val="5"/>
        <w:spacing w:line="520" w:lineRule="exact"/>
        <w:ind w:firstLine="3259" w:firstLineChars="116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w:t>
      </w:r>
    </w:p>
    <w:p>
      <w:pPr>
        <w:pStyle w:val="5"/>
        <w:spacing w:line="520" w:lineRule="exact"/>
        <w:ind w:firstLine="3259" w:firstLineChars="1164"/>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pStyle w:val="5"/>
        <w:spacing w:line="520" w:lineRule="exact"/>
        <w:ind w:firstLine="3239" w:firstLineChars="1157"/>
        <w:rPr>
          <w:rFonts w:ascii="宋体" w:hAnsi="宋体"/>
          <w:sz w:val="28"/>
        </w:rPr>
      </w:pPr>
      <w:r>
        <w:rPr>
          <w:rFonts w:hint="eastAsia" w:ascii="仿宋_GB2312" w:hAnsi="仿宋_GB2312" w:eastAsia="仿宋_GB2312" w:cs="仿宋_GB2312"/>
          <w:sz w:val="28"/>
          <w:szCs w:val="28"/>
        </w:rPr>
        <w:t>日期：       年     月    日</w:t>
      </w:r>
    </w:p>
    <w:p>
      <w:pPr>
        <w:spacing w:line="560" w:lineRule="exact"/>
        <w:jc w:val="center"/>
        <w:rPr>
          <w:rFonts w:ascii="黑体" w:hAnsi="黑体" w:eastAsia="黑体" w:cs="仿宋_GB2312"/>
          <w:b/>
          <w:sz w:val="30"/>
          <w:szCs w:val="30"/>
        </w:rPr>
      </w:pPr>
      <w:bookmarkStart w:id="4" w:name="_Toc3814_WPSOffice_Level1"/>
    </w:p>
    <w:p>
      <w:pPr>
        <w:spacing w:line="560" w:lineRule="exact"/>
        <w:jc w:val="center"/>
        <w:rPr>
          <w:rFonts w:ascii="黑体" w:hAnsi="黑体" w:eastAsia="黑体" w:cs="仿宋_GB2312"/>
          <w:b/>
          <w:sz w:val="30"/>
          <w:szCs w:val="30"/>
        </w:rPr>
      </w:pPr>
      <w:r>
        <w:rPr>
          <w:rFonts w:hint="eastAsia" w:ascii="黑体" w:hAnsi="黑体" w:eastAsia="黑体" w:cs="仿宋_GB2312"/>
          <w:b/>
          <w:sz w:val="30"/>
          <w:szCs w:val="30"/>
        </w:rPr>
        <w:t>三、</w:t>
      </w:r>
      <w:bookmarkEnd w:id="4"/>
      <w:r>
        <w:rPr>
          <w:rFonts w:hint="eastAsia" w:ascii="黑体" w:hAnsi="黑体" w:eastAsia="黑体" w:cs="仿宋_GB2312"/>
          <w:b/>
          <w:sz w:val="30"/>
          <w:szCs w:val="30"/>
        </w:rPr>
        <w:t>法定代表人身份证明书</w:t>
      </w:r>
    </w:p>
    <w:p>
      <w:pPr>
        <w:spacing w:line="560" w:lineRule="exact"/>
        <w:jc w:val="center"/>
        <w:rPr>
          <w:rFonts w:ascii="黑体" w:hAnsi="黑体" w:eastAsia="黑体" w:cs="仿宋_GB2312"/>
          <w:b/>
          <w:bCs/>
          <w:sz w:val="30"/>
          <w:szCs w:val="30"/>
        </w:rPr>
      </w:pPr>
      <w:r>
        <w:rPr>
          <w:rFonts w:hint="eastAsia" w:ascii="黑体" w:hAnsi="黑体" w:eastAsia="黑体" w:cs="仿宋_GB2312"/>
          <w:b/>
          <w:bCs/>
          <w:sz w:val="30"/>
          <w:szCs w:val="30"/>
        </w:rPr>
        <w:t>（法定代表人参加投标的，出具此证明书）</w:t>
      </w:r>
    </w:p>
    <w:p>
      <w:pPr>
        <w:spacing w:line="480" w:lineRule="exact"/>
        <w:rPr>
          <w:rFonts w:ascii="仿宋_GB2312" w:hAnsi="仿宋_GB2312" w:eastAsia="仿宋_GB2312" w:cs="仿宋_GB2312"/>
          <w:sz w:val="28"/>
          <w:szCs w:val="28"/>
        </w:rPr>
      </w:pPr>
    </w:p>
    <w:p>
      <w:pPr>
        <w:spacing w:line="48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法定代表人姓名 </w:t>
      </w:r>
      <w:r>
        <w:rPr>
          <w:rFonts w:hint="eastAsia" w:ascii="仿宋_GB2312" w:hAnsi="仿宋_GB2312" w:eastAsia="仿宋_GB2312" w:cs="仿宋_GB2312"/>
          <w:sz w:val="28"/>
          <w:szCs w:val="28"/>
        </w:rPr>
        <w:t>在我公司（或企业、单位）任（董事长、经理）职务，是我</w:t>
      </w:r>
      <w:r>
        <w:rPr>
          <w:rFonts w:hint="eastAsia" w:ascii="仿宋_GB2312" w:hAnsi="仿宋_GB2312" w:eastAsia="仿宋_GB2312" w:cs="仿宋_GB2312"/>
          <w:sz w:val="28"/>
          <w:szCs w:val="28"/>
          <w:u w:val="single"/>
        </w:rPr>
        <w:t xml:space="preserve">     公司全称    </w:t>
      </w:r>
      <w:r>
        <w:rPr>
          <w:rFonts w:hint="eastAsia" w:ascii="仿宋_GB2312" w:hAnsi="仿宋_GB2312" w:eastAsia="仿宋_GB2312" w:cs="仿宋_GB2312"/>
          <w:sz w:val="28"/>
          <w:szCs w:val="28"/>
        </w:rPr>
        <w:t>的法定代表人。现就参加</w:t>
      </w:r>
      <w:r>
        <w:rPr>
          <w:rFonts w:hint="eastAsia" w:ascii="仿宋_GB2312" w:hAnsi="仿宋_GB2312" w:eastAsia="仿宋_GB2312" w:cs="仿宋_GB2312"/>
          <w:sz w:val="28"/>
          <w:szCs w:val="28"/>
          <w:u w:val="single"/>
        </w:rPr>
        <w:t xml:space="preserve">   采购单位名称   </w:t>
      </w:r>
      <w:r>
        <w:rPr>
          <w:rFonts w:hint="eastAsia" w:ascii="仿宋_GB2312" w:hAnsi="仿宋_GB2312" w:eastAsia="仿宋_GB2312" w:cs="仿宋_GB2312"/>
          <w:sz w:val="28"/>
          <w:szCs w:val="28"/>
        </w:rPr>
        <w:t>组织的采购项目</w:t>
      </w:r>
      <w:r>
        <w:rPr>
          <w:rFonts w:hint="eastAsia" w:ascii="仿宋_GB2312" w:hAnsi="仿宋_GB2312" w:eastAsia="仿宋_GB2312" w:cs="仿宋_GB2312"/>
          <w:sz w:val="28"/>
          <w:szCs w:val="28"/>
          <w:u w:val="single"/>
        </w:rPr>
        <w:t xml:space="preserve">         采购项目名称         </w:t>
      </w:r>
      <w:r>
        <w:rPr>
          <w:rFonts w:hint="eastAsia" w:ascii="仿宋_GB2312" w:hAnsi="仿宋_GB2312" w:eastAsia="仿宋_GB2312" w:cs="仿宋_GB2312"/>
          <w:sz w:val="28"/>
          <w:szCs w:val="28"/>
        </w:rPr>
        <w:t>的投标签署投标文件。</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tbl>
      <w:tblPr>
        <w:tblStyle w:val="20"/>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（※此处请粘贴法定代表人身份证</w:t>
            </w:r>
          </w:p>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复印件※）</w:t>
            </w:r>
          </w:p>
          <w:p>
            <w:pPr>
              <w:spacing w:line="480" w:lineRule="exact"/>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tc>
      </w:tr>
    </w:tbl>
    <w:p>
      <w:pPr>
        <w:spacing w:before="240" w:beforeLines="100" w:after="240" w:afterLines="100"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p>
      <w:pPr>
        <w:spacing w:line="480" w:lineRule="exact"/>
        <w:jc w:val="right"/>
        <w:rPr>
          <w:rFonts w:ascii="仿宋_GB2312" w:hAnsi="仿宋_GB2312" w:eastAsia="仿宋_GB2312" w:cs="仿宋_GB2312"/>
          <w:sz w:val="28"/>
          <w:szCs w:val="28"/>
        </w:rPr>
      </w:pPr>
    </w:p>
    <w:p>
      <w:pPr>
        <w:spacing w:line="480" w:lineRule="exact"/>
        <w:jc w:val="right"/>
        <w:rPr>
          <w:rFonts w:ascii="仿宋_GB2312" w:hAnsi="仿宋_GB2312" w:eastAsia="仿宋_GB2312" w:cs="仿宋_GB2312"/>
          <w:sz w:val="28"/>
          <w:szCs w:val="28"/>
        </w:rPr>
      </w:pPr>
    </w:p>
    <w:p>
      <w:pPr>
        <w:spacing w:line="480" w:lineRule="exact"/>
        <w:ind w:right="240"/>
        <w:jc w:val="right"/>
        <w:rPr>
          <w:rFonts w:ascii="仿宋_GB2312" w:hAnsi="仿宋_GB2312" w:eastAsia="仿宋_GB2312" w:cs="仿宋_GB2312"/>
          <w:sz w:val="28"/>
          <w:szCs w:val="28"/>
        </w:rPr>
      </w:pPr>
    </w:p>
    <w:p>
      <w:pPr>
        <w:spacing w:line="480" w:lineRule="exact"/>
        <w:ind w:right="240"/>
        <w:jc w:val="right"/>
        <w:rPr>
          <w:rFonts w:ascii="仿宋_GB2312" w:hAnsi="仿宋_GB2312" w:eastAsia="仿宋_GB2312" w:cs="仿宋_GB2312"/>
          <w:sz w:val="28"/>
          <w:szCs w:val="28"/>
        </w:rPr>
      </w:pPr>
    </w:p>
    <w:p>
      <w:pPr>
        <w:spacing w:line="600" w:lineRule="auto"/>
        <w:ind w:firstLine="5600" w:firstLineChars="20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u w:val="single"/>
        </w:rPr>
        <w:t xml:space="preserve">（加盖公章） </w:t>
      </w:r>
    </w:p>
    <w:p>
      <w:pPr>
        <w:spacing w:line="600" w:lineRule="auto"/>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jc w:val="center"/>
        <w:rPr>
          <w:rFonts w:ascii="仿宋_GB2312" w:hAnsi="仿宋_GB2312" w:eastAsia="仿宋_GB2312" w:cs="仿宋_GB2312"/>
          <w:b/>
          <w:sz w:val="28"/>
          <w:szCs w:val="28"/>
        </w:rPr>
      </w:pPr>
    </w:p>
    <w:p>
      <w:pPr>
        <w:spacing w:line="560" w:lineRule="exact"/>
        <w:jc w:val="center"/>
        <w:rPr>
          <w:rFonts w:ascii="仿宋_GB2312" w:hAnsi="仿宋_GB2312" w:eastAsia="仿宋_GB2312" w:cs="仿宋_GB2312"/>
          <w:b/>
          <w:sz w:val="28"/>
          <w:szCs w:val="28"/>
        </w:rPr>
      </w:pPr>
    </w:p>
    <w:p>
      <w:pPr>
        <w:spacing w:line="560" w:lineRule="exact"/>
        <w:jc w:val="center"/>
        <w:rPr>
          <w:rFonts w:ascii="仿宋_GB2312" w:hAnsi="仿宋_GB2312" w:eastAsia="仿宋_GB2312" w:cs="仿宋_GB2312"/>
          <w:b/>
          <w:sz w:val="28"/>
          <w:szCs w:val="28"/>
        </w:rPr>
      </w:pPr>
    </w:p>
    <w:p>
      <w:pPr>
        <w:spacing w:line="560" w:lineRule="exact"/>
        <w:jc w:val="center"/>
        <w:rPr>
          <w:rFonts w:ascii="仿宋_GB2312" w:hAnsi="仿宋_GB2312" w:eastAsia="仿宋_GB2312" w:cs="仿宋_GB2312"/>
          <w:b/>
          <w:sz w:val="28"/>
          <w:szCs w:val="28"/>
        </w:rPr>
      </w:pPr>
    </w:p>
    <w:p>
      <w:pPr>
        <w:spacing w:line="560" w:lineRule="exact"/>
        <w:rPr>
          <w:rFonts w:ascii="黑体" w:hAnsi="黑体" w:eastAsia="黑体" w:cs="仿宋_GB2312"/>
          <w:b/>
          <w:sz w:val="30"/>
          <w:szCs w:val="30"/>
        </w:rPr>
      </w:pPr>
    </w:p>
    <w:p>
      <w:pPr>
        <w:spacing w:line="560" w:lineRule="exact"/>
        <w:jc w:val="center"/>
        <w:rPr>
          <w:rFonts w:ascii="黑体" w:hAnsi="黑体" w:eastAsia="黑体" w:cs="仿宋_GB2312"/>
          <w:b/>
          <w:sz w:val="30"/>
          <w:szCs w:val="30"/>
        </w:rPr>
      </w:pPr>
      <w:r>
        <w:rPr>
          <w:rFonts w:hint="eastAsia" w:ascii="黑体" w:hAnsi="黑体" w:eastAsia="黑体" w:cs="仿宋_GB2312"/>
          <w:b/>
          <w:sz w:val="30"/>
          <w:szCs w:val="30"/>
        </w:rPr>
        <w:t>四、法定代表人授权委托书</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（授权代表人参加投标的，出具此授权委托书）</w:t>
      </w:r>
    </w:p>
    <w:p>
      <w:pPr>
        <w:spacing w:line="440" w:lineRule="exact"/>
        <w:rPr>
          <w:rFonts w:ascii="楷体_GB2312" w:eastAsia="楷体_GB2312"/>
        </w:rPr>
      </w:pPr>
      <w:r>
        <w:rPr>
          <w:rFonts w:hint="eastAsia" w:ascii="楷体_GB2312" w:eastAsia="楷体_GB2312"/>
        </w:rPr>
        <w:t>委托人：</w:t>
      </w:r>
      <w:r>
        <w:rPr>
          <w:rFonts w:hint="eastAsia" w:ascii="楷体_GB2312" w:eastAsia="楷体_GB2312"/>
          <w:b/>
        </w:rPr>
        <w:t>XXXXXX公司</w:t>
      </w:r>
    </w:p>
    <w:p>
      <w:pPr>
        <w:spacing w:line="440" w:lineRule="exact"/>
        <w:rPr>
          <w:rFonts w:ascii="楷体_GB2312" w:eastAsia="楷体_GB2312"/>
        </w:rPr>
      </w:pPr>
      <w:r>
        <w:rPr>
          <w:rFonts w:hint="eastAsia" w:ascii="楷体_GB2312" w:eastAsia="楷体_GB2312"/>
        </w:rPr>
        <w:t>住所：</w:t>
      </w:r>
    </w:p>
    <w:p>
      <w:pPr>
        <w:spacing w:line="440" w:lineRule="exact"/>
        <w:rPr>
          <w:rFonts w:ascii="楷体_GB2312" w:eastAsia="楷体_GB2312"/>
        </w:rPr>
      </w:pPr>
      <w:r>
        <w:rPr>
          <w:rFonts w:hint="eastAsia" w:ascii="楷体_GB2312" w:eastAsia="楷体_GB2312"/>
        </w:rPr>
        <w:t>法定代表人（或负责人）：</w:t>
      </w:r>
    </w:p>
    <w:p>
      <w:pPr>
        <w:spacing w:line="440" w:lineRule="exact"/>
        <w:rPr>
          <w:rFonts w:ascii="楷体_GB2312" w:eastAsia="楷体_GB2312"/>
        </w:rPr>
      </w:pPr>
      <w:r>
        <w:rPr>
          <w:rFonts w:hint="eastAsia" w:ascii="楷体_GB2312" w:eastAsia="楷体_GB2312"/>
        </w:rPr>
        <w:t>代理人：</w:t>
      </w:r>
      <w:r>
        <w:rPr>
          <w:rFonts w:hint="eastAsia" w:ascii="楷体_GB2312" w:eastAsia="楷体_GB2312"/>
          <w:b/>
        </w:rPr>
        <w:t>XXX</w:t>
      </w:r>
      <w:r>
        <w:rPr>
          <w:rFonts w:hint="eastAsia" w:ascii="楷体_GB2312" w:eastAsia="楷体_GB2312"/>
        </w:rPr>
        <w:t>，男或女， 年 月 日出生，身份证号码：</w:t>
      </w:r>
      <w:r>
        <w:rPr>
          <w:rFonts w:hint="eastAsia" w:ascii="楷体_GB2312" w:eastAsia="楷体_GB2312"/>
          <w:b/>
        </w:rPr>
        <w:t>XXXXXXXXXXXXXX</w:t>
      </w:r>
      <w:r>
        <w:rPr>
          <w:rFonts w:hint="eastAsia" w:ascii="楷体_GB2312" w:eastAsia="楷体_GB2312"/>
        </w:rPr>
        <w:t>,系</w:t>
      </w:r>
      <w:r>
        <w:rPr>
          <w:rFonts w:hint="eastAsia" w:ascii="楷体_GB2312" w:eastAsia="楷体_GB2312"/>
          <w:b/>
        </w:rPr>
        <w:t>XXXXX</w:t>
      </w:r>
      <w:r>
        <w:rPr>
          <w:rFonts w:hint="eastAsia" w:ascii="楷体_GB2312" w:eastAsia="楷体_GB2312"/>
        </w:rPr>
        <w:t>单位职工，现住</w:t>
      </w:r>
      <w:r>
        <w:rPr>
          <w:rFonts w:hint="eastAsia" w:ascii="楷体_GB2312" w:eastAsia="楷体_GB2312"/>
          <w:b/>
        </w:rPr>
        <w:t>XXXXXXX</w:t>
      </w:r>
      <w:r>
        <w:rPr>
          <w:rFonts w:hint="eastAsia" w:ascii="楷体_GB2312" w:eastAsia="楷体_GB2312"/>
        </w:rPr>
        <w:t>.</w:t>
      </w:r>
    </w:p>
    <w:p>
      <w:pPr>
        <w:spacing w:line="440" w:lineRule="exact"/>
        <w:rPr>
          <w:rFonts w:ascii="楷体_GB2312" w:eastAsia="楷体_GB2312"/>
        </w:rPr>
      </w:pPr>
      <w:r>
        <w:rPr>
          <w:rFonts w:hint="eastAsia" w:ascii="楷体_GB2312" w:eastAsia="楷体_GB2312"/>
        </w:rPr>
        <w:t>授权事项：</w:t>
      </w:r>
    </w:p>
    <w:p>
      <w:pPr>
        <w:spacing w:line="440" w:lineRule="exact"/>
        <w:ind w:firstLine="411" w:firstLineChars="196"/>
        <w:rPr>
          <w:rFonts w:ascii="楷体_GB2312" w:eastAsia="楷体_GB2312"/>
        </w:rPr>
      </w:pPr>
      <w:r>
        <w:rPr>
          <w:rFonts w:hint="eastAsia" w:ascii="楷体_GB2312" w:eastAsia="楷体_GB2312"/>
        </w:rPr>
        <w:t>1、委托人委托代理人</w:t>
      </w:r>
      <w:r>
        <w:rPr>
          <w:rFonts w:hint="eastAsia" w:ascii="楷体_GB2312" w:eastAsia="楷体_GB2312"/>
          <w:b/>
        </w:rPr>
        <w:t>XXX</w:t>
      </w:r>
      <w:r>
        <w:rPr>
          <w:rFonts w:hint="eastAsia" w:ascii="楷体_GB2312" w:eastAsia="楷体_GB2312"/>
        </w:rPr>
        <w:t>代表委托人参加</w:t>
      </w:r>
      <w:r>
        <w:rPr>
          <w:rFonts w:hint="eastAsia" w:ascii="楷体_GB2312" w:eastAsia="楷体_GB2312"/>
          <w:b/>
        </w:rPr>
        <w:t>中粮糖业及所属各级单位</w:t>
      </w:r>
      <w:r>
        <w:rPr>
          <w:rFonts w:hint="eastAsia" w:ascii="楷体_GB2312" w:eastAsia="楷体_GB2312"/>
        </w:rPr>
        <w:t>的招标或议标活动，以委托人的名义全权办理招标或议标过程中的投标、报价、议标谈判等一切与招标或议标相关的事宜。</w:t>
      </w:r>
    </w:p>
    <w:p>
      <w:pPr>
        <w:spacing w:line="440" w:lineRule="exact"/>
        <w:ind w:firstLine="411" w:firstLineChars="196"/>
        <w:rPr>
          <w:rFonts w:ascii="楷体_GB2312" w:eastAsia="楷体_GB2312"/>
        </w:rPr>
      </w:pPr>
      <w:r>
        <w:rPr>
          <w:rFonts w:hint="eastAsia" w:ascii="楷体_GB2312" w:eastAsia="楷体_GB2312"/>
        </w:rPr>
        <w:t>2、如果委托人中标，代理人以委托人的名义与</w:t>
      </w:r>
      <w:r>
        <w:rPr>
          <w:rFonts w:hint="eastAsia" w:ascii="楷体_GB2312" w:eastAsia="楷体_GB2312"/>
          <w:b/>
        </w:rPr>
        <w:t>中粮糖业及所属各级单位</w:t>
      </w:r>
      <w:r>
        <w:rPr>
          <w:rFonts w:hint="eastAsia" w:ascii="楷体_GB2312" w:eastAsia="楷体_GB2312"/>
        </w:rPr>
        <w:t>签订合同，并办理合同履行过程中的一切相关事宜。</w:t>
      </w:r>
    </w:p>
    <w:p>
      <w:pPr>
        <w:spacing w:line="440" w:lineRule="exact"/>
        <w:ind w:firstLine="411" w:firstLineChars="196"/>
        <w:rPr>
          <w:rFonts w:ascii="楷体_GB2312" w:eastAsia="楷体_GB2312"/>
        </w:rPr>
      </w:pPr>
      <w:r>
        <w:rPr>
          <w:rFonts w:hint="eastAsia" w:ascii="楷体_GB2312" w:eastAsia="楷体_GB2312"/>
        </w:rPr>
        <w:t>本公司对代理人的上述代理行为均予以认可并承担责任。</w:t>
      </w:r>
    </w:p>
    <w:p>
      <w:pPr>
        <w:spacing w:line="440" w:lineRule="exact"/>
        <w:ind w:right="560"/>
        <w:rPr>
          <w:rFonts w:ascii="楷体_GB2312" w:eastAsia="楷体_GB2312"/>
        </w:rPr>
      </w:pPr>
      <w:r>
        <w:rPr>
          <w:rFonts w:hint="eastAsia" w:ascii="楷体_GB2312" w:eastAsia="楷体_GB2312"/>
        </w:rPr>
        <w:t>授权期限：本授权委托书自授权之日起生效，有效期</w:t>
      </w:r>
      <w:r>
        <w:rPr>
          <w:rFonts w:ascii="楷体_GB2312" w:eastAsia="楷体_GB2312"/>
          <w:color w:val="FF0000"/>
          <w:u w:val="single"/>
        </w:rPr>
        <w:t xml:space="preserve">  </w:t>
      </w:r>
      <w:r>
        <w:rPr>
          <w:rFonts w:hint="eastAsia" w:ascii="楷体_GB2312" w:eastAsia="楷体_GB2312"/>
        </w:rPr>
        <w:t>年。</w:t>
      </w:r>
    </w:p>
    <w:p>
      <w:pPr>
        <w:spacing w:line="440" w:lineRule="exact"/>
        <w:ind w:right="560"/>
        <w:jc w:val="right"/>
        <w:rPr>
          <w:rFonts w:ascii="楷体_GB2312" w:eastAsia="楷体_GB2312"/>
        </w:rPr>
      </w:pPr>
    </w:p>
    <w:p>
      <w:pPr>
        <w:spacing w:line="440" w:lineRule="exact"/>
        <w:ind w:right="560"/>
        <w:jc w:val="center"/>
        <w:rPr>
          <w:rFonts w:ascii="楷体_GB2312" w:eastAsia="楷体_GB2312"/>
        </w:rPr>
      </w:pPr>
      <w:r>
        <w:rPr>
          <w:rFonts w:hint="eastAsia" w:ascii="楷体_GB2312" w:eastAsia="楷体_GB2312"/>
        </w:rPr>
        <w:t>代理人身份证（正、反面）粘贴处：</w:t>
      </w:r>
    </w:p>
    <w:p>
      <w:pPr>
        <w:spacing w:line="440" w:lineRule="exact"/>
        <w:ind w:right="560"/>
        <w:rPr>
          <w:rFonts w:ascii="楷体_GB2312" w:eastAsia="楷体_GB2312"/>
        </w:rPr>
      </w:pPr>
    </w:p>
    <w:p>
      <w:pPr>
        <w:spacing w:line="440" w:lineRule="exact"/>
        <w:ind w:right="560"/>
        <w:rPr>
          <w:rFonts w:ascii="楷体_GB2312" w:eastAsia="楷体_GB2312"/>
        </w:rPr>
      </w:pPr>
    </w:p>
    <w:p>
      <w:pPr>
        <w:spacing w:line="440" w:lineRule="exact"/>
        <w:ind w:right="560"/>
        <w:jc w:val="center"/>
        <w:rPr>
          <w:rFonts w:ascii="楷体_GB2312" w:eastAsia="楷体_GB2312"/>
        </w:rPr>
      </w:pPr>
    </w:p>
    <w:p>
      <w:pPr>
        <w:spacing w:line="440" w:lineRule="exact"/>
        <w:ind w:right="560"/>
        <w:jc w:val="center"/>
        <w:rPr>
          <w:rFonts w:ascii="楷体_GB2312" w:eastAsia="楷体_GB2312"/>
        </w:rPr>
      </w:pPr>
    </w:p>
    <w:p>
      <w:pPr>
        <w:spacing w:line="440" w:lineRule="exact"/>
        <w:ind w:left="105" w:leftChars="50" w:right="480" w:firstLine="3372" w:firstLineChars="1606"/>
        <w:rPr>
          <w:rFonts w:ascii="楷体_GB2312" w:eastAsia="楷体_GB2312"/>
        </w:rPr>
      </w:pPr>
      <w:r>
        <w:rPr>
          <w:rFonts w:hint="eastAsia" w:ascii="楷体_GB2312" w:eastAsia="楷体_GB2312"/>
        </w:rPr>
        <w:t>委托人：</w:t>
      </w:r>
      <w:r>
        <w:rPr>
          <w:rFonts w:hint="eastAsia" w:ascii="楷体_GB2312" w:eastAsia="楷体_GB2312"/>
          <w:b/>
        </w:rPr>
        <w:t>XXXXXX公司</w:t>
      </w:r>
    </w:p>
    <w:p>
      <w:pPr>
        <w:spacing w:line="440" w:lineRule="exact"/>
        <w:ind w:left="105" w:leftChars="50" w:right="480" w:firstLine="3372" w:firstLineChars="1606"/>
        <w:rPr>
          <w:rFonts w:ascii="楷体_GB2312" w:eastAsia="楷体_GB2312"/>
        </w:rPr>
      </w:pPr>
      <w:r>
        <w:rPr>
          <w:rFonts w:hint="eastAsia" w:ascii="楷体_GB2312" w:eastAsia="楷体_GB2312"/>
        </w:rPr>
        <w:t>法定代表人（或负责人）：</w:t>
      </w:r>
    </w:p>
    <w:p>
      <w:pPr>
        <w:spacing w:line="440" w:lineRule="exact"/>
        <w:ind w:left="105" w:leftChars="50" w:right="26" w:firstLine="3372" w:firstLineChars="1606"/>
        <w:rPr>
          <w:rFonts w:ascii="楷体_GB2312" w:eastAsia="楷体_GB2312"/>
          <w:sz w:val="32"/>
          <w:szCs w:val="32"/>
        </w:rPr>
      </w:pPr>
      <w:r>
        <w:rPr>
          <w:rFonts w:hint="eastAsia" w:ascii="楷体_GB2312" w:eastAsia="楷体_GB2312"/>
        </w:rPr>
        <w:t>委托授权时间：   20</w:t>
      </w:r>
      <w:r>
        <w:rPr>
          <w:rFonts w:ascii="楷体_GB2312" w:eastAsia="楷体_GB2312"/>
        </w:rPr>
        <w:t>22</w:t>
      </w:r>
      <w:r>
        <w:rPr>
          <w:rFonts w:hint="eastAsia" w:ascii="楷体_GB2312" w:eastAsia="楷体_GB2312"/>
        </w:rPr>
        <w:t xml:space="preserve">  年 </w:t>
      </w:r>
      <w:r>
        <w:rPr>
          <w:rFonts w:ascii="楷体_GB2312" w:eastAsia="楷体_GB2312"/>
        </w:rPr>
        <w:t>1</w:t>
      </w:r>
      <w:r>
        <w:rPr>
          <w:rFonts w:hint="eastAsia" w:ascii="楷体_GB2312" w:eastAsia="楷体_GB2312"/>
        </w:rPr>
        <w:t xml:space="preserve"> 月1日</w:t>
      </w: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黑体" w:hAnsi="黑体" w:eastAsia="黑体" w:cs="仿宋_GB2312"/>
          <w:b/>
          <w:sz w:val="30"/>
          <w:szCs w:val="30"/>
        </w:rPr>
      </w:pPr>
    </w:p>
    <w:p>
      <w:pPr>
        <w:jc w:val="center"/>
        <w:rPr>
          <w:rFonts w:ascii="黑体" w:hAnsi="黑体" w:eastAsia="黑体" w:cs="仿宋_GB2312"/>
          <w:b/>
          <w:sz w:val="30"/>
          <w:szCs w:val="30"/>
        </w:rPr>
      </w:pPr>
    </w:p>
    <w:p>
      <w:pPr>
        <w:jc w:val="center"/>
        <w:rPr>
          <w:rFonts w:ascii="黑体" w:hAnsi="黑体" w:eastAsia="黑体" w:cs="仿宋_GB2312"/>
          <w:b/>
          <w:sz w:val="30"/>
          <w:szCs w:val="30"/>
        </w:rPr>
      </w:pPr>
      <w:r>
        <w:rPr>
          <w:rFonts w:hint="eastAsia" w:ascii="黑体" w:hAnsi="黑体" w:eastAsia="黑体" w:cs="仿宋_GB2312"/>
          <w:b/>
          <w:sz w:val="30"/>
          <w:szCs w:val="30"/>
        </w:rPr>
        <w:t>五、参加采购活动前3年内在经营活动</w:t>
      </w:r>
    </w:p>
    <w:p>
      <w:pPr>
        <w:jc w:val="center"/>
        <w:rPr>
          <w:rFonts w:ascii="黑体" w:hAnsi="黑体" w:eastAsia="黑体" w:cs="仿宋_GB2312"/>
          <w:b/>
          <w:sz w:val="30"/>
          <w:szCs w:val="30"/>
        </w:rPr>
      </w:pPr>
      <w:r>
        <w:rPr>
          <w:rFonts w:hint="eastAsia" w:ascii="黑体" w:hAnsi="黑体" w:eastAsia="黑体" w:cs="仿宋_GB2312"/>
          <w:b/>
          <w:sz w:val="30"/>
          <w:szCs w:val="30"/>
        </w:rPr>
        <w:t>中没有重大违法记录及具有良好信用信息的声明</w:t>
      </w:r>
    </w:p>
    <w:p>
      <w:pPr>
        <w:spacing w:before="120" w:beforeLines="50" w:after="120" w:afterLines="50" w:line="400" w:lineRule="exact"/>
        <w:ind w:right="630" w:rightChars="300"/>
        <w:rPr>
          <w:rFonts w:cs="Lucida Sans Unicode"/>
        </w:rPr>
      </w:pPr>
    </w:p>
    <w:p>
      <w:pPr>
        <w:spacing w:line="52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before="120" w:beforeLines="50" w:after="120" w:afterLines="50" w:line="520" w:lineRule="exact"/>
        <w:ind w:right="136" w:rightChars="6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pPr>
        <w:spacing w:before="120" w:beforeLines="50" w:after="120" w:afterLines="50" w:line="520" w:lineRule="exact"/>
        <w:ind w:right="1050" w:rightChars="5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line="360" w:lineRule="exact"/>
        <w:ind w:left="1050" w:leftChars="500" w:right="1050" w:rightChars="500" w:firstLine="560" w:firstLineChars="200"/>
        <w:rPr>
          <w:rFonts w:ascii="仿宋_GB2312" w:hAnsi="仿宋_GB2312" w:eastAsia="仿宋_GB2312" w:cs="仿宋_GB2312"/>
          <w:sz w:val="28"/>
          <w:szCs w:val="28"/>
        </w:rPr>
      </w:pPr>
    </w:p>
    <w:p>
      <w:pPr>
        <w:spacing w:line="600" w:lineRule="auto"/>
        <w:ind w:right="480" w:firstLine="3360" w:firstLineChars="1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（加盖公章）           </w:t>
      </w:r>
    </w:p>
    <w:p>
      <w:pPr>
        <w:spacing w:line="600" w:lineRule="auto"/>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法定代表人或其授权代表：</w:t>
      </w:r>
      <w:r>
        <w:rPr>
          <w:rFonts w:hint="eastAsia" w:ascii="仿宋_GB2312" w:hAnsi="仿宋_GB2312" w:eastAsia="仿宋_GB2312" w:cs="仿宋_GB2312"/>
          <w:sz w:val="28"/>
          <w:szCs w:val="28"/>
          <w:u w:val="single"/>
        </w:rPr>
        <w:t xml:space="preserve">     (签字)</w:t>
      </w:r>
    </w:p>
    <w:p>
      <w:pPr>
        <w:spacing w:line="600" w:lineRule="auto"/>
        <w:ind w:right="120"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8"/>
          <w:szCs w:val="28"/>
          <w:u w:val="single"/>
        </w:rPr>
        <w:t xml:space="preserve">      年      月      日</w:t>
      </w:r>
    </w:p>
    <w:p>
      <w:pPr>
        <w:jc w:val="center"/>
        <w:rPr>
          <w:rFonts w:ascii="黑体" w:hAnsi="黑体" w:eastAsia="黑体"/>
          <w:b/>
          <w:bCs/>
          <w:sz w:val="30"/>
          <w:szCs w:val="30"/>
        </w:rPr>
      </w:pPr>
      <w:r>
        <w:rPr>
          <w:rFonts w:hint="eastAsia" w:ascii="仿宋_GB2312" w:hAnsi="仿宋_GB2312" w:eastAsia="仿宋_GB2312" w:cs="仿宋_GB2312"/>
          <w:sz w:val="28"/>
          <w:szCs w:val="28"/>
        </w:rPr>
        <w:br w:type="page"/>
      </w:r>
      <w:bookmarkStart w:id="5" w:name="_Toc17297_WPSOffice_Level1"/>
      <w:r>
        <w:rPr>
          <w:rFonts w:hint="eastAsia" w:ascii="黑体" w:hAnsi="黑体" w:eastAsia="黑体" w:cs="仿宋_GB2312"/>
          <w:b/>
          <w:bCs/>
          <w:sz w:val="30"/>
          <w:szCs w:val="30"/>
        </w:rPr>
        <w:t>六、</w:t>
      </w:r>
      <w:r>
        <w:rPr>
          <w:rFonts w:hint="eastAsia" w:ascii="黑体" w:hAnsi="黑体" w:eastAsia="黑体"/>
          <w:b/>
          <w:bCs/>
          <w:sz w:val="30"/>
          <w:szCs w:val="30"/>
        </w:rPr>
        <w:t>谈判响应保证金</w:t>
      </w:r>
    </w:p>
    <w:p>
      <w:pPr>
        <w:pStyle w:val="10"/>
        <w:spacing w:line="500" w:lineRule="exact"/>
        <w:ind w:firstLine="480" w:firstLineChars="200"/>
        <w:rPr>
          <w:rFonts w:hAnsi="宋体" w:cs="宋体"/>
          <w:color w:val="000000"/>
          <w:sz w:val="24"/>
          <w:szCs w:val="24"/>
        </w:rPr>
      </w:pPr>
      <w:r>
        <w:rPr>
          <w:rFonts w:hint="eastAsia" w:hAnsi="宋体" w:cs="宋体"/>
          <w:color w:val="000000"/>
          <w:sz w:val="24"/>
          <w:szCs w:val="24"/>
        </w:rPr>
        <w:t>转账支票对账单、或电汇单、或银行汇票（或其进账单）、或中粮(唐山)糖业有限公司保证金收据的复印件</w:t>
      </w:r>
    </w:p>
    <w:p>
      <w:pPr>
        <w:pStyle w:val="10"/>
        <w:spacing w:line="300" w:lineRule="auto"/>
        <w:rPr>
          <w:rFonts w:hAnsi="宋体" w:cs="宋体"/>
          <w:b/>
          <w:color w:val="000000"/>
          <w:sz w:val="24"/>
          <w:szCs w:val="24"/>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8689" w:type="dxa"/>
          </w:tcPr>
          <w:p>
            <w:pPr>
              <w:pStyle w:val="10"/>
              <w:spacing w:line="300" w:lineRule="auto"/>
              <w:rPr>
                <w:rFonts w:hAnsi="宋体" w:cs="宋体"/>
                <w:b/>
                <w:color w:val="000000"/>
                <w:sz w:val="24"/>
                <w:szCs w:val="24"/>
              </w:rPr>
            </w:pPr>
          </w:p>
          <w:p>
            <w:pPr>
              <w:pStyle w:val="10"/>
              <w:spacing w:line="500" w:lineRule="exact"/>
              <w:rPr>
                <w:rFonts w:hAnsi="宋体" w:cs="宋体"/>
                <w:color w:val="000000"/>
                <w:sz w:val="24"/>
                <w:szCs w:val="24"/>
              </w:rPr>
            </w:pPr>
          </w:p>
          <w:p>
            <w:pPr>
              <w:pStyle w:val="10"/>
              <w:spacing w:line="500" w:lineRule="exact"/>
              <w:rPr>
                <w:rFonts w:hAnsi="宋体" w:cs="宋体"/>
                <w:color w:val="000000"/>
                <w:sz w:val="24"/>
                <w:szCs w:val="24"/>
              </w:rPr>
            </w:pPr>
          </w:p>
          <w:p>
            <w:pPr>
              <w:pStyle w:val="10"/>
              <w:spacing w:line="500" w:lineRule="exact"/>
              <w:rPr>
                <w:rFonts w:hAnsi="宋体" w:cs="宋体"/>
                <w:color w:val="000000"/>
                <w:sz w:val="24"/>
                <w:szCs w:val="24"/>
              </w:rPr>
            </w:pPr>
            <w:r>
              <w:rPr>
                <w:rFonts w:hint="eastAsia" w:hAnsi="宋体" w:cs="宋体"/>
                <w:color w:val="000000"/>
                <w:sz w:val="24"/>
                <w:szCs w:val="24"/>
              </w:rPr>
              <w:t>转账支票对账单、或电汇单、或银行汇票（或其进账单）、或中粮(唐山)糖业有限公司保证金收据的复印件</w:t>
            </w:r>
          </w:p>
          <w:p>
            <w:pPr>
              <w:pStyle w:val="10"/>
              <w:spacing w:line="300" w:lineRule="auto"/>
              <w:rPr>
                <w:rFonts w:hAnsi="宋体" w:cs="宋体"/>
                <w:b/>
                <w:color w:val="000000"/>
                <w:sz w:val="24"/>
                <w:szCs w:val="24"/>
              </w:rPr>
            </w:pPr>
          </w:p>
        </w:tc>
      </w:tr>
    </w:tbl>
    <w:p>
      <w:pPr>
        <w:jc w:val="center"/>
        <w:rPr>
          <w:b/>
          <w:bCs/>
          <w:sz w:val="30"/>
          <w:szCs w:val="30"/>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ind w:firstLine="560" w:firstLineChars="200"/>
        <w:jc w:val="center"/>
        <w:rPr>
          <w:rFonts w:ascii="仿宋_GB2312" w:hAnsi="仿宋_GB2312" w:eastAsia="仿宋_GB2312" w:cs="仿宋_GB2312"/>
          <w:sz w:val="28"/>
          <w:szCs w:val="28"/>
        </w:rPr>
      </w:pPr>
    </w:p>
    <w:p>
      <w:pPr>
        <w:spacing w:line="560" w:lineRule="exact"/>
        <w:rPr>
          <w:rFonts w:ascii="黑体" w:hAnsi="黑体" w:eastAsia="黑体" w:cs="仿宋_GB2312"/>
          <w:b/>
          <w:bCs/>
          <w:sz w:val="28"/>
          <w:szCs w:val="28"/>
        </w:rPr>
      </w:pPr>
    </w:p>
    <w:p>
      <w:pPr>
        <w:spacing w:line="560" w:lineRule="exact"/>
        <w:ind w:firstLine="562" w:firstLineChars="200"/>
        <w:jc w:val="center"/>
        <w:rPr>
          <w:rFonts w:ascii="黑体" w:hAnsi="黑体" w:eastAsia="黑体" w:cs="Lucida Sans Unicode"/>
          <w:b/>
          <w:bCs/>
          <w:sz w:val="44"/>
          <w:szCs w:val="44"/>
        </w:rPr>
      </w:pPr>
      <w:r>
        <w:rPr>
          <w:rFonts w:hint="eastAsia" w:ascii="黑体" w:hAnsi="黑体" w:eastAsia="黑体" w:cs="仿宋_GB2312"/>
          <w:b/>
          <w:bCs/>
          <w:sz w:val="28"/>
          <w:szCs w:val="28"/>
        </w:rPr>
        <w:t>七</w:t>
      </w:r>
      <w:r>
        <w:rPr>
          <w:rFonts w:hint="eastAsia" w:ascii="黑体" w:hAnsi="黑体" w:eastAsia="黑体" w:cs="仿宋_GB2312"/>
          <w:b/>
          <w:bCs/>
          <w:sz w:val="28"/>
        </w:rPr>
        <w:t>、投标函</w:t>
      </w:r>
      <w:bookmarkEnd w:id="5"/>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采购单位： </w:t>
      </w:r>
    </w:p>
    <w:p>
      <w:pPr>
        <w:pStyle w:val="17"/>
        <w:widowControl w:val="0"/>
        <w:tabs>
          <w:tab w:val="left" w:pos="0"/>
        </w:tabs>
        <w:adjustRightInd w:val="0"/>
        <w:spacing w:line="360" w:lineRule="auto"/>
        <w:ind w:right="-13" w:rightChars="-6"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供应商名称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供应商代表姓名、职务 </w:t>
      </w:r>
      <w:r>
        <w:rPr>
          <w:rFonts w:hint="eastAsia" w:ascii="仿宋_GB2312" w:hAnsi="仿宋_GB2312" w:eastAsia="仿宋_GB2312" w:cs="仿宋_GB2312"/>
          <w:sz w:val="28"/>
          <w:szCs w:val="28"/>
        </w:rPr>
        <w:t>为我方代表，参加你单位组织的</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年消防值守服务外包谈判</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采购项目的有关活动，并对此采购项目进行投标。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为此，我方按采购文件规定提供服务的投标报价、投标保证金：</w:t>
      </w:r>
    </w:p>
    <w:tbl>
      <w:tblPr>
        <w:tblStyle w:val="20"/>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43"/>
        <w:gridCol w:w="1842"/>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3715" w:type="dxa"/>
            <w:gridSpan w:val="2"/>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投标单价（人民币 元）</w:t>
            </w:r>
          </w:p>
        </w:tc>
        <w:tc>
          <w:tcPr>
            <w:tcW w:w="3543" w:type="dxa"/>
            <w:gridSpan w:val="2"/>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投标总价（人民币 元）</w:t>
            </w:r>
          </w:p>
        </w:tc>
        <w:tc>
          <w:tcPr>
            <w:tcW w:w="2410"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872"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小写（含税）</w:t>
            </w:r>
          </w:p>
        </w:tc>
        <w:tc>
          <w:tcPr>
            <w:tcW w:w="1843"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大写（含税）</w:t>
            </w:r>
          </w:p>
        </w:tc>
        <w:tc>
          <w:tcPr>
            <w:tcW w:w="1842"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小写（含税）</w:t>
            </w:r>
          </w:p>
        </w:tc>
        <w:tc>
          <w:tcPr>
            <w:tcW w:w="1701"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大写（含税）</w:t>
            </w:r>
          </w:p>
        </w:tc>
        <w:tc>
          <w:tcPr>
            <w:tcW w:w="2410" w:type="dxa"/>
            <w:vMerge w:val="continue"/>
            <w:vAlign w:val="center"/>
          </w:tcPr>
          <w:p>
            <w:pPr>
              <w:spacing w:line="360" w:lineRule="auto"/>
              <w:ind w:left="-106" w:firstLine="1"/>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872" w:type="dxa"/>
            <w:vAlign w:val="center"/>
          </w:tcPr>
          <w:p>
            <w:pPr>
              <w:spacing w:line="440" w:lineRule="exact"/>
              <w:jc w:val="center"/>
              <w:rPr>
                <w:rFonts w:ascii="仿宋_GB2312" w:hAnsi="仿宋_GB2312" w:eastAsia="仿宋_GB2312" w:cs="仿宋_GB2312"/>
                <w:sz w:val="28"/>
                <w:szCs w:val="28"/>
              </w:rPr>
            </w:pPr>
          </w:p>
        </w:tc>
        <w:tc>
          <w:tcPr>
            <w:tcW w:w="1843" w:type="dxa"/>
            <w:vAlign w:val="center"/>
          </w:tcPr>
          <w:p>
            <w:pPr>
              <w:spacing w:line="440" w:lineRule="exact"/>
              <w:jc w:val="center"/>
              <w:rPr>
                <w:rFonts w:ascii="仿宋_GB2312" w:hAnsi="仿宋_GB2312" w:eastAsia="仿宋_GB2312" w:cs="仿宋_GB2312"/>
                <w:sz w:val="28"/>
                <w:szCs w:val="28"/>
              </w:rPr>
            </w:pPr>
          </w:p>
        </w:tc>
        <w:tc>
          <w:tcPr>
            <w:tcW w:w="1842" w:type="dxa"/>
          </w:tcPr>
          <w:p>
            <w:pPr>
              <w:rPr>
                <w:rFonts w:asciiTheme="minorEastAsia" w:hAnsiTheme="minorEastAsia"/>
                <w:sz w:val="18"/>
                <w:szCs w:val="18"/>
              </w:rPr>
            </w:pPr>
          </w:p>
        </w:tc>
        <w:tc>
          <w:tcPr>
            <w:tcW w:w="1701" w:type="dxa"/>
          </w:tcPr>
          <w:p>
            <w:pPr>
              <w:rPr>
                <w:rFonts w:asciiTheme="minorEastAsia" w:hAnsiTheme="minorEastAsia"/>
                <w:sz w:val="18"/>
                <w:szCs w:val="18"/>
              </w:rPr>
            </w:pPr>
          </w:p>
        </w:tc>
        <w:tc>
          <w:tcPr>
            <w:tcW w:w="2410" w:type="dxa"/>
            <w:vAlign w:val="center"/>
          </w:tcPr>
          <w:p>
            <w:pPr>
              <w:spacing w:line="360" w:lineRule="auto"/>
              <w:ind w:left="-107" w:leftChars="-51" w:firstLine="1"/>
              <w:rPr>
                <w:rFonts w:ascii="仿宋_GB2312" w:hAnsi="仿宋_GB2312" w:eastAsia="仿宋_GB2312" w:cs="仿宋_GB2312"/>
                <w:sz w:val="28"/>
                <w:szCs w:val="28"/>
              </w:rPr>
            </w:pPr>
          </w:p>
        </w:tc>
      </w:tr>
    </w:tbl>
    <w:p>
      <w:pPr>
        <w:spacing w:line="360" w:lineRule="auto"/>
        <w:rPr>
          <w:rFonts w:ascii="仿宋_GB2312" w:hAnsi="仿宋_GB2312" w:eastAsia="仿宋_GB2312" w:cs="仿宋_GB2312"/>
          <w:b/>
          <w:color w:val="FF0000"/>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一、我方同意在采购文件中规定的开标日起90天内遵守本投标文件中的承诺且在此期限期满之前均具有约束力。</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二、我方保证遵守采购文件的规定，如果本公司违反采购文件要求，我方的投标保证金可以被你单位没收。如果开标后在规定的投标有效期内撤回投标，我方的投标保证金可以被你单位没收。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四、我方保证尊重评标委员会的评标结果，完全理解本采购项目不一定接受最低报价的投标。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五、我方承诺接受采购文件中采购合同条款的全部条款且无任何异议。如果我方成交，我们将按采购文件的规定，保证忠实地履行双方所签订的采购合同，并承担采购合同规定的责任和义务。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（1）提供虚假材料谋取成交的；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（2）采取不正当手段诋毁、排挤其它投标人的；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（3）与采购单位、其它投标人恶意串通的；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（4）向采购单位行贿或者提供其它不正当利益的；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（5）拒绝有关部门监督检查或提供虚假情况的。 </w:t>
      </w:r>
    </w:p>
    <w:p>
      <w:pPr>
        <w:spacing w:before="240" w:beforeLines="100" w:after="240" w:afterLines="100" w:line="360" w:lineRule="auto"/>
        <w:jc w:val="center"/>
        <w:rPr>
          <w:rFonts w:ascii="仿宋_GB2312" w:hAnsi="仿宋_GB2312" w:eastAsia="仿宋_GB2312" w:cs="仿宋_GB2312"/>
          <w:b/>
          <w:sz w:val="28"/>
          <w:szCs w:val="28"/>
        </w:rPr>
      </w:pPr>
    </w:p>
    <w:p>
      <w:pPr>
        <w:spacing w:line="400" w:lineRule="exact"/>
        <w:rPr>
          <w:rFonts w:ascii="仿宋_GB2312" w:hAnsi="仿宋_GB2312" w:eastAsia="仿宋_GB2312" w:cs="仿宋_GB2312"/>
          <w:sz w:val="28"/>
          <w:szCs w:val="28"/>
        </w:rPr>
      </w:pPr>
    </w:p>
    <w:p>
      <w:pPr>
        <w:spacing w:line="600" w:lineRule="auto"/>
        <w:ind w:right="480" w:firstLine="560" w:firstLineChars="200"/>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投标人名称：</w:t>
      </w:r>
      <w:r>
        <w:rPr>
          <w:rFonts w:hint="eastAsia" w:ascii="仿宋_GB2312" w:hAnsi="仿宋_GB2312" w:eastAsia="仿宋_GB2312" w:cs="仿宋_GB2312"/>
          <w:sz w:val="28"/>
          <w:szCs w:val="28"/>
          <w:u w:val="single"/>
        </w:rPr>
        <w:t xml:space="preserve">（加盖公章）           </w:t>
      </w:r>
    </w:p>
    <w:p>
      <w:pPr>
        <w:spacing w:line="600" w:lineRule="auto"/>
        <w:ind w:right="360"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法定代表人或其授权代表：</w:t>
      </w:r>
      <w:r>
        <w:rPr>
          <w:rFonts w:hint="eastAsia" w:ascii="仿宋_GB2312" w:hAnsi="仿宋_GB2312" w:eastAsia="仿宋_GB2312" w:cs="仿宋_GB2312"/>
          <w:sz w:val="28"/>
          <w:szCs w:val="28"/>
          <w:u w:val="single"/>
        </w:rPr>
        <w:t xml:space="preserve">    (签字)</w:t>
      </w:r>
    </w:p>
    <w:p>
      <w:pPr>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8"/>
          <w:szCs w:val="28"/>
          <w:u w:val="single"/>
        </w:rPr>
        <w:t xml:space="preserve">      年      月      日</w:t>
      </w:r>
    </w:p>
    <w:p>
      <w:pPr>
        <w:spacing w:line="460" w:lineRule="exact"/>
        <w:jc w:val="center"/>
        <w:rPr>
          <w:rFonts w:ascii="仿宋_GB2312" w:hAnsi="仿宋_GB2312" w:eastAsia="仿宋_GB2312" w:cs="仿宋_GB2312"/>
          <w:sz w:val="28"/>
        </w:rPr>
      </w:pPr>
    </w:p>
    <w:p>
      <w:pPr>
        <w:spacing w:before="240" w:beforeLines="100" w:after="240" w:afterLines="100" w:line="480" w:lineRule="exact"/>
        <w:jc w:val="center"/>
        <w:rPr>
          <w:rFonts w:ascii="仿宋_GB2312" w:hAnsi="仿宋_GB2312" w:eastAsia="仿宋_GB2312" w:cs="仿宋_GB2312"/>
          <w:b/>
          <w:bCs/>
          <w:sz w:val="28"/>
        </w:rPr>
      </w:pPr>
      <w:bookmarkStart w:id="6" w:name="_Toc13357_WPSOffice_Level1"/>
    </w:p>
    <w:p>
      <w:pPr>
        <w:spacing w:before="240" w:beforeLines="100" w:after="240" w:afterLines="100" w:line="480" w:lineRule="exact"/>
        <w:jc w:val="center"/>
        <w:rPr>
          <w:rFonts w:ascii="仿宋_GB2312" w:hAnsi="仿宋_GB2312" w:eastAsia="仿宋_GB2312" w:cs="仿宋_GB2312"/>
          <w:b/>
          <w:bCs/>
          <w:sz w:val="28"/>
        </w:rPr>
      </w:pPr>
    </w:p>
    <w:p>
      <w:pPr>
        <w:spacing w:before="240" w:beforeLines="100" w:after="240" w:afterLines="100" w:line="480" w:lineRule="exact"/>
        <w:jc w:val="center"/>
        <w:rPr>
          <w:rFonts w:ascii="仿宋_GB2312" w:hAnsi="仿宋_GB2312" w:eastAsia="仿宋_GB2312" w:cs="仿宋_GB2312"/>
          <w:b/>
          <w:bCs/>
          <w:sz w:val="28"/>
        </w:rPr>
      </w:pPr>
    </w:p>
    <w:bookmarkEnd w:id="6"/>
    <w:p>
      <w:pPr>
        <w:spacing w:line="480" w:lineRule="auto"/>
        <w:rPr>
          <w:rFonts w:ascii="仿宋_GB2312" w:hAnsi="仿宋_GB2312" w:eastAsia="仿宋_GB2312" w:cs="仿宋_GB2312"/>
          <w:sz w:val="28"/>
          <w:szCs w:val="28"/>
        </w:rPr>
      </w:pPr>
    </w:p>
    <w:p>
      <w:pPr>
        <w:spacing w:line="480" w:lineRule="auto"/>
        <w:jc w:val="center"/>
        <w:rPr>
          <w:rFonts w:ascii="方正小标宋简体" w:hAnsi="仿宋_GB2312" w:eastAsia="方正小标宋简体" w:cs="仿宋_GB2312"/>
          <w:sz w:val="28"/>
          <w:szCs w:val="28"/>
          <w:u w:val="single"/>
        </w:rPr>
      </w:pPr>
      <w:r>
        <w:rPr>
          <w:rFonts w:hint="eastAsia" w:ascii="方正小标宋简体" w:hAnsi="仿宋_GB2312" w:eastAsia="方正小标宋简体" w:cs="仿宋_GB2312"/>
          <w:sz w:val="28"/>
          <w:szCs w:val="28"/>
          <w:u w:val="single"/>
        </w:rPr>
        <w:t>八、响应方案</w:t>
      </w:r>
      <w:r>
        <w:rPr>
          <w:rFonts w:hint="eastAsia" w:ascii="方正小标宋简体" w:hAnsi="仿宋_GB2312" w:eastAsia="方正小标宋简体" w:cs="仿宋_GB2312"/>
          <w:color w:val="FF0000"/>
          <w:sz w:val="28"/>
          <w:szCs w:val="28"/>
          <w:u w:val="single"/>
        </w:rPr>
        <w:t>（请参照谈判文件中评审方法）</w:t>
      </w:r>
    </w:p>
    <w:p>
      <w:pPr>
        <w:pStyle w:val="2"/>
        <w:rPr>
          <w:rFonts w:ascii="仿宋_GB2312" w:hAnsi="仿宋_GB2312" w:eastAsia="仿宋_GB2312" w:cs="仿宋_GB2312"/>
          <w:sz w:val="28"/>
          <w:szCs w:val="28"/>
        </w:rPr>
      </w:pPr>
    </w:p>
    <w:p>
      <w:pPr>
        <w:spacing w:line="480" w:lineRule="auto"/>
        <w:ind w:firstLine="560" w:firstLineChars="200"/>
        <w:rPr>
          <w:rFonts w:ascii="仿宋_GB2312" w:hAnsi="仿宋_GB2312" w:eastAsia="仿宋_GB2312" w:cs="仿宋_GB2312"/>
          <w:sz w:val="28"/>
          <w:szCs w:val="28"/>
        </w:rPr>
      </w:pPr>
    </w:p>
    <w:p>
      <w:pPr>
        <w:spacing w:line="560" w:lineRule="exact"/>
        <w:ind w:firstLine="562" w:firstLineChars="200"/>
        <w:jc w:val="center"/>
        <w:rPr>
          <w:rFonts w:ascii="仿宋_GB2312" w:hAnsi="仿宋_GB2312" w:eastAsia="仿宋_GB2312" w:cs="仿宋_GB2312"/>
          <w:b/>
          <w:bCs/>
          <w:sz w:val="28"/>
          <w:szCs w:val="28"/>
        </w:rPr>
      </w:pPr>
      <w:bookmarkStart w:id="7" w:name="_Toc28831_WPSOffice_Level1"/>
    </w:p>
    <w:bookmarkEnd w:id="7"/>
    <w:p>
      <w:pPr>
        <w:spacing w:line="360" w:lineRule="auto"/>
        <w:rPr>
          <w:b/>
          <w:bCs/>
        </w:rPr>
      </w:pPr>
    </w:p>
    <w:p>
      <w:pPr>
        <w:rPr>
          <w:rFonts w:ascii="宋体" w:hAnsi="宋体"/>
          <w:bCs/>
          <w:sz w:val="28"/>
          <w:szCs w:val="28"/>
        </w:rPr>
      </w:pPr>
    </w:p>
    <w:sectPr>
      <w:footerReference r:id="rId6" w:type="first"/>
      <w:footerReference r:id="rId5" w:type="default"/>
      <w:pgSz w:w="11906" w:h="16838"/>
      <w:pgMar w:top="1418" w:right="1418" w:bottom="1418" w:left="1418" w:header="851" w:footer="743" w:gutter="0"/>
      <w:pgNumType w:start="3"/>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F8A277-CF2C-4FFF-AF98-9FEEEAE6C3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432BF9-1902-4285-834C-B5C4B7A8DB71}"/>
  </w:font>
  <w:font w:name="Cambria">
    <w:panose1 w:val="02040503050406030204"/>
    <w:charset w:val="00"/>
    <w:family w:val="roman"/>
    <w:pitch w:val="default"/>
    <w:sig w:usb0="E00006FF" w:usb1="420024FF" w:usb2="02000000" w:usb3="00000000" w:csb0="2000019F" w:csb1="00000000"/>
  </w:font>
  <w:font w:name="全真簡中楷">
    <w:altName w:val="楷体_GB2312"/>
    <w:panose1 w:val="00000000000000000000"/>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00000001" w:usb1="08000000" w:usb2="00000000" w:usb3="00000000" w:csb0="00040000" w:csb1="00000000"/>
    <w:embedRegular r:id="rId3" w:fontKey="{A450010B-56ED-4311-B8C2-289D85C7D39D}"/>
  </w:font>
  <w:font w:name="楷体_GB2312">
    <w:panose1 w:val="02010609030101010101"/>
    <w:charset w:val="86"/>
    <w:family w:val="modern"/>
    <w:pitch w:val="default"/>
    <w:sig w:usb0="00000001" w:usb1="080E0000" w:usb2="00000000" w:usb3="00000000" w:csb0="00040000" w:csb1="00000000"/>
    <w:embedRegular r:id="rId4" w:fontKey="{D05CC895-ED2D-42CC-8458-578F4673786D}"/>
  </w:font>
  <w:font w:name="仿宋_GB2312">
    <w:panose1 w:val="02010609030101010101"/>
    <w:charset w:val="86"/>
    <w:family w:val="modern"/>
    <w:pitch w:val="default"/>
    <w:sig w:usb0="00000001" w:usb1="080E0000" w:usb2="00000000" w:usb3="00000000" w:csb0="00040000" w:csb1="00000000"/>
    <w:embedRegular r:id="rId5" w:fontKey="{4E264AF6-D4D5-4449-8640-CFD3EDC87959}"/>
  </w:font>
  <w:font w:name="Lucida Sans Unicode">
    <w:panose1 w:val="020B0602030504020204"/>
    <w:charset w:val="00"/>
    <w:family w:val="swiss"/>
    <w:pitch w:val="default"/>
    <w:sig w:usb0="80001AFF" w:usb1="0000396B" w:usb2="00000000" w:usb3="00000000" w:csb0="200000BF" w:csb1="D7F70000"/>
    <w:embedRegular r:id="rId6" w:fontKey="{96EC53F5-630E-41BC-8928-4BD53F560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545A6"/>
    <w:multiLevelType w:val="multilevel"/>
    <w:tmpl w:val="212545A6"/>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3A51CF"/>
    <w:multiLevelType w:val="multilevel"/>
    <w:tmpl w:val="513A51C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2E0494C"/>
    <w:multiLevelType w:val="multilevel"/>
    <w:tmpl w:val="72E0494C"/>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E53C97"/>
    <w:rsid w:val="00000F0A"/>
    <w:rsid w:val="0000113A"/>
    <w:rsid w:val="000130DC"/>
    <w:rsid w:val="00014168"/>
    <w:rsid w:val="000143F1"/>
    <w:rsid w:val="00016421"/>
    <w:rsid w:val="00021634"/>
    <w:rsid w:val="000232BC"/>
    <w:rsid w:val="000250A7"/>
    <w:rsid w:val="00026750"/>
    <w:rsid w:val="0002762C"/>
    <w:rsid w:val="00030992"/>
    <w:rsid w:val="000336C9"/>
    <w:rsid w:val="00035C9B"/>
    <w:rsid w:val="000370EB"/>
    <w:rsid w:val="00043EB1"/>
    <w:rsid w:val="000444E2"/>
    <w:rsid w:val="00047ADF"/>
    <w:rsid w:val="00051432"/>
    <w:rsid w:val="000546B2"/>
    <w:rsid w:val="00054713"/>
    <w:rsid w:val="000575FF"/>
    <w:rsid w:val="00062526"/>
    <w:rsid w:val="00063B58"/>
    <w:rsid w:val="000648B6"/>
    <w:rsid w:val="000668F1"/>
    <w:rsid w:val="0007499B"/>
    <w:rsid w:val="00075FBF"/>
    <w:rsid w:val="00082AF2"/>
    <w:rsid w:val="00085A4F"/>
    <w:rsid w:val="00087775"/>
    <w:rsid w:val="00090735"/>
    <w:rsid w:val="00090B13"/>
    <w:rsid w:val="000913D1"/>
    <w:rsid w:val="000A472D"/>
    <w:rsid w:val="000A60CF"/>
    <w:rsid w:val="000B3420"/>
    <w:rsid w:val="000B583C"/>
    <w:rsid w:val="000C27C1"/>
    <w:rsid w:val="000C2CAC"/>
    <w:rsid w:val="000C3662"/>
    <w:rsid w:val="000C3A13"/>
    <w:rsid w:val="000D3059"/>
    <w:rsid w:val="000E33C2"/>
    <w:rsid w:val="000F04B3"/>
    <w:rsid w:val="000F0750"/>
    <w:rsid w:val="000F2574"/>
    <w:rsid w:val="000F2F28"/>
    <w:rsid w:val="000F4E3E"/>
    <w:rsid w:val="000F4E6A"/>
    <w:rsid w:val="000F5CAB"/>
    <w:rsid w:val="00104C83"/>
    <w:rsid w:val="001117B8"/>
    <w:rsid w:val="00113D8F"/>
    <w:rsid w:val="00114D4F"/>
    <w:rsid w:val="00114E7F"/>
    <w:rsid w:val="0011791E"/>
    <w:rsid w:val="00117EA1"/>
    <w:rsid w:val="00126017"/>
    <w:rsid w:val="001260BC"/>
    <w:rsid w:val="00127287"/>
    <w:rsid w:val="00137318"/>
    <w:rsid w:val="001414DA"/>
    <w:rsid w:val="00142F36"/>
    <w:rsid w:val="001434F5"/>
    <w:rsid w:val="00151587"/>
    <w:rsid w:val="0015745D"/>
    <w:rsid w:val="00160B5F"/>
    <w:rsid w:val="00166AFF"/>
    <w:rsid w:val="00167AFB"/>
    <w:rsid w:val="00174FF8"/>
    <w:rsid w:val="00176173"/>
    <w:rsid w:val="00177DF9"/>
    <w:rsid w:val="00182B50"/>
    <w:rsid w:val="00184104"/>
    <w:rsid w:val="00190FC5"/>
    <w:rsid w:val="001939BE"/>
    <w:rsid w:val="00195046"/>
    <w:rsid w:val="001A7776"/>
    <w:rsid w:val="001B06B2"/>
    <w:rsid w:val="001B08D7"/>
    <w:rsid w:val="001B5F32"/>
    <w:rsid w:val="001C1602"/>
    <w:rsid w:val="001C2097"/>
    <w:rsid w:val="001C30AA"/>
    <w:rsid w:val="001C5493"/>
    <w:rsid w:val="001D0134"/>
    <w:rsid w:val="001F005A"/>
    <w:rsid w:val="001F101E"/>
    <w:rsid w:val="001F1E3C"/>
    <w:rsid w:val="001F66E4"/>
    <w:rsid w:val="00200A22"/>
    <w:rsid w:val="00202068"/>
    <w:rsid w:val="00211C3D"/>
    <w:rsid w:val="0022423E"/>
    <w:rsid w:val="002261ED"/>
    <w:rsid w:val="0023350D"/>
    <w:rsid w:val="002407FA"/>
    <w:rsid w:val="002421E7"/>
    <w:rsid w:val="00243909"/>
    <w:rsid w:val="002553C8"/>
    <w:rsid w:val="00255460"/>
    <w:rsid w:val="00273020"/>
    <w:rsid w:val="002868D7"/>
    <w:rsid w:val="00290C22"/>
    <w:rsid w:val="002910EB"/>
    <w:rsid w:val="00292A1D"/>
    <w:rsid w:val="00294798"/>
    <w:rsid w:val="00297DAE"/>
    <w:rsid w:val="002A3DCF"/>
    <w:rsid w:val="002B07C7"/>
    <w:rsid w:val="002B18CF"/>
    <w:rsid w:val="002B2105"/>
    <w:rsid w:val="002B273F"/>
    <w:rsid w:val="002B3D0B"/>
    <w:rsid w:val="002E3AB0"/>
    <w:rsid w:val="002E78B9"/>
    <w:rsid w:val="002F1D15"/>
    <w:rsid w:val="002F25EA"/>
    <w:rsid w:val="002F2DE2"/>
    <w:rsid w:val="003001AE"/>
    <w:rsid w:val="00304DFD"/>
    <w:rsid w:val="00312EEB"/>
    <w:rsid w:val="00316507"/>
    <w:rsid w:val="003265E9"/>
    <w:rsid w:val="0032690E"/>
    <w:rsid w:val="003276E5"/>
    <w:rsid w:val="00332A34"/>
    <w:rsid w:val="00335259"/>
    <w:rsid w:val="00336732"/>
    <w:rsid w:val="0034106E"/>
    <w:rsid w:val="00341421"/>
    <w:rsid w:val="003562AC"/>
    <w:rsid w:val="00356BFC"/>
    <w:rsid w:val="00360D90"/>
    <w:rsid w:val="00363A54"/>
    <w:rsid w:val="003679CB"/>
    <w:rsid w:val="00375999"/>
    <w:rsid w:val="003766C8"/>
    <w:rsid w:val="00376EB8"/>
    <w:rsid w:val="003778DA"/>
    <w:rsid w:val="00377C3B"/>
    <w:rsid w:val="00382E59"/>
    <w:rsid w:val="003860B6"/>
    <w:rsid w:val="00395265"/>
    <w:rsid w:val="00396011"/>
    <w:rsid w:val="003A1898"/>
    <w:rsid w:val="003A3F84"/>
    <w:rsid w:val="003B6F3F"/>
    <w:rsid w:val="003C2919"/>
    <w:rsid w:val="003D10F2"/>
    <w:rsid w:val="003D2A12"/>
    <w:rsid w:val="003D36EF"/>
    <w:rsid w:val="003D6A88"/>
    <w:rsid w:val="003F52FB"/>
    <w:rsid w:val="00401F7A"/>
    <w:rsid w:val="004073D3"/>
    <w:rsid w:val="00411E0E"/>
    <w:rsid w:val="004218B4"/>
    <w:rsid w:val="00425397"/>
    <w:rsid w:val="00425E42"/>
    <w:rsid w:val="00431C6D"/>
    <w:rsid w:val="0044056E"/>
    <w:rsid w:val="00440612"/>
    <w:rsid w:val="0044115C"/>
    <w:rsid w:val="00446CCB"/>
    <w:rsid w:val="0044742E"/>
    <w:rsid w:val="00453E52"/>
    <w:rsid w:val="004561AB"/>
    <w:rsid w:val="00456B7D"/>
    <w:rsid w:val="004644B4"/>
    <w:rsid w:val="004648BC"/>
    <w:rsid w:val="00467A47"/>
    <w:rsid w:val="00475A43"/>
    <w:rsid w:val="00475F3C"/>
    <w:rsid w:val="00477DE8"/>
    <w:rsid w:val="00482369"/>
    <w:rsid w:val="0048599B"/>
    <w:rsid w:val="004929AE"/>
    <w:rsid w:val="00495873"/>
    <w:rsid w:val="004A34E0"/>
    <w:rsid w:val="004A6107"/>
    <w:rsid w:val="004A65CD"/>
    <w:rsid w:val="004A69B0"/>
    <w:rsid w:val="004B25E7"/>
    <w:rsid w:val="004B511F"/>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5259"/>
    <w:rsid w:val="005432B8"/>
    <w:rsid w:val="005715A6"/>
    <w:rsid w:val="005741DA"/>
    <w:rsid w:val="00574CE6"/>
    <w:rsid w:val="00575A6D"/>
    <w:rsid w:val="00575AC6"/>
    <w:rsid w:val="005852A7"/>
    <w:rsid w:val="005869BC"/>
    <w:rsid w:val="005B2B3A"/>
    <w:rsid w:val="005B30A9"/>
    <w:rsid w:val="005B6748"/>
    <w:rsid w:val="005B6EAC"/>
    <w:rsid w:val="005C54A4"/>
    <w:rsid w:val="005C6038"/>
    <w:rsid w:val="005D2092"/>
    <w:rsid w:val="005D3312"/>
    <w:rsid w:val="005D6E84"/>
    <w:rsid w:val="005E3949"/>
    <w:rsid w:val="005F6AB0"/>
    <w:rsid w:val="006037E2"/>
    <w:rsid w:val="00605DAD"/>
    <w:rsid w:val="006221D9"/>
    <w:rsid w:val="00623297"/>
    <w:rsid w:val="00625F3C"/>
    <w:rsid w:val="00627B25"/>
    <w:rsid w:val="00633A41"/>
    <w:rsid w:val="00641680"/>
    <w:rsid w:val="00641CC2"/>
    <w:rsid w:val="00646F19"/>
    <w:rsid w:val="00652797"/>
    <w:rsid w:val="00671903"/>
    <w:rsid w:val="00674B0F"/>
    <w:rsid w:val="006770EB"/>
    <w:rsid w:val="00677327"/>
    <w:rsid w:val="00690423"/>
    <w:rsid w:val="00693785"/>
    <w:rsid w:val="006937D2"/>
    <w:rsid w:val="006A25F2"/>
    <w:rsid w:val="006A4B5A"/>
    <w:rsid w:val="006B30BD"/>
    <w:rsid w:val="006B39F6"/>
    <w:rsid w:val="006B3F75"/>
    <w:rsid w:val="006B7BFE"/>
    <w:rsid w:val="006C0472"/>
    <w:rsid w:val="006C131B"/>
    <w:rsid w:val="006C3AA4"/>
    <w:rsid w:val="006D6682"/>
    <w:rsid w:val="006E27F0"/>
    <w:rsid w:val="006E33CF"/>
    <w:rsid w:val="006F035A"/>
    <w:rsid w:val="007024C5"/>
    <w:rsid w:val="00702927"/>
    <w:rsid w:val="00705CB2"/>
    <w:rsid w:val="0071033E"/>
    <w:rsid w:val="007229DE"/>
    <w:rsid w:val="00725357"/>
    <w:rsid w:val="00726D10"/>
    <w:rsid w:val="00732CB4"/>
    <w:rsid w:val="0073440A"/>
    <w:rsid w:val="00737B71"/>
    <w:rsid w:val="00741F0F"/>
    <w:rsid w:val="00746B9E"/>
    <w:rsid w:val="00747E22"/>
    <w:rsid w:val="0075108D"/>
    <w:rsid w:val="007532BB"/>
    <w:rsid w:val="00757AF2"/>
    <w:rsid w:val="0076717F"/>
    <w:rsid w:val="00770ABC"/>
    <w:rsid w:val="00777A18"/>
    <w:rsid w:val="007809C3"/>
    <w:rsid w:val="00783501"/>
    <w:rsid w:val="0078675E"/>
    <w:rsid w:val="007876B6"/>
    <w:rsid w:val="0079081A"/>
    <w:rsid w:val="0079260F"/>
    <w:rsid w:val="007A1B29"/>
    <w:rsid w:val="007A2939"/>
    <w:rsid w:val="007B3424"/>
    <w:rsid w:val="007B7FB0"/>
    <w:rsid w:val="007C2E08"/>
    <w:rsid w:val="007C55F0"/>
    <w:rsid w:val="007D43BB"/>
    <w:rsid w:val="007D5EEA"/>
    <w:rsid w:val="007E4BDC"/>
    <w:rsid w:val="007F14E9"/>
    <w:rsid w:val="007F1CB6"/>
    <w:rsid w:val="007F2DEF"/>
    <w:rsid w:val="007F396D"/>
    <w:rsid w:val="007F3E4B"/>
    <w:rsid w:val="007F5D25"/>
    <w:rsid w:val="00800B6F"/>
    <w:rsid w:val="008070C4"/>
    <w:rsid w:val="00807A5C"/>
    <w:rsid w:val="0082168C"/>
    <w:rsid w:val="0082187E"/>
    <w:rsid w:val="00821CDC"/>
    <w:rsid w:val="00821F49"/>
    <w:rsid w:val="00822D97"/>
    <w:rsid w:val="00825EDB"/>
    <w:rsid w:val="00826362"/>
    <w:rsid w:val="0083673A"/>
    <w:rsid w:val="0084387D"/>
    <w:rsid w:val="00846747"/>
    <w:rsid w:val="00853ED5"/>
    <w:rsid w:val="00854333"/>
    <w:rsid w:val="008546B4"/>
    <w:rsid w:val="008567A1"/>
    <w:rsid w:val="008651A7"/>
    <w:rsid w:val="00867202"/>
    <w:rsid w:val="0087071F"/>
    <w:rsid w:val="00870A28"/>
    <w:rsid w:val="00870CCF"/>
    <w:rsid w:val="0087149D"/>
    <w:rsid w:val="008803AE"/>
    <w:rsid w:val="00881C63"/>
    <w:rsid w:val="008918A9"/>
    <w:rsid w:val="00891F18"/>
    <w:rsid w:val="008947F8"/>
    <w:rsid w:val="008A0B1C"/>
    <w:rsid w:val="008A175D"/>
    <w:rsid w:val="008A25B0"/>
    <w:rsid w:val="008A4C87"/>
    <w:rsid w:val="008A4E30"/>
    <w:rsid w:val="008A6821"/>
    <w:rsid w:val="008C4485"/>
    <w:rsid w:val="008D5002"/>
    <w:rsid w:val="008E0089"/>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5340A"/>
    <w:rsid w:val="009625F8"/>
    <w:rsid w:val="0096591B"/>
    <w:rsid w:val="00970706"/>
    <w:rsid w:val="00971A10"/>
    <w:rsid w:val="00983654"/>
    <w:rsid w:val="009944F2"/>
    <w:rsid w:val="009956E3"/>
    <w:rsid w:val="009959E4"/>
    <w:rsid w:val="00996490"/>
    <w:rsid w:val="009969F6"/>
    <w:rsid w:val="009A6812"/>
    <w:rsid w:val="009B2798"/>
    <w:rsid w:val="009B4B74"/>
    <w:rsid w:val="009B61D3"/>
    <w:rsid w:val="009B6996"/>
    <w:rsid w:val="009C4891"/>
    <w:rsid w:val="009C6DEC"/>
    <w:rsid w:val="009C6EA7"/>
    <w:rsid w:val="009D3894"/>
    <w:rsid w:val="009D5EF3"/>
    <w:rsid w:val="009E0981"/>
    <w:rsid w:val="009E292A"/>
    <w:rsid w:val="009F381B"/>
    <w:rsid w:val="009F3C04"/>
    <w:rsid w:val="009F4365"/>
    <w:rsid w:val="009F6BF3"/>
    <w:rsid w:val="00A01285"/>
    <w:rsid w:val="00A21EB8"/>
    <w:rsid w:val="00A21EF8"/>
    <w:rsid w:val="00A30C40"/>
    <w:rsid w:val="00A30ED6"/>
    <w:rsid w:val="00A3473F"/>
    <w:rsid w:val="00A35129"/>
    <w:rsid w:val="00A37CC6"/>
    <w:rsid w:val="00A406B2"/>
    <w:rsid w:val="00A42810"/>
    <w:rsid w:val="00A473EF"/>
    <w:rsid w:val="00A5311C"/>
    <w:rsid w:val="00A635CC"/>
    <w:rsid w:val="00A65272"/>
    <w:rsid w:val="00A65ABC"/>
    <w:rsid w:val="00A67D27"/>
    <w:rsid w:val="00A703DE"/>
    <w:rsid w:val="00A753F5"/>
    <w:rsid w:val="00A75564"/>
    <w:rsid w:val="00A8142E"/>
    <w:rsid w:val="00A83EBF"/>
    <w:rsid w:val="00A8527A"/>
    <w:rsid w:val="00A879E9"/>
    <w:rsid w:val="00AA537F"/>
    <w:rsid w:val="00AA5C79"/>
    <w:rsid w:val="00AB0034"/>
    <w:rsid w:val="00AB7315"/>
    <w:rsid w:val="00AC4DA9"/>
    <w:rsid w:val="00AD10B8"/>
    <w:rsid w:val="00AE7D1F"/>
    <w:rsid w:val="00AE7E72"/>
    <w:rsid w:val="00AF0530"/>
    <w:rsid w:val="00AF10B5"/>
    <w:rsid w:val="00AF202B"/>
    <w:rsid w:val="00AF7135"/>
    <w:rsid w:val="00B02CD9"/>
    <w:rsid w:val="00B05C24"/>
    <w:rsid w:val="00B11514"/>
    <w:rsid w:val="00B123E3"/>
    <w:rsid w:val="00B15D61"/>
    <w:rsid w:val="00B2364D"/>
    <w:rsid w:val="00B27F6B"/>
    <w:rsid w:val="00B30FD5"/>
    <w:rsid w:val="00B314FA"/>
    <w:rsid w:val="00B34BDF"/>
    <w:rsid w:val="00B44A06"/>
    <w:rsid w:val="00B46BE1"/>
    <w:rsid w:val="00B50336"/>
    <w:rsid w:val="00B536C8"/>
    <w:rsid w:val="00B53B7F"/>
    <w:rsid w:val="00B62B96"/>
    <w:rsid w:val="00B63D3E"/>
    <w:rsid w:val="00B66BBD"/>
    <w:rsid w:val="00B7082A"/>
    <w:rsid w:val="00B775D1"/>
    <w:rsid w:val="00B8750D"/>
    <w:rsid w:val="00BA0FBC"/>
    <w:rsid w:val="00BA28FE"/>
    <w:rsid w:val="00BA3D89"/>
    <w:rsid w:val="00BA4781"/>
    <w:rsid w:val="00BB0162"/>
    <w:rsid w:val="00BB31D1"/>
    <w:rsid w:val="00BB5925"/>
    <w:rsid w:val="00BC1FF2"/>
    <w:rsid w:val="00BC250C"/>
    <w:rsid w:val="00BD15B8"/>
    <w:rsid w:val="00BD3238"/>
    <w:rsid w:val="00BD3DFD"/>
    <w:rsid w:val="00BD3ECB"/>
    <w:rsid w:val="00BD5D39"/>
    <w:rsid w:val="00BE3F28"/>
    <w:rsid w:val="00BE5488"/>
    <w:rsid w:val="00BF267F"/>
    <w:rsid w:val="00C034F5"/>
    <w:rsid w:val="00C04D4A"/>
    <w:rsid w:val="00C10052"/>
    <w:rsid w:val="00C11EE2"/>
    <w:rsid w:val="00C369F8"/>
    <w:rsid w:val="00C414F6"/>
    <w:rsid w:val="00C519CF"/>
    <w:rsid w:val="00C65BA6"/>
    <w:rsid w:val="00C660EC"/>
    <w:rsid w:val="00C72998"/>
    <w:rsid w:val="00C86CD7"/>
    <w:rsid w:val="00C876CB"/>
    <w:rsid w:val="00C946AB"/>
    <w:rsid w:val="00CA2AD4"/>
    <w:rsid w:val="00CA4F3F"/>
    <w:rsid w:val="00CB36BD"/>
    <w:rsid w:val="00CB3F6E"/>
    <w:rsid w:val="00CB49C3"/>
    <w:rsid w:val="00CC23CB"/>
    <w:rsid w:val="00CC3D93"/>
    <w:rsid w:val="00CD0D4C"/>
    <w:rsid w:val="00CD4086"/>
    <w:rsid w:val="00CD78FC"/>
    <w:rsid w:val="00CF1D7C"/>
    <w:rsid w:val="00D02048"/>
    <w:rsid w:val="00D03CA6"/>
    <w:rsid w:val="00D200D9"/>
    <w:rsid w:val="00D24424"/>
    <w:rsid w:val="00D37267"/>
    <w:rsid w:val="00D42924"/>
    <w:rsid w:val="00D51391"/>
    <w:rsid w:val="00D53F7B"/>
    <w:rsid w:val="00D61084"/>
    <w:rsid w:val="00D66276"/>
    <w:rsid w:val="00D74248"/>
    <w:rsid w:val="00D75668"/>
    <w:rsid w:val="00D8064E"/>
    <w:rsid w:val="00D82FE3"/>
    <w:rsid w:val="00D873F6"/>
    <w:rsid w:val="00D9067E"/>
    <w:rsid w:val="00D926DA"/>
    <w:rsid w:val="00DB1DE6"/>
    <w:rsid w:val="00DB22F6"/>
    <w:rsid w:val="00DB7D7B"/>
    <w:rsid w:val="00DC1C2F"/>
    <w:rsid w:val="00DC5C8A"/>
    <w:rsid w:val="00DC7F98"/>
    <w:rsid w:val="00DD116B"/>
    <w:rsid w:val="00DD24E5"/>
    <w:rsid w:val="00DD3D66"/>
    <w:rsid w:val="00DD3FD2"/>
    <w:rsid w:val="00DD48E7"/>
    <w:rsid w:val="00DD508E"/>
    <w:rsid w:val="00DE1BF5"/>
    <w:rsid w:val="00DE1C43"/>
    <w:rsid w:val="00DE58C3"/>
    <w:rsid w:val="00DE7C82"/>
    <w:rsid w:val="00DF5FD6"/>
    <w:rsid w:val="00E03D1A"/>
    <w:rsid w:val="00E05967"/>
    <w:rsid w:val="00E0608F"/>
    <w:rsid w:val="00E12427"/>
    <w:rsid w:val="00E200A3"/>
    <w:rsid w:val="00E27D5F"/>
    <w:rsid w:val="00E30D63"/>
    <w:rsid w:val="00E3628C"/>
    <w:rsid w:val="00E41326"/>
    <w:rsid w:val="00E446CD"/>
    <w:rsid w:val="00E460C6"/>
    <w:rsid w:val="00E46202"/>
    <w:rsid w:val="00E525C6"/>
    <w:rsid w:val="00E53C97"/>
    <w:rsid w:val="00E57E9E"/>
    <w:rsid w:val="00E6158B"/>
    <w:rsid w:val="00E6593E"/>
    <w:rsid w:val="00E66282"/>
    <w:rsid w:val="00E72308"/>
    <w:rsid w:val="00E72BF9"/>
    <w:rsid w:val="00E74952"/>
    <w:rsid w:val="00E758F6"/>
    <w:rsid w:val="00E842B3"/>
    <w:rsid w:val="00E87132"/>
    <w:rsid w:val="00E90BED"/>
    <w:rsid w:val="00E93BBC"/>
    <w:rsid w:val="00E95983"/>
    <w:rsid w:val="00EA35AE"/>
    <w:rsid w:val="00EA40E5"/>
    <w:rsid w:val="00EB1164"/>
    <w:rsid w:val="00EB260E"/>
    <w:rsid w:val="00EB4082"/>
    <w:rsid w:val="00EC682D"/>
    <w:rsid w:val="00ED1B94"/>
    <w:rsid w:val="00ED45C6"/>
    <w:rsid w:val="00ED5DF5"/>
    <w:rsid w:val="00ED7DFE"/>
    <w:rsid w:val="00EE0997"/>
    <w:rsid w:val="00EE499B"/>
    <w:rsid w:val="00F0217A"/>
    <w:rsid w:val="00F037D1"/>
    <w:rsid w:val="00F0676D"/>
    <w:rsid w:val="00F1125C"/>
    <w:rsid w:val="00F15A07"/>
    <w:rsid w:val="00F207D9"/>
    <w:rsid w:val="00F20D84"/>
    <w:rsid w:val="00F312B3"/>
    <w:rsid w:val="00F312DF"/>
    <w:rsid w:val="00F34A0F"/>
    <w:rsid w:val="00F375CF"/>
    <w:rsid w:val="00F37A7A"/>
    <w:rsid w:val="00F50168"/>
    <w:rsid w:val="00F54059"/>
    <w:rsid w:val="00F558D0"/>
    <w:rsid w:val="00F62BA9"/>
    <w:rsid w:val="00F65B5F"/>
    <w:rsid w:val="00F67CC2"/>
    <w:rsid w:val="00F73826"/>
    <w:rsid w:val="00F73A6B"/>
    <w:rsid w:val="00F75A95"/>
    <w:rsid w:val="00F7706F"/>
    <w:rsid w:val="00F81CC1"/>
    <w:rsid w:val="00F828B1"/>
    <w:rsid w:val="00F842CA"/>
    <w:rsid w:val="00F92F8C"/>
    <w:rsid w:val="00FA0DB6"/>
    <w:rsid w:val="00FA77CC"/>
    <w:rsid w:val="00FB4670"/>
    <w:rsid w:val="00FB7408"/>
    <w:rsid w:val="00FC256E"/>
    <w:rsid w:val="00FC4EBD"/>
    <w:rsid w:val="00FC5CBD"/>
    <w:rsid w:val="00FD5E52"/>
    <w:rsid w:val="00FD6873"/>
    <w:rsid w:val="00FE09C5"/>
    <w:rsid w:val="00FF0DDA"/>
    <w:rsid w:val="00FF215E"/>
    <w:rsid w:val="00FF6DD5"/>
    <w:rsid w:val="01D05165"/>
    <w:rsid w:val="043E3047"/>
    <w:rsid w:val="05B10E6F"/>
    <w:rsid w:val="07821BE8"/>
    <w:rsid w:val="0914179B"/>
    <w:rsid w:val="098D059C"/>
    <w:rsid w:val="0AD812A7"/>
    <w:rsid w:val="0B7109C2"/>
    <w:rsid w:val="0C746753"/>
    <w:rsid w:val="0D57246F"/>
    <w:rsid w:val="0DB33701"/>
    <w:rsid w:val="0E07080F"/>
    <w:rsid w:val="114106C8"/>
    <w:rsid w:val="12770B98"/>
    <w:rsid w:val="1435390A"/>
    <w:rsid w:val="15965D51"/>
    <w:rsid w:val="171D187D"/>
    <w:rsid w:val="183D379D"/>
    <w:rsid w:val="18E97F09"/>
    <w:rsid w:val="1A2F2188"/>
    <w:rsid w:val="1AB214E3"/>
    <w:rsid w:val="1B7A2F0A"/>
    <w:rsid w:val="1E413CF8"/>
    <w:rsid w:val="1FAF0764"/>
    <w:rsid w:val="200B1262"/>
    <w:rsid w:val="22E23A77"/>
    <w:rsid w:val="242C183B"/>
    <w:rsid w:val="251E0645"/>
    <w:rsid w:val="27121A1F"/>
    <w:rsid w:val="2BF80676"/>
    <w:rsid w:val="2CA85564"/>
    <w:rsid w:val="2E031810"/>
    <w:rsid w:val="2EE9014E"/>
    <w:rsid w:val="2F832C85"/>
    <w:rsid w:val="315D66B5"/>
    <w:rsid w:val="32643D9D"/>
    <w:rsid w:val="3423200B"/>
    <w:rsid w:val="34803BBB"/>
    <w:rsid w:val="37687528"/>
    <w:rsid w:val="38B50567"/>
    <w:rsid w:val="39F06807"/>
    <w:rsid w:val="3B2472B8"/>
    <w:rsid w:val="3EB746FE"/>
    <w:rsid w:val="41144350"/>
    <w:rsid w:val="41E528B4"/>
    <w:rsid w:val="42536D35"/>
    <w:rsid w:val="44D8126F"/>
    <w:rsid w:val="475C16FB"/>
    <w:rsid w:val="4EE51A05"/>
    <w:rsid w:val="4FDF6855"/>
    <w:rsid w:val="52206DAE"/>
    <w:rsid w:val="54811B42"/>
    <w:rsid w:val="5BA64DC5"/>
    <w:rsid w:val="5C147475"/>
    <w:rsid w:val="5DF03C66"/>
    <w:rsid w:val="5EA5255C"/>
    <w:rsid w:val="5F1D4538"/>
    <w:rsid w:val="60954120"/>
    <w:rsid w:val="62AD5C1A"/>
    <w:rsid w:val="64DC5C1F"/>
    <w:rsid w:val="65484EFF"/>
    <w:rsid w:val="676571D3"/>
    <w:rsid w:val="67E35954"/>
    <w:rsid w:val="680D106A"/>
    <w:rsid w:val="6AFF7D08"/>
    <w:rsid w:val="6F264369"/>
    <w:rsid w:val="750420D1"/>
    <w:rsid w:val="75083251"/>
    <w:rsid w:val="750D5C8A"/>
    <w:rsid w:val="7D6C1836"/>
    <w:rsid w:val="7DA21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uiPriority w:val="0"/>
    <w:pPr>
      <w:ind w:firstLine="420" w:firstLineChars="200"/>
    </w:pPr>
    <w:rPr>
      <w:rFonts w:ascii="Times New Roman" w:hAnsi="Times New Roman" w:eastAsia="宋体" w:cs="Times New Roman"/>
      <w:szCs w:val="24"/>
    </w:rPr>
  </w:style>
  <w:style w:type="paragraph" w:styleId="6">
    <w:name w:val="annotation text"/>
    <w:basedOn w:val="1"/>
    <w:link w:val="48"/>
    <w:semiHidden/>
    <w:unhideWhenUsed/>
    <w:qFormat/>
    <w:uiPriority w:val="99"/>
    <w:pPr>
      <w:jc w:val="left"/>
    </w:pPr>
  </w:style>
  <w:style w:type="paragraph" w:styleId="7">
    <w:name w:val="Body Text"/>
    <w:basedOn w:val="1"/>
    <w:link w:val="40"/>
    <w:qFormat/>
    <w:uiPriority w:val="0"/>
    <w:pPr>
      <w:spacing w:after="120"/>
    </w:pPr>
    <w:rPr>
      <w:rFonts w:ascii="Calibri" w:hAnsi="Calibri" w:eastAsia="宋体" w:cs="黑体"/>
      <w:szCs w:val="24"/>
    </w:rPr>
  </w:style>
  <w:style w:type="paragraph" w:styleId="8">
    <w:name w:val="Body Text Indent"/>
    <w:basedOn w:val="1"/>
    <w:link w:val="54"/>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Plain Text"/>
    <w:basedOn w:val="1"/>
    <w:next w:val="4"/>
    <w:link w:val="51"/>
    <w:qFormat/>
    <w:uiPriority w:val="0"/>
    <w:pPr>
      <w:adjustRightInd w:val="0"/>
      <w:spacing w:line="312" w:lineRule="atLeast"/>
      <w:textAlignment w:val="baseline"/>
    </w:pPr>
    <w:rPr>
      <w:rFonts w:ascii="宋体" w:hAnsi="Courier New" w:eastAsia="宋体" w:cs="Times New Roman"/>
      <w:kern w:val="0"/>
      <w:szCs w:val="21"/>
    </w:rPr>
  </w:style>
  <w:style w:type="paragraph" w:styleId="11">
    <w:name w:val="Balloon Text"/>
    <w:basedOn w:val="1"/>
    <w:link w:val="37"/>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link w:val="45"/>
    <w:semiHidden/>
    <w:unhideWhenUsed/>
    <w:qFormat/>
    <w:uiPriority w:val="99"/>
    <w:pPr>
      <w:snapToGrid w:val="0"/>
      <w:jc w:val="left"/>
    </w:pPr>
    <w:rPr>
      <w:rFonts w:ascii="Times New Roman" w:hAnsi="Times New Roman" w:eastAsia="宋体" w:cs="Times New Roman"/>
      <w:sz w:val="18"/>
      <w:szCs w:val="18"/>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49"/>
    <w:semiHidden/>
    <w:unhideWhenUsed/>
    <w:qFormat/>
    <w:uiPriority w:val="99"/>
    <w:rPr>
      <w:b/>
      <w:bCs/>
    </w:rPr>
  </w:style>
  <w:style w:type="paragraph" w:styleId="19">
    <w:name w:val="Body Text First Indent 2"/>
    <w:basedOn w:val="8"/>
    <w:link w:val="55"/>
    <w:qFormat/>
    <w:uiPriority w:val="0"/>
    <w:pPr>
      <w:ind w:firstLine="420" w:firstLineChars="200"/>
    </w:pPr>
    <w:rPr>
      <w:rFonts w:ascii="Times New Roman" w:eastAsia="宋体"/>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themeColor="hyperlink"/>
      <w:u w:val="single"/>
    </w:rPr>
  </w:style>
  <w:style w:type="character" w:styleId="26">
    <w:name w:val="annotation reference"/>
    <w:basedOn w:val="22"/>
    <w:semiHidden/>
    <w:unhideWhenUsed/>
    <w:qFormat/>
    <w:uiPriority w:val="99"/>
    <w:rPr>
      <w:sz w:val="21"/>
      <w:szCs w:val="21"/>
    </w:rPr>
  </w:style>
  <w:style w:type="paragraph" w:customStyle="1" w:styleId="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character" w:customStyle="1" w:styleId="29">
    <w:name w:val="页眉 字符"/>
    <w:basedOn w:val="22"/>
    <w:link w:val="13"/>
    <w:qFormat/>
    <w:uiPriority w:val="0"/>
    <w:rPr>
      <w:sz w:val="18"/>
      <w:szCs w:val="18"/>
    </w:rPr>
  </w:style>
  <w:style w:type="character" w:customStyle="1" w:styleId="30">
    <w:name w:val="页脚 字符"/>
    <w:basedOn w:val="22"/>
    <w:link w:val="12"/>
    <w:qFormat/>
    <w:uiPriority w:val="99"/>
    <w:rPr>
      <w:sz w:val="18"/>
      <w:szCs w:val="18"/>
    </w:rPr>
  </w:style>
  <w:style w:type="character" w:customStyle="1" w:styleId="31">
    <w:name w:val="标题 1 字符"/>
    <w:basedOn w:val="22"/>
    <w:link w:val="2"/>
    <w:qFormat/>
    <w:uiPriority w:val="0"/>
    <w:rPr>
      <w:rFonts w:ascii="Times New Roman" w:hAnsi="Times New Roman" w:eastAsia="宋体" w:cs="Times New Roman"/>
      <w:b/>
      <w:bCs/>
      <w:kern w:val="44"/>
      <w:sz w:val="44"/>
      <w:szCs w:val="44"/>
    </w:rPr>
  </w:style>
  <w:style w:type="paragraph" w:customStyle="1" w:styleId="32">
    <w:name w:val="样式 标题 2 + Times New Roman 四号 非加粗 段前: 5 磅 段后: 0 磅 行距: 固定值 20..."/>
    <w:basedOn w:val="3"/>
    <w:qFormat/>
    <w:uiPriority w:val="0"/>
    <w:pPr>
      <w:tabs>
        <w:tab w:val="left" w:pos="1134"/>
      </w:tabs>
      <w:spacing w:before="100" w:after="0" w:line="400" w:lineRule="exact"/>
    </w:pPr>
    <w:rPr>
      <w:rFonts w:ascii="Times New Roman" w:hAnsi="Times New Roman" w:eastAsia="黑体" w:cs="Times New Roman"/>
      <w:b w:val="0"/>
      <w:bCs w:val="0"/>
      <w:sz w:val="28"/>
      <w:szCs w:val="20"/>
    </w:rPr>
  </w:style>
  <w:style w:type="character" w:customStyle="1" w:styleId="33">
    <w:name w:val="日期 Char"/>
    <w:basedOn w:val="22"/>
    <w:link w:val="34"/>
    <w:qFormat/>
    <w:uiPriority w:val="0"/>
    <w:rPr>
      <w:rFonts w:ascii="宋体" w:hAnsi="Times New Roman" w:eastAsia="宋体" w:cs="Times New Roman"/>
      <w:kern w:val="0"/>
      <w:sz w:val="24"/>
      <w:szCs w:val="20"/>
    </w:rPr>
  </w:style>
  <w:style w:type="paragraph" w:customStyle="1" w:styleId="34">
    <w:name w:val="日期1"/>
    <w:basedOn w:val="1"/>
    <w:next w:val="1"/>
    <w:link w:val="33"/>
    <w:qFormat/>
    <w:uiPriority w:val="0"/>
    <w:pPr>
      <w:adjustRightInd w:val="0"/>
      <w:spacing w:line="360" w:lineRule="atLeast"/>
    </w:pPr>
    <w:rPr>
      <w:rFonts w:ascii="宋体" w:hAnsi="Times New Roman" w:eastAsia="宋体" w:cs="Times New Roman"/>
      <w:kern w:val="0"/>
      <w:sz w:val="24"/>
      <w:szCs w:val="20"/>
    </w:rPr>
  </w:style>
  <w:style w:type="character" w:customStyle="1" w:styleId="35">
    <w:name w:val="标题 2 字符"/>
    <w:basedOn w:val="22"/>
    <w:link w:val="3"/>
    <w:semiHidden/>
    <w:qFormat/>
    <w:uiPriority w:val="9"/>
    <w:rPr>
      <w:rFonts w:asciiTheme="majorHAnsi" w:hAnsiTheme="majorHAnsi" w:eastAsiaTheme="majorEastAsia" w:cstheme="majorBidi"/>
      <w:b/>
      <w:bCs/>
      <w:sz w:val="32"/>
      <w:szCs w:val="32"/>
    </w:rPr>
  </w:style>
  <w:style w:type="paragraph" w:customStyle="1" w:styleId="3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字符"/>
    <w:basedOn w:val="22"/>
    <w:link w:val="11"/>
    <w:semiHidden/>
    <w:qFormat/>
    <w:uiPriority w:val="99"/>
    <w:rPr>
      <w:sz w:val="18"/>
      <w:szCs w:val="18"/>
    </w:rPr>
  </w:style>
  <w:style w:type="paragraph" w:customStyle="1" w:styleId="38">
    <w:name w:val="日期2"/>
    <w:basedOn w:val="1"/>
    <w:next w:val="1"/>
    <w:qFormat/>
    <w:uiPriority w:val="0"/>
    <w:pPr>
      <w:ind w:left="100" w:leftChars="2500"/>
    </w:pPr>
    <w:rPr>
      <w:rFonts w:ascii="宋体" w:hAnsi="宋体" w:eastAsia="宋体" w:cs="Times New Roman"/>
      <w:b/>
      <w:kern w:val="0"/>
      <w:sz w:val="28"/>
      <w:szCs w:val="20"/>
      <w:lang w:val="zh-CN"/>
    </w:rPr>
  </w:style>
  <w:style w:type="paragraph" w:customStyle="1" w:styleId="39">
    <w:name w:val="WPSOffice手动目录 1"/>
    <w:qFormat/>
    <w:uiPriority w:val="0"/>
    <w:rPr>
      <w:rFonts w:ascii="Times New Roman" w:hAnsi="Times New Roman" w:eastAsia="宋体" w:cs="Times New Roman"/>
      <w:lang w:val="en-US" w:eastAsia="zh-CN" w:bidi="ar-SA"/>
    </w:rPr>
  </w:style>
  <w:style w:type="character" w:customStyle="1" w:styleId="40">
    <w:name w:val="正文文本 字符"/>
    <w:basedOn w:val="22"/>
    <w:link w:val="7"/>
    <w:qFormat/>
    <w:uiPriority w:val="0"/>
    <w:rPr>
      <w:rFonts w:ascii="Calibri" w:hAnsi="Calibri" w:eastAsia="宋体" w:cs="黑体"/>
      <w:kern w:val="2"/>
      <w:sz w:val="21"/>
      <w:szCs w:val="24"/>
    </w:rPr>
  </w:style>
  <w:style w:type="paragraph" w:customStyle="1" w:styleId="4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42">
    <w:name w:val="font01"/>
    <w:basedOn w:val="22"/>
    <w:qFormat/>
    <w:uiPriority w:val="0"/>
    <w:rPr>
      <w:rFonts w:hint="eastAsia" w:ascii="宋体" w:hAnsi="宋体" w:eastAsia="宋体" w:cs="宋体"/>
      <w:color w:val="000000"/>
      <w:sz w:val="32"/>
      <w:szCs w:val="32"/>
      <w:u w:val="none"/>
      <w:vertAlign w:val="subscript"/>
    </w:rPr>
  </w:style>
  <w:style w:type="character" w:customStyle="1" w:styleId="43">
    <w:name w:val="font21"/>
    <w:basedOn w:val="22"/>
    <w:qFormat/>
    <w:uiPriority w:val="0"/>
    <w:rPr>
      <w:rFonts w:hint="eastAsia" w:ascii="宋体" w:hAnsi="宋体" w:eastAsia="宋体" w:cs="宋体"/>
      <w:color w:val="000000"/>
      <w:sz w:val="32"/>
      <w:szCs w:val="32"/>
      <w:u w:val="none"/>
      <w:vertAlign w:val="superscript"/>
    </w:rPr>
  </w:style>
  <w:style w:type="paragraph" w:customStyle="1" w:styleId="44">
    <w:name w:val="Default"/>
    <w:basedOn w:val="1"/>
    <w:next w:val="15"/>
    <w:qFormat/>
    <w:uiPriority w:val="0"/>
    <w:pPr>
      <w:autoSpaceDE w:val="0"/>
      <w:autoSpaceDN w:val="0"/>
      <w:adjustRightInd w:val="0"/>
      <w:jc w:val="left"/>
    </w:pPr>
    <w:rPr>
      <w:rFonts w:hint="eastAsia" w:ascii="宋体" w:hAnsi="Calibri" w:eastAsia="宋体" w:cs="Times New Roman"/>
      <w:color w:val="000000"/>
      <w:kern w:val="0"/>
      <w:sz w:val="24"/>
      <w:szCs w:val="24"/>
    </w:rPr>
  </w:style>
  <w:style w:type="character" w:customStyle="1" w:styleId="45">
    <w:name w:val="脚注文本 字符"/>
    <w:basedOn w:val="22"/>
    <w:link w:val="15"/>
    <w:qFormat/>
    <w:uiPriority w:val="0"/>
    <w:rPr>
      <w:kern w:val="2"/>
      <w:sz w:val="18"/>
      <w:szCs w:val="18"/>
    </w:rPr>
  </w:style>
  <w:style w:type="paragraph" w:customStyle="1" w:styleId="46">
    <w:name w:val="Table Paragraph"/>
    <w:basedOn w:val="1"/>
    <w:qFormat/>
    <w:uiPriority w:val="0"/>
    <w:pPr>
      <w:autoSpaceDE w:val="0"/>
      <w:autoSpaceDN w:val="0"/>
      <w:jc w:val="left"/>
    </w:pPr>
    <w:rPr>
      <w:rFonts w:hint="eastAsia" w:ascii="宋体" w:hAnsi="宋体" w:eastAsia="宋体" w:cs="Times New Roman"/>
      <w:kern w:val="0"/>
      <w:sz w:val="22"/>
    </w:rPr>
  </w:style>
  <w:style w:type="character" w:customStyle="1" w:styleId="47">
    <w:name w:val="未处理的提及1"/>
    <w:basedOn w:val="22"/>
    <w:semiHidden/>
    <w:unhideWhenUsed/>
    <w:qFormat/>
    <w:uiPriority w:val="99"/>
    <w:rPr>
      <w:color w:val="605E5C"/>
      <w:shd w:val="clear" w:color="auto" w:fill="E1DFDD"/>
    </w:rPr>
  </w:style>
  <w:style w:type="character" w:customStyle="1" w:styleId="48">
    <w:name w:val="批注文字 字符"/>
    <w:basedOn w:val="22"/>
    <w:link w:val="6"/>
    <w:semiHidden/>
    <w:qFormat/>
    <w:uiPriority w:val="99"/>
    <w:rPr>
      <w:rFonts w:asciiTheme="minorHAnsi" w:hAnsiTheme="minorHAnsi" w:eastAsiaTheme="minorEastAsia" w:cstheme="minorBidi"/>
      <w:kern w:val="2"/>
      <w:sz w:val="21"/>
      <w:szCs w:val="22"/>
    </w:rPr>
  </w:style>
  <w:style w:type="character" w:customStyle="1" w:styleId="49">
    <w:name w:val="批注主题 字符"/>
    <w:basedOn w:val="48"/>
    <w:link w:val="18"/>
    <w:semiHidden/>
    <w:qFormat/>
    <w:uiPriority w:val="99"/>
    <w:rPr>
      <w:rFonts w:asciiTheme="minorHAnsi" w:hAnsiTheme="minorHAnsi" w:eastAsiaTheme="minorEastAsia" w:cstheme="minorBidi"/>
      <w:b/>
      <w:bCs/>
      <w:kern w:val="2"/>
      <w:sz w:val="21"/>
      <w:szCs w:val="22"/>
    </w:rPr>
  </w:style>
  <w:style w:type="character" w:customStyle="1" w:styleId="50">
    <w:name w:val="未处理的提及2"/>
    <w:basedOn w:val="22"/>
    <w:semiHidden/>
    <w:unhideWhenUsed/>
    <w:qFormat/>
    <w:uiPriority w:val="99"/>
    <w:rPr>
      <w:color w:val="605E5C"/>
      <w:shd w:val="clear" w:color="auto" w:fill="E1DFDD"/>
    </w:rPr>
  </w:style>
  <w:style w:type="character" w:customStyle="1" w:styleId="51">
    <w:name w:val="纯文本 字符"/>
    <w:basedOn w:val="22"/>
    <w:link w:val="10"/>
    <w:qFormat/>
    <w:uiPriority w:val="0"/>
    <w:rPr>
      <w:rFonts w:ascii="宋体" w:hAnsi="Courier New"/>
      <w:sz w:val="21"/>
      <w:szCs w:val="21"/>
    </w:rPr>
  </w:style>
  <w:style w:type="character" w:customStyle="1" w:styleId="52">
    <w:name w:val="正文缩进 字符"/>
    <w:link w:val="5"/>
    <w:qFormat/>
    <w:locked/>
    <w:uiPriority w:val="0"/>
    <w:rPr>
      <w:kern w:val="2"/>
      <w:sz w:val="21"/>
      <w:szCs w:val="24"/>
    </w:rPr>
  </w:style>
  <w:style w:type="paragraph" w:customStyle="1" w:styleId="53">
    <w:name w:val="Particulars Slip"/>
    <w:basedOn w:val="1"/>
    <w:qFormat/>
    <w:uiPriority w:val="0"/>
    <w:pPr>
      <w:tabs>
        <w:tab w:val="left" w:pos="2160"/>
        <w:tab w:val="left" w:pos="2520"/>
        <w:tab w:val="left" w:pos="2880"/>
        <w:tab w:val="left" w:pos="3240"/>
        <w:tab w:val="left" w:pos="3600"/>
        <w:tab w:val="left" w:pos="3960"/>
      </w:tabs>
    </w:pPr>
    <w:rPr>
      <w:rFonts w:ascii="全真簡中楷" w:hAnsi="Times New Roman" w:eastAsia="全真簡中楷" w:cs="Times New Roman"/>
      <w:snapToGrid w:val="0"/>
      <w:kern w:val="0"/>
      <w:sz w:val="28"/>
      <w:szCs w:val="20"/>
      <w:lang w:val="en-GB" w:eastAsia="en-US"/>
    </w:rPr>
  </w:style>
  <w:style w:type="character" w:customStyle="1" w:styleId="54">
    <w:name w:val="正文文本缩进 字符"/>
    <w:basedOn w:val="22"/>
    <w:link w:val="8"/>
    <w:semiHidden/>
    <w:qFormat/>
    <w:uiPriority w:val="99"/>
    <w:rPr>
      <w:rFonts w:asciiTheme="minorHAnsi" w:hAnsiTheme="minorHAnsi" w:eastAsiaTheme="minorEastAsia" w:cstheme="minorBidi"/>
      <w:kern w:val="2"/>
      <w:sz w:val="21"/>
      <w:szCs w:val="22"/>
    </w:rPr>
  </w:style>
  <w:style w:type="character" w:customStyle="1" w:styleId="55">
    <w:name w:val="正文文本首行缩进 2 字符"/>
    <w:basedOn w:val="54"/>
    <w:link w:val="19"/>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795B9-87D3-47F1-A865-948FAA021C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10575</Words>
  <Characters>11119</Characters>
  <Lines>88</Lines>
  <Paragraphs>24</Paragraphs>
  <TotalTime>106</TotalTime>
  <ScaleCrop>false</ScaleCrop>
  <LinksUpToDate>false</LinksUpToDate>
  <CharactersWithSpaces>11628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2022-08-20T14:28:00Z</dcterms:created>
  <dc:creator>COFCO\zhucs</dc:creator>
  <cp:lastModifiedBy>姚世伦</cp:lastModifiedBy>
  <cp:lastPrinted>2022-10-04T07:04:00Z</cp:lastPrinted>
  <dcterms:modified xsi:type="dcterms:W3CDTF">2024-04-18T03:52:48Z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D0DB1D9E76F44681A104AD7D5335DB63</vt:lpwstr>
  </property>
</Properties>
</file>