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p>
      <w:pPr>
        <w:jc w:val="center"/>
        <w:outlineLvl w:val="0"/>
        <w:rPr>
          <w:rFonts w:hint="eastAsia" w:ascii="方正仿宋_GB2312" w:hAnsi="方正仿宋_GB2312" w:eastAsia="方正仿宋_GB2312" w:cs="方正仿宋_GB2312"/>
          <w:b/>
          <w:sz w:val="52"/>
          <w:szCs w:val="52"/>
          <w:u w:val="single"/>
        </w:rPr>
      </w:pPr>
      <w:bookmarkStart w:id="0" w:name="_Toc30333"/>
      <w:r>
        <w:rPr>
          <w:rFonts w:hint="eastAsia" w:ascii="方正仿宋_GB2312" w:hAnsi="方正仿宋_GB2312" w:eastAsia="方正仿宋_GB2312" w:cs="方正仿宋_GB2312"/>
          <w:b/>
          <w:sz w:val="52"/>
          <w:szCs w:val="52"/>
        </w:rPr>
        <w:t>中粮（唐山）糖业24年投资技改工程委托设计项目谈判采购文件</w:t>
      </w:r>
      <w:bookmarkEnd w:id="0"/>
    </w:p>
    <w:p>
      <w:pPr>
        <w:ind w:firstLine="643" w:firstLineChars="200"/>
        <w:jc w:val="center"/>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ind w:firstLine="643" w:firstLineChars="200"/>
        <w:rPr>
          <w:rFonts w:hint="eastAsia" w:ascii="方正仿宋_GB2312" w:hAnsi="方正仿宋_GB2312" w:eastAsia="方正仿宋_GB2312" w:cs="方正仿宋_GB2312"/>
          <w:b/>
          <w:sz w:val="32"/>
          <w:szCs w:val="32"/>
        </w:rPr>
      </w:pPr>
    </w:p>
    <w:p>
      <w:pPr>
        <w:jc w:val="center"/>
        <w:outlineLvl w:val="0"/>
        <w:rPr>
          <w:rFonts w:hint="eastAsia" w:ascii="方正仿宋_GB2312" w:hAnsi="方正仿宋_GB2312" w:eastAsia="方正仿宋_GB2312" w:cs="方正仿宋_GB2312"/>
          <w:sz w:val="32"/>
          <w:szCs w:val="32"/>
          <w:u w:val="single"/>
        </w:rPr>
      </w:pPr>
      <w:bookmarkStart w:id="1" w:name="_Toc20351"/>
      <w:r>
        <w:rPr>
          <w:rFonts w:hint="eastAsia" w:ascii="方正仿宋_GB2312" w:hAnsi="方正仿宋_GB2312" w:eastAsia="方正仿宋_GB2312" w:cs="方正仿宋_GB2312"/>
          <w:b/>
          <w:sz w:val="32"/>
          <w:szCs w:val="32"/>
        </w:rPr>
        <w:t>招 标 人：</w:t>
      </w:r>
      <w:r>
        <w:rPr>
          <w:rFonts w:hint="eastAsia" w:ascii="方正仿宋_GB2312" w:hAnsi="方正仿宋_GB2312" w:eastAsia="方正仿宋_GB2312" w:cs="方正仿宋_GB2312"/>
          <w:sz w:val="32"/>
          <w:szCs w:val="32"/>
          <w:u w:val="single"/>
        </w:rPr>
        <w:t>中粮（唐山）糖业有限公司</w:t>
      </w:r>
      <w:bookmarkEnd w:id="1"/>
    </w:p>
    <w:p>
      <w:pPr>
        <w:ind w:firstLine="1606" w:firstLineChars="500"/>
        <w:outlineLvl w:val="0"/>
        <w:rPr>
          <w:rFonts w:hint="eastAsia" w:ascii="方正仿宋_GB2312" w:hAnsi="方正仿宋_GB2312" w:eastAsia="方正仿宋_GB2312" w:cs="方正仿宋_GB2312"/>
          <w:sz w:val="32"/>
          <w:szCs w:val="32"/>
          <w:u w:val="single"/>
        </w:rPr>
      </w:pPr>
      <w:bookmarkStart w:id="2" w:name="_Toc28488"/>
      <w:r>
        <w:rPr>
          <w:rFonts w:hint="eastAsia" w:ascii="方正仿宋_GB2312" w:hAnsi="方正仿宋_GB2312" w:eastAsia="方正仿宋_GB2312" w:cs="方正仿宋_GB2312"/>
          <w:b/>
          <w:sz w:val="32"/>
          <w:szCs w:val="32"/>
        </w:rPr>
        <w:t>日    期：</w:t>
      </w:r>
      <w:r>
        <w:rPr>
          <w:rFonts w:hint="eastAsia" w:ascii="方正仿宋_GB2312" w:hAnsi="方正仿宋_GB2312" w:eastAsia="方正仿宋_GB2312" w:cs="方正仿宋_GB2312"/>
          <w:sz w:val="32"/>
          <w:szCs w:val="32"/>
          <w:u w:val="single"/>
        </w:rPr>
        <w:t>2024年4月</w:t>
      </w:r>
      <w:bookmarkEnd w:id="2"/>
    </w:p>
    <w:p>
      <w:pPr>
        <w:jc w:val="center"/>
        <w:rPr>
          <w:rFonts w:hint="eastAsia" w:ascii="方正仿宋_GB2312" w:hAnsi="方正仿宋_GB2312" w:eastAsia="方正仿宋_GB2312" w:cs="方正仿宋_GB2312"/>
        </w:rPr>
        <w:sectPr>
          <w:pgSz w:w="11906" w:h="16838"/>
          <w:pgMar w:top="1440" w:right="1559" w:bottom="1440" w:left="1559" w:header="851" w:footer="992" w:gutter="0"/>
          <w:pgNumType w:fmt="decimal"/>
          <w:cols w:space="425" w:num="1"/>
          <w:docGrid w:type="lines" w:linePitch="312" w:charSpace="0"/>
        </w:sectPr>
      </w:pPr>
    </w:p>
    <w:sdt>
      <w:sdtPr>
        <w:rPr>
          <w:rFonts w:hint="eastAsia" w:ascii="方正仿宋_GB2312" w:hAnsi="方正仿宋_GB2312" w:eastAsia="方正仿宋_GB2312" w:cs="方正仿宋_GB2312"/>
        </w:rPr>
        <w:id w:val="147474625"/>
        <w15:color w:val="DBDBDB"/>
        <w:docPartObj>
          <w:docPartGallery w:val="Table of Contents"/>
          <w:docPartUnique/>
        </w:docPartObj>
      </w:sdtPr>
      <w:sdtEndPr>
        <w:rPr>
          <w:rFonts w:hint="eastAsia" w:ascii="方正仿宋_GB2312" w:hAnsi="方正仿宋_GB2312" w:eastAsia="方正仿宋_GB2312" w:cs="方正仿宋_GB2312"/>
          <w:sz w:val="32"/>
          <w:szCs w:val="32"/>
        </w:rPr>
      </w:sdtEndPr>
      <w:sdtContent>
        <w:p>
          <w:pPr>
            <w:jc w:val="center"/>
            <w:rPr>
              <w:rFonts w:hint="eastAsia" w:ascii="方正仿宋_GB2312" w:hAnsi="方正仿宋_GB2312" w:eastAsia="方正仿宋_GB2312" w:cs="方正仿宋_GB2312"/>
              <w:sz w:val="36"/>
              <w:szCs w:val="40"/>
            </w:rPr>
          </w:pPr>
          <w:r>
            <w:rPr>
              <w:rFonts w:hint="eastAsia" w:ascii="方正仿宋_GB2312" w:hAnsi="方正仿宋_GB2312" w:eastAsia="方正仿宋_GB2312" w:cs="方正仿宋_GB2312"/>
              <w:sz w:val="36"/>
              <w:szCs w:val="40"/>
            </w:rPr>
            <w:t>目 录</w:t>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TOC \o "1-1" \h \u </w:instrText>
          </w:r>
          <w:r>
            <w:rPr>
              <w:rFonts w:hint="eastAsia" w:ascii="方正仿宋_GB2312" w:hAnsi="方正仿宋_GB2312" w:eastAsia="方正仿宋_GB2312" w:cs="方正仿宋_GB2312"/>
              <w:sz w:val="32"/>
              <w:szCs w:val="32"/>
            </w:rPr>
            <w:fldChar w:fldCharType="separate"/>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"_Toc6960"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 w:val="32"/>
              <w:szCs w:val="32"/>
            </w:rPr>
            <w:t>第一章  谈判须知</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_Toc6960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"_Toc9226"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bCs/>
              <w:sz w:val="32"/>
              <w:szCs w:val="32"/>
            </w:rPr>
            <w:t>第二章  技术要求</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_Toc9226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"_Toc3349"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 w:val="32"/>
              <w:szCs w:val="32"/>
            </w:rPr>
            <w:t>第三章  合同模板</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_Toc3349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"_Toc25947"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kern w:val="2"/>
              <w:sz w:val="32"/>
              <w:szCs w:val="32"/>
            </w:rPr>
            <w:t>第四章  评审方法</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_Toc25947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53</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pStyle w:val="36"/>
            <w:tabs>
              <w:tab w:val="right" w:leader="dot" w:pos="8930"/>
            </w:tabs>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HYPERLINK \l "_Toc15603"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sz w:val="32"/>
              <w:szCs w:val="32"/>
              <w:shd w:val="clear" w:color="auto" w:fill="FFFFFF"/>
            </w:rPr>
            <w:t>第五章  响应文件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PAGEREF _Toc15603 \h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57</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fldChar w:fldCharType="end"/>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fldChar w:fldCharType="end"/>
          </w:r>
        </w:p>
      </w:sdtContent>
    </w:sdt>
    <w:p>
      <w:pPr>
        <w:pStyle w:val="2"/>
        <w:spacing w:before="200" w:after="100" w:line="240" w:lineRule="auto"/>
        <w:jc w:val="left"/>
        <w:rPr>
          <w:rFonts w:hint="eastAsia" w:ascii="方正仿宋_GB2312" w:hAnsi="方正仿宋_GB2312" w:eastAsia="方正仿宋_GB2312" w:cs="方正仿宋_GB2312"/>
          <w:b w:val="0"/>
          <w:bCs w:val="0"/>
          <w:sz w:val="32"/>
          <w:szCs w:val="36"/>
        </w:rPr>
      </w:pPr>
      <w:bookmarkStart w:id="3" w:name="_Toc6960"/>
    </w:p>
    <w:p>
      <w:pPr>
        <w:pStyle w:val="2"/>
        <w:spacing w:before="200" w:after="100" w:line="240" w:lineRule="auto"/>
        <w:jc w:val="left"/>
        <w:rPr>
          <w:rFonts w:hint="eastAsia" w:ascii="方正仿宋_GB2312" w:hAnsi="方正仿宋_GB2312" w:eastAsia="方正仿宋_GB2312" w:cs="方正仿宋_GB2312"/>
          <w:b w:val="0"/>
          <w:bCs w:val="0"/>
          <w:sz w:val="32"/>
          <w:szCs w:val="36"/>
        </w:rPr>
      </w:pPr>
    </w:p>
    <w:p>
      <w:pPr>
        <w:pStyle w:val="2"/>
        <w:spacing w:before="200" w:after="100" w:line="240" w:lineRule="auto"/>
        <w:jc w:val="left"/>
        <w:rPr>
          <w:rFonts w:hint="eastAsia" w:ascii="方正仿宋_GB2312" w:hAnsi="方正仿宋_GB2312" w:eastAsia="方正仿宋_GB2312" w:cs="方正仿宋_GB2312"/>
          <w:b w:val="0"/>
          <w:bCs w:val="0"/>
          <w:sz w:val="32"/>
          <w:szCs w:val="36"/>
        </w:rPr>
      </w:pPr>
    </w:p>
    <w:p>
      <w:pPr>
        <w:pStyle w:val="2"/>
        <w:spacing w:before="200" w:after="100" w:line="240" w:lineRule="auto"/>
        <w:jc w:val="left"/>
        <w:rPr>
          <w:rFonts w:hint="eastAsia" w:ascii="方正仿宋_GB2312" w:hAnsi="方正仿宋_GB2312" w:eastAsia="方正仿宋_GB2312" w:cs="方正仿宋_GB2312"/>
          <w:b w:val="0"/>
          <w:bCs w:val="0"/>
          <w:sz w:val="32"/>
          <w:szCs w:val="36"/>
        </w:rPr>
      </w:pPr>
    </w:p>
    <w:p>
      <w:pPr>
        <w:pStyle w:val="2"/>
        <w:spacing w:before="200" w:after="100" w:line="240" w:lineRule="auto"/>
        <w:jc w:val="left"/>
        <w:rPr>
          <w:rFonts w:hint="eastAsia" w:ascii="方正仿宋_GB2312" w:hAnsi="方正仿宋_GB2312" w:eastAsia="方正仿宋_GB2312" w:cs="方正仿宋_GB2312"/>
          <w:b w:val="0"/>
          <w:bCs w:val="0"/>
          <w:sz w:val="32"/>
          <w:szCs w:val="36"/>
        </w:rPr>
      </w:pPr>
    </w:p>
    <w:p>
      <w:pPr>
        <w:pStyle w:val="2"/>
        <w:spacing w:before="200" w:after="100" w:line="240" w:lineRule="auto"/>
        <w:jc w:val="left"/>
        <w:rPr>
          <w:rFonts w:hint="eastAsia" w:ascii="方正仿宋_GB2312" w:hAnsi="方正仿宋_GB2312" w:eastAsia="方正仿宋_GB2312" w:cs="方正仿宋_GB2312"/>
          <w:b w:val="0"/>
          <w:bCs w:val="0"/>
          <w:sz w:val="32"/>
          <w:szCs w:val="36"/>
        </w:rPr>
      </w:pPr>
    </w:p>
    <w:p>
      <w:pPr>
        <w:pStyle w:val="2"/>
        <w:spacing w:before="0" w:after="0" w:line="240" w:lineRule="auto"/>
        <w:jc w:val="left"/>
        <w:rPr>
          <w:rFonts w:hint="eastAsia" w:ascii="方正仿宋_GB2312" w:hAnsi="方正仿宋_GB2312" w:eastAsia="方正仿宋_GB2312" w:cs="方正仿宋_GB2312"/>
          <w:b w:val="0"/>
          <w:bCs w:val="0"/>
          <w:sz w:val="32"/>
          <w:szCs w:val="36"/>
        </w:rPr>
      </w:pPr>
    </w:p>
    <w:p>
      <w:pPr>
        <w:pStyle w:val="2"/>
        <w:spacing w:before="0" w:after="0" w:line="240" w:lineRule="auto"/>
        <w:jc w:val="left"/>
        <w:rPr>
          <w:rFonts w:hint="eastAsia" w:ascii="方正仿宋_GB2312" w:hAnsi="方正仿宋_GB2312" w:eastAsia="方正仿宋_GB2312" w:cs="方正仿宋_GB2312"/>
          <w:b w:val="0"/>
          <w:bCs w:val="0"/>
          <w:sz w:val="32"/>
          <w:szCs w:val="36"/>
        </w:rPr>
      </w:pPr>
    </w:p>
    <w:p>
      <w:pPr>
        <w:pStyle w:val="2"/>
        <w:spacing w:before="0" w:after="0" w:line="240" w:lineRule="auto"/>
        <w:jc w:val="left"/>
        <w:rPr>
          <w:rFonts w:hint="eastAsia" w:ascii="方正仿宋_GB2312" w:hAnsi="方正仿宋_GB2312" w:eastAsia="方正仿宋_GB2312" w:cs="方正仿宋_GB2312"/>
          <w:b w:val="0"/>
          <w:bCs w:val="0"/>
          <w:sz w:val="32"/>
          <w:szCs w:val="36"/>
        </w:rPr>
      </w:pPr>
    </w:p>
    <w:p>
      <w:pPr>
        <w:pStyle w:val="2"/>
        <w:spacing w:before="0" w:after="0" w:line="240" w:lineRule="auto"/>
        <w:jc w:val="left"/>
        <w:rPr>
          <w:rFonts w:hint="eastAsia" w:ascii="方正仿宋_GB2312" w:hAnsi="方正仿宋_GB2312" w:eastAsia="方正仿宋_GB2312" w:cs="方正仿宋_GB2312"/>
          <w:b w:val="0"/>
          <w:bCs w:val="0"/>
          <w:sz w:val="32"/>
          <w:szCs w:val="36"/>
        </w:rPr>
      </w:pPr>
    </w:p>
    <w:p>
      <w:pPr>
        <w:spacing w:before="200" w:after="100"/>
        <w:jc w:val="left"/>
        <w:rPr>
          <w:rFonts w:hint="eastAsia" w:ascii="方正仿宋_GB2312" w:hAnsi="方正仿宋_GB2312" w:eastAsia="方正仿宋_GB2312" w:cs="方正仿宋_GB2312"/>
        </w:rPr>
      </w:pPr>
    </w:p>
    <w:p>
      <w:pPr>
        <w:spacing w:before="200" w:after="100"/>
        <w:jc w:val="left"/>
        <w:rPr>
          <w:rFonts w:hint="eastAsia" w:ascii="方正仿宋_GB2312" w:hAnsi="方正仿宋_GB2312" w:eastAsia="方正仿宋_GB2312" w:cs="方正仿宋_GB2312"/>
        </w:rPr>
      </w:pPr>
    </w:p>
    <w:p>
      <w:pPr>
        <w:spacing w:before="200" w:after="100"/>
        <w:jc w:val="left"/>
        <w:rPr>
          <w:rFonts w:hint="eastAsia" w:ascii="方正仿宋_GB2312" w:hAnsi="方正仿宋_GB2312" w:eastAsia="方正仿宋_GB2312" w:cs="方正仿宋_GB2312"/>
        </w:rPr>
      </w:pPr>
    </w:p>
    <w:p>
      <w:pPr>
        <w:pStyle w:val="2"/>
        <w:spacing w:before="200" w:after="100" w:line="240" w:lineRule="auto"/>
        <w:jc w:val="both"/>
        <w:rPr>
          <w:rFonts w:hint="eastAsia" w:ascii="黑体" w:hAnsi="黑体" w:eastAsia="黑体" w:cs="黑体"/>
          <w:b w:val="0"/>
          <w:bCs w:val="0"/>
          <w:sz w:val="32"/>
          <w:szCs w:val="32"/>
        </w:rPr>
      </w:pPr>
    </w:p>
    <w:p>
      <w:pPr>
        <w:rPr>
          <w:rFonts w:hint="eastAsia"/>
        </w:rPr>
      </w:pPr>
    </w:p>
    <w:p>
      <w:pPr>
        <w:pStyle w:val="2"/>
        <w:spacing w:before="200" w:after="100" w:line="240" w:lineRule="auto"/>
        <w:ind w:firstLine="640" w:firstLineChars="200"/>
        <w:jc w:val="both"/>
        <w:rPr>
          <w:rFonts w:hint="eastAsia" w:ascii="黑体" w:hAnsi="黑体" w:eastAsia="黑体" w:cs="黑体"/>
          <w:b w:val="0"/>
          <w:sz w:val="32"/>
          <w:szCs w:val="32"/>
        </w:rPr>
      </w:pPr>
      <w:r>
        <w:rPr>
          <w:rFonts w:hint="eastAsia" w:ascii="黑体" w:hAnsi="黑体" w:eastAsia="黑体" w:cs="黑体"/>
          <w:b w:val="0"/>
          <w:bCs w:val="0"/>
          <w:sz w:val="32"/>
          <w:szCs w:val="32"/>
        </w:rPr>
        <w:t xml:space="preserve">第一章 </w:t>
      </w:r>
      <w:r>
        <w:rPr>
          <w:rFonts w:hint="eastAsia" w:ascii="黑体" w:hAnsi="黑体" w:eastAsia="黑体" w:cs="黑体"/>
          <w:b w:val="0"/>
          <w:sz w:val="32"/>
          <w:szCs w:val="32"/>
        </w:rPr>
        <w:t>谈判须知</w:t>
      </w:r>
      <w:bookmarkEnd w:id="3"/>
    </w:p>
    <w:p>
      <w:pPr>
        <w:pStyle w:val="2"/>
        <w:spacing w:before="200" w:after="100" w:line="240" w:lineRule="auto"/>
        <w:ind w:firstLine="640" w:firstLineChars="200"/>
        <w:jc w:val="left"/>
        <w:rPr>
          <w:rFonts w:hint="eastAsia" w:ascii="方正仿宋_GB2312" w:hAnsi="方正仿宋_GB2312" w:eastAsia="方正仿宋_GB2312" w:cs="方正仿宋_GB2312"/>
          <w:b w:val="0"/>
          <w:sz w:val="32"/>
          <w:szCs w:val="32"/>
        </w:rPr>
      </w:pPr>
      <w:bookmarkStart w:id="4" w:name="_Toc4767"/>
      <w:r>
        <w:rPr>
          <w:rFonts w:hint="eastAsia" w:ascii="方正仿宋_GB2312" w:hAnsi="方正仿宋_GB2312" w:eastAsia="方正仿宋_GB2312" w:cs="方正仿宋_GB2312"/>
          <w:b w:val="0"/>
          <w:sz w:val="32"/>
          <w:szCs w:val="32"/>
        </w:rPr>
        <w:t>（本谈判文件请投标单位认真阅读，任何遗漏或疏忽都有可能导致无效标书或废标）</w:t>
      </w:r>
      <w:bookmarkEnd w:id="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026"/>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序号</w:t>
            </w:r>
          </w:p>
        </w:tc>
        <w:tc>
          <w:tcPr>
            <w:tcW w:w="0" w:type="auto"/>
          </w:tcPr>
          <w:p>
            <w:pPr>
              <w:spacing w:line="24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名称</w:t>
            </w:r>
          </w:p>
        </w:tc>
        <w:tc>
          <w:tcPr>
            <w:tcW w:w="0" w:type="auto"/>
          </w:tcPr>
          <w:p>
            <w:pPr>
              <w:spacing w:line="24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项目名称</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中粮（唐山）糖业24年投资技改5个工程委托设计项目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适用范围</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本招标文件仅适用于中粮（唐山）糖业有限公司组织的采购活动。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定义</w:t>
            </w:r>
          </w:p>
        </w:tc>
        <w:tc>
          <w:tcPr>
            <w:tcW w:w="0" w:type="auto"/>
          </w:tcPr>
          <w:p>
            <w:pPr>
              <w:tabs>
                <w:tab w:val="left" w:pos="441"/>
              </w:tabs>
              <w:autoSpaceDE w:val="0"/>
              <w:autoSpaceDN w:val="0"/>
              <w:adjustRightInd w:val="0"/>
              <w:spacing w:line="240" w:lineRule="auto"/>
              <w:rPr>
                <w:rFonts w:hint="eastAsia" w:ascii="方正仿宋_GB2312" w:hAnsi="方正仿宋_GB2312" w:eastAsia="方正仿宋_GB2312" w:cs="方正仿宋_GB2312"/>
                <w:sz w:val="32"/>
                <w:szCs w:val="32"/>
              </w:rPr>
            </w:pPr>
            <w:bookmarkStart w:id="5" w:name="_Hlk131079327"/>
            <w:r>
              <w:rPr>
                <w:rFonts w:hint="eastAsia" w:ascii="方正仿宋_GB2312" w:hAnsi="方正仿宋_GB2312" w:eastAsia="方正仿宋_GB2312" w:cs="方正仿宋_GB2312"/>
                <w:sz w:val="32"/>
                <w:szCs w:val="32"/>
              </w:rPr>
              <w:t>本招标文件使用的下列词语定义如下：</w:t>
            </w:r>
          </w:p>
          <w:p>
            <w:pPr>
              <w:tabs>
                <w:tab w:val="left" w:pos="441"/>
              </w:tabs>
              <w:autoSpaceDE w:val="0"/>
              <w:autoSpaceDN w:val="0"/>
              <w:adjustRightIn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（1）“招标人”均指</w:t>
            </w:r>
            <w:r>
              <w:rPr>
                <w:rFonts w:hint="eastAsia" w:ascii="方正仿宋_GB2312" w:hAnsi="方正仿宋_GB2312" w:eastAsia="方正仿宋_GB2312" w:cs="方正仿宋_GB2312"/>
                <w:bCs/>
                <w:sz w:val="32"/>
                <w:szCs w:val="32"/>
              </w:rPr>
              <w:t>中粮（唐山）糖业有限公司</w:t>
            </w:r>
            <w:r>
              <w:rPr>
                <w:rFonts w:hint="eastAsia" w:ascii="方正仿宋_GB2312" w:hAnsi="方正仿宋_GB2312" w:eastAsia="方正仿宋_GB2312" w:cs="方正仿宋_GB2312"/>
                <w:sz w:val="32"/>
                <w:szCs w:val="32"/>
              </w:rPr>
              <w:t>；</w:t>
            </w:r>
          </w:p>
          <w:p>
            <w:pPr>
              <w:tabs>
                <w:tab w:val="left" w:pos="441"/>
              </w:tabs>
              <w:autoSpaceDE w:val="0"/>
              <w:autoSpaceDN w:val="0"/>
              <w:adjustRightIn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（2）“投标人”指向</w:t>
            </w:r>
            <w:r>
              <w:rPr>
                <w:rFonts w:hint="eastAsia" w:ascii="方正仿宋_GB2312" w:hAnsi="方正仿宋_GB2312" w:eastAsia="方正仿宋_GB2312" w:cs="方正仿宋_GB2312"/>
                <w:bCs/>
                <w:sz w:val="32"/>
                <w:szCs w:val="32"/>
              </w:rPr>
              <w:t>中粮（唐山）糖业有限公司</w:t>
            </w:r>
            <w:r>
              <w:rPr>
                <w:rFonts w:hint="eastAsia" w:ascii="方正仿宋_GB2312" w:hAnsi="方正仿宋_GB2312" w:eastAsia="方正仿宋_GB2312" w:cs="方正仿宋_GB2312"/>
                <w:sz w:val="32"/>
                <w:szCs w:val="32"/>
              </w:rPr>
              <w:t>提交投标文件；</w:t>
            </w:r>
          </w:p>
          <w:p>
            <w:pPr>
              <w:tabs>
                <w:tab w:val="left" w:pos="441"/>
              </w:tabs>
              <w:autoSpaceDE w:val="0"/>
              <w:autoSpaceDN w:val="0"/>
              <w:adjustRightIn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（3）“招标文件”指</w:t>
            </w:r>
            <w:r>
              <w:rPr>
                <w:rFonts w:hint="eastAsia" w:ascii="方正仿宋_GB2312" w:hAnsi="方正仿宋_GB2312" w:eastAsia="方正仿宋_GB2312" w:cs="方正仿宋_GB2312"/>
                <w:bCs/>
                <w:sz w:val="32"/>
                <w:szCs w:val="32"/>
              </w:rPr>
              <w:t>中粮（唐山）糖业有限公司</w:t>
            </w:r>
            <w:r>
              <w:rPr>
                <w:rFonts w:hint="eastAsia" w:ascii="方正仿宋_GB2312" w:hAnsi="方正仿宋_GB2312" w:eastAsia="方正仿宋_GB2312" w:cs="方正仿宋_GB2312"/>
                <w:sz w:val="32"/>
                <w:szCs w:val="32"/>
              </w:rPr>
              <w:t>发出的本文件，包括附件；</w:t>
            </w:r>
          </w:p>
          <w:p>
            <w:pPr>
              <w:tabs>
                <w:tab w:val="left" w:pos="441"/>
              </w:tabs>
              <w:autoSpaceDE w:val="0"/>
              <w:autoSpaceDN w:val="0"/>
              <w:adjustRightIn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（4）“投标文件”指投标人根据本招标文件向</w:t>
            </w:r>
            <w:r>
              <w:rPr>
                <w:rFonts w:hint="eastAsia" w:ascii="方正仿宋_GB2312" w:hAnsi="方正仿宋_GB2312" w:eastAsia="方正仿宋_GB2312" w:cs="方正仿宋_GB2312"/>
                <w:bCs/>
                <w:sz w:val="32"/>
                <w:szCs w:val="32"/>
              </w:rPr>
              <w:t>中粮（唐山）糖业有限公司</w:t>
            </w:r>
            <w:r>
              <w:rPr>
                <w:rFonts w:hint="eastAsia" w:ascii="方正仿宋_GB2312" w:hAnsi="方正仿宋_GB2312" w:eastAsia="方正仿宋_GB2312" w:cs="方正仿宋_GB2312"/>
                <w:sz w:val="32"/>
                <w:szCs w:val="32"/>
              </w:rPr>
              <w:t>交的全部文件；</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项目地点</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曹妃甸工业区二港池西岸中粮（唐山）糖业有限公司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项目服务区域</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中粮（唐山）糖业有限公司厂内。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p>
        </w:tc>
        <w:tc>
          <w:tcPr>
            <w:tcW w:w="0" w:type="auto"/>
          </w:tcPr>
          <w:p>
            <w:pPr>
              <w:spacing w:line="240" w:lineRule="auto"/>
              <w:jc w:val="lef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项目控制价</w:t>
            </w:r>
          </w:p>
        </w:tc>
        <w:tc>
          <w:tcPr>
            <w:tcW w:w="0" w:type="auto"/>
          </w:tcPr>
          <w:p>
            <w:pPr>
              <w:spacing w:line="240" w:lineRule="auto"/>
              <w:jc w:val="lef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36</w:t>
            </w:r>
            <w:r>
              <w:rPr>
                <w:rFonts w:hint="eastAsia" w:ascii="方正仿宋_GB2312" w:hAnsi="方正仿宋_GB2312" w:eastAsia="方正仿宋_GB2312" w:cs="方正仿宋_GB2312"/>
                <w:sz w:val="32"/>
                <w:szCs w:val="32"/>
                <w:highlight w:val="none"/>
              </w:rPr>
              <w:t>万元(大写：叁拾陆万元整)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服务内容</w:t>
            </w:r>
          </w:p>
        </w:tc>
        <w:tc>
          <w:tcPr>
            <w:tcW w:w="0" w:type="auto"/>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24年投资技改工程委托设计项目出具图纸：</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134"/>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序号</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项目名称</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图纸内容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1</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厂区消防环路</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施工图：8米宽双坡重载道路及路侧排水沟做法，5米宽单坡轻载道路及路侧排水沟做法，150m³初期雨水收集池（地下）结构做法，此收集池位置布置水泵及阀门，及通向厂区污水站的地下管线。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沉淀池刮泥机</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施工图：新增混凝土浇筑再生池一座，与原有再生池对接，占地长8500mm×宽8500mm×深3600mm＝260.1m³，要求满足承载力相关要求。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散装糖</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钢结构施工图设计，重载路施工图设计，结合新增设备提资出具设备布置图，并保证皮带机通廊及装车平台钢结构满足承载力相关要求，周转仓南侧重载路面，两个相邻单体墙体开洞连通涉及跨防火分区问题需满足消防、环保、安全等最新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新增分蜜机</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施工图：结合新增设备提资出具设备布置图，保证楼板承重满足承载力相关要求出具结构图和改造方案，保证电负荷满足现车间生产需求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p>
              </w:tc>
              <w:tc>
                <w:tcPr>
                  <w:tcW w:w="1134"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振筛换摇筛</w:t>
                  </w:r>
                </w:p>
              </w:tc>
              <w:tc>
                <w:tcPr>
                  <w:tcW w:w="5279" w:type="dxa"/>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施工图：结合新增设备提资出具设备布置图及高洁净区改造方案和布置图，为保证楼板承重满足承载力相关要求并出具结构图和改造方案，因可能涉及屋顶加高结合屋顶加高高度出具屋顶加高改造方案及结构图。</w:t>
                  </w:r>
                </w:p>
              </w:tc>
            </w:tr>
          </w:tbl>
          <w:p>
            <w:pPr>
              <w:spacing w:line="240" w:lineRule="auto"/>
              <w:rPr>
                <w:rFonts w:hint="eastAsia"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项目服务期限</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签订合同至工程项目验收结束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采购方式</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合格意向投标人的资格条件</w:t>
            </w:r>
          </w:p>
        </w:tc>
        <w:tc>
          <w:tcPr>
            <w:tcW w:w="0" w:type="auto"/>
          </w:tcPr>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（1）投标人必须是中华人民共和国境内合法注册的独立法人机构；</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（2）具备有效的“营业执照、税务登记证及组织机构代码证”或具备：“统一社会信用代码证”的营业执照；</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（3）提供法定代表人证明书和法定代表人授权委托证明书；</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（4）参加招投标活动前三年内在经营活动中没有重大违法记录；</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（5）单位负责人为同一人或者存在直接控股、管理关系的不同投标人，不得参加同一合同项下的投标活动；</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（6）在“信用中国”网站（www.creditchina.gov.cn）中被列入失信被执行人、重大税收违法案件当事人名单、政府采购严重违法失信行为记录名单的投标人，不得参加本次招标活动；</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（7）应自觉抵制采购领域商业贿赂行为；</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（8）本项目不允许联合体竞争性谈判响应；</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（9）中粮糖业黑名单内的供应商不得投标；</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highlight w:val="none"/>
              </w:rPr>
            </w:pPr>
            <w:r>
              <w:rPr>
                <w:rFonts w:hint="eastAsia" w:ascii="方正仿宋_GB2312" w:hAnsi="方正仿宋_GB2312" w:eastAsia="方正仿宋_GB2312" w:cs="方正仿宋_GB2312"/>
                <w:bCs/>
                <w:sz w:val="32"/>
                <w:szCs w:val="32"/>
                <w:highlight w:val="none"/>
              </w:rPr>
              <w:t>（10）须具备住房城乡建设行政主管部门核发的有效的轻纺行业（轻工工程行业）甲级或建筑行业（建筑工程）甲级；</w:t>
            </w:r>
          </w:p>
          <w:p>
            <w:pPr>
              <w:widowControl/>
              <w:snapToGrid w:val="0"/>
              <w:spacing w:line="240" w:lineRule="auto"/>
              <w:ind w:firstLine="640" w:firstLineChars="20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highlight w:val="none"/>
              </w:rPr>
              <w:t>（11）拟担任本项目的其他主要设计人员至少包括：建筑设计专业负责人1人，资格（职称）： 注册建筑师 ；结构设计专业负责人1人，资格（职称）： 注册结构师 ；给排水专业负责人1人，资格（职称）： 工程师 ；类似项目设计业绩要求：投标人及其拟派出担任本设计项目负责人均应具备1项类似项目设计业绩。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w:t>
            </w:r>
          </w:p>
        </w:tc>
        <w:tc>
          <w:tcPr>
            <w:tcW w:w="0" w:type="auto"/>
          </w:tcPr>
          <w:p>
            <w:pPr>
              <w:spacing w:line="240" w:lineRule="auto"/>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投标人注册</w:t>
            </w:r>
          </w:p>
        </w:tc>
        <w:tc>
          <w:tcPr>
            <w:tcW w:w="0" w:type="auto"/>
          </w:tcPr>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意向投标人须在中粮糖业采购平台进行注册登记，通过审核的才能够在EPS系统内报名，进行查看公告等业务操作；采购平台网址：</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"https://eps.cofcotunhe.com" </w:instrText>
            </w:r>
            <w:r>
              <w:rPr>
                <w:rFonts w:hint="eastAsia" w:ascii="方正仿宋_GB2312" w:hAnsi="方正仿宋_GB2312" w:eastAsia="方正仿宋_GB2312" w:cs="方正仿宋_GB2312"/>
                <w:sz w:val="32"/>
                <w:szCs w:val="32"/>
              </w:rPr>
              <w:fldChar w:fldCharType="separate"/>
            </w:r>
            <w:r>
              <w:rPr>
                <w:rStyle w:val="22"/>
                <w:rFonts w:hint="eastAsia" w:ascii="方正仿宋_GB2312" w:hAnsi="方正仿宋_GB2312" w:eastAsia="方正仿宋_GB2312" w:cs="方正仿宋_GB2312"/>
                <w:sz w:val="32"/>
                <w:szCs w:val="32"/>
              </w:rPr>
              <w:t>https://eps.cofcotunhe.com</w:t>
            </w:r>
            <w:r>
              <w:rPr>
                <w:rStyle w:val="22"/>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。已注册的意向投标人在EPS系统内自行更新资料，补充不足部分，更新已过期资质，重新提交审核，资质审核不通过的不得参与报价； 请参与本次报价的意向投标人注册填报采购组织时，选择：唐山糖业工厂。系统固定注册资料需有：营业执照、开户许可证、纳税人资格证、法人代表授权委托书、质量承诺书、廉洁承诺书、信用中国。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w:t>
            </w:r>
          </w:p>
        </w:tc>
        <w:tc>
          <w:tcPr>
            <w:tcW w:w="0" w:type="auto"/>
            <w:vAlign w:val="center"/>
          </w:tcPr>
          <w:p>
            <w:pPr>
              <w:spacing w:line="240" w:lineRule="auto"/>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sz w:val="32"/>
                <w:szCs w:val="32"/>
              </w:rPr>
              <w:t>响应有效期</w:t>
            </w:r>
          </w:p>
        </w:tc>
        <w:tc>
          <w:tcPr>
            <w:tcW w:w="0" w:type="auto"/>
            <w:vAlign w:val="center"/>
          </w:tcPr>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响应有效期为开启响应文件之日起90日历天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w:t>
            </w:r>
          </w:p>
        </w:tc>
        <w:tc>
          <w:tcPr>
            <w:tcW w:w="0" w:type="auto"/>
          </w:tcPr>
          <w:p>
            <w:pPr>
              <w:spacing w:line="240" w:lineRule="auto"/>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谈判文件发布及报名截止时间</w:t>
            </w:r>
          </w:p>
        </w:tc>
        <w:tc>
          <w:tcPr>
            <w:tcW w:w="0" w:type="auto"/>
          </w:tcPr>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谈判文件发放方式：中粮糖业EPS采购平台发布；谈判文件发出时间：</w:t>
            </w:r>
            <w:r>
              <w:rPr>
                <w:rFonts w:hint="eastAsia" w:ascii="方正仿宋_GB2312" w:hAnsi="方正仿宋_GB2312" w:eastAsia="方正仿宋_GB2312" w:cs="方正仿宋_GB2312"/>
                <w:b/>
                <w:bCs/>
                <w:color w:val="FF0000"/>
                <w:sz w:val="32"/>
                <w:szCs w:val="32"/>
                <w:u w:val="single"/>
                <w:lang w:val="en-US" w:eastAsia="zh-CN"/>
              </w:rPr>
              <w:t>2024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b/>
                <w:bCs/>
                <w:color w:val="FF0000"/>
                <w:sz w:val="32"/>
                <w:szCs w:val="32"/>
                <w:u w:val="single"/>
                <w:lang w:val="en-US" w:eastAsia="zh-CN"/>
              </w:rPr>
              <w:t>04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b/>
                <w:bCs/>
                <w:color w:val="FF0000"/>
                <w:sz w:val="32"/>
                <w:szCs w:val="32"/>
                <w:u w:val="single"/>
                <w:lang w:val="en-US" w:eastAsia="zh-CN"/>
              </w:rPr>
              <w:t>26</w:t>
            </w:r>
            <w:r>
              <w:rPr>
                <w:rFonts w:hint="eastAsia" w:ascii="方正仿宋_GB2312" w:hAnsi="方正仿宋_GB2312" w:eastAsia="方正仿宋_GB2312" w:cs="方正仿宋_GB2312"/>
                <w:sz w:val="32"/>
                <w:szCs w:val="32"/>
              </w:rPr>
              <w:t>日</w:t>
            </w:r>
          </w:p>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请投标单位于</w:t>
            </w:r>
            <w:r>
              <w:rPr>
                <w:rFonts w:hint="eastAsia" w:ascii="方正仿宋_GB2312" w:hAnsi="方正仿宋_GB2312" w:eastAsia="方正仿宋_GB2312" w:cs="方正仿宋_GB2312"/>
                <w:b/>
                <w:bCs/>
                <w:color w:val="FF0000"/>
                <w:sz w:val="32"/>
                <w:szCs w:val="32"/>
                <w:u w:val="single"/>
                <w:lang w:val="en-US" w:eastAsia="zh-CN"/>
              </w:rPr>
              <w:t>2024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b/>
                <w:bCs/>
                <w:color w:val="FF0000"/>
                <w:sz w:val="32"/>
                <w:szCs w:val="32"/>
                <w:u w:val="single"/>
                <w:lang w:val="en-US" w:eastAsia="zh-CN"/>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b/>
                <w:bCs/>
                <w:color w:val="FF0000"/>
                <w:sz w:val="32"/>
                <w:szCs w:val="32"/>
                <w:u w:val="single"/>
                <w:lang w:val="en-US" w:eastAsia="zh-CN"/>
              </w:rPr>
              <w:t>2</w:t>
            </w:r>
            <w:bookmarkStart w:id="25" w:name="_GoBack"/>
            <w:bookmarkEnd w:id="25"/>
            <w:r>
              <w:rPr>
                <w:rFonts w:hint="eastAsia" w:ascii="方正仿宋_GB2312" w:hAnsi="方正仿宋_GB2312" w:eastAsia="方正仿宋_GB2312" w:cs="方正仿宋_GB2312"/>
                <w:b/>
                <w:bCs/>
                <w:color w:val="FF0000"/>
                <w:sz w:val="32"/>
                <w:szCs w:val="32"/>
                <w:u w:val="single"/>
                <w:lang w:val="en-US" w:eastAsia="zh-CN"/>
              </w:rPr>
              <w:t>9</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b/>
                <w:bCs/>
                <w:color w:val="FF0000"/>
                <w:sz w:val="32"/>
                <w:szCs w:val="32"/>
                <w:lang w:val="en-US" w:eastAsia="zh-CN"/>
              </w:rPr>
              <w:t>10</w:t>
            </w:r>
            <w:r>
              <w:rPr>
                <w:rFonts w:hint="eastAsia" w:ascii="方正仿宋_GB2312" w:hAnsi="方正仿宋_GB2312" w:eastAsia="方正仿宋_GB2312" w:cs="方正仿宋_GB2312"/>
                <w:sz w:val="32"/>
                <w:szCs w:val="32"/>
                <w:lang w:val="en-US" w:eastAsia="zh-CN"/>
              </w:rPr>
              <w:t>时</w:t>
            </w:r>
            <w:r>
              <w:rPr>
                <w:rFonts w:hint="eastAsia" w:ascii="方正仿宋_GB2312" w:hAnsi="方正仿宋_GB2312" w:eastAsia="方正仿宋_GB2312" w:cs="方正仿宋_GB2312"/>
                <w:sz w:val="32"/>
                <w:szCs w:val="32"/>
              </w:rPr>
              <w:t>前完成报名。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w:t>
            </w:r>
          </w:p>
        </w:tc>
        <w:tc>
          <w:tcPr>
            <w:tcW w:w="0" w:type="auto"/>
          </w:tcPr>
          <w:p>
            <w:pPr>
              <w:spacing w:line="240" w:lineRule="auto"/>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谈判文件发布要求</w:t>
            </w:r>
          </w:p>
        </w:tc>
        <w:tc>
          <w:tcPr>
            <w:tcW w:w="0" w:type="auto"/>
          </w:tcPr>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请仔细检查招标文件是否齐全，如有缺漏，请立即与招标人联系解决。</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1.投标人被视为充分熟悉本采购项目所在地的与履行合同有关的各种情况，本招标文件不再对上述情况进行描述。</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2.投标人必须详阅招标文件的所有条款、文件及表格格式。如果投标人的投标文件因自身的疏忽、遗漏不能满足本招标文件的要求,责任由投标人自负。招标人有权拒绝没有实质上响应招标文件要求的投标文件。</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3.招标文件的解释如投标人对招标文件有任何疑问，请以电话或电子邮件形式向招标人在此招标文件上列明的联系人询问，不得向其他单位或个人提出任何查询 (除非已经得到招标人的书面同意)。答疑的截止日期在投标截止日期前1天截止，逾期将不予回复。</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4.招标文件的补充</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4.1在组织招标时间之前，招标人可以根据需要对招标文件用补充文件的方式进行修正。</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4.2 对招标文件的补充，应以书面形式通知所有投标人。补充文件将作为招标文件的组成部分，对所有投标人有约束力。</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4.3为使投标人有足够的时间按招标文件的补充要求修正投标文件，招标人有权决定推迟招标采购的组织招标时间，并将此变更书面通知所有投标人。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w:t>
            </w:r>
          </w:p>
        </w:tc>
        <w:tc>
          <w:tcPr>
            <w:tcW w:w="0" w:type="auto"/>
          </w:tcPr>
          <w:p>
            <w:pPr>
              <w:spacing w:line="240" w:lineRule="auto"/>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开标时间及响应文件提交</w:t>
            </w:r>
          </w:p>
        </w:tc>
        <w:tc>
          <w:tcPr>
            <w:tcW w:w="0" w:type="auto"/>
          </w:tcPr>
          <w:p>
            <w:pPr>
              <w:snapToGrid w:val="0"/>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开标时间为</w:t>
            </w:r>
            <w:r>
              <w:rPr>
                <w:rFonts w:hint="eastAsia" w:ascii="方正仿宋_GB2312" w:hAnsi="方正仿宋_GB2312" w:eastAsia="方正仿宋_GB2312" w:cs="方正仿宋_GB2312"/>
                <w:b/>
                <w:bCs/>
                <w:color w:val="FF0000"/>
                <w:sz w:val="32"/>
                <w:szCs w:val="32"/>
                <w:u w:val="single"/>
                <w:lang w:val="en-US" w:eastAsia="zh-CN"/>
              </w:rPr>
              <w:t>2024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b/>
                <w:bCs/>
                <w:color w:val="FF0000"/>
                <w:sz w:val="32"/>
                <w:szCs w:val="32"/>
                <w:u w:val="single"/>
                <w:lang w:val="en-US" w:eastAsia="zh-CN"/>
              </w:rPr>
              <w:t>4</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b/>
                <w:bCs/>
                <w:color w:val="FF0000"/>
                <w:sz w:val="32"/>
                <w:szCs w:val="32"/>
                <w:u w:val="single"/>
                <w:lang w:val="en-US" w:eastAsia="zh-CN"/>
              </w:rPr>
              <w:t>30</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b/>
                <w:bCs/>
                <w:color w:val="FF0000"/>
                <w:sz w:val="32"/>
                <w:szCs w:val="32"/>
                <w:u w:val="single"/>
                <w:lang w:val="en-US" w:eastAsia="zh-CN"/>
              </w:rPr>
              <w:t>20</w:t>
            </w:r>
            <w:r>
              <w:rPr>
                <w:rFonts w:hint="eastAsia" w:ascii="方正仿宋_GB2312" w:hAnsi="方正仿宋_GB2312" w:eastAsia="方正仿宋_GB2312" w:cs="方正仿宋_GB2312"/>
                <w:sz w:val="32"/>
                <w:szCs w:val="32"/>
              </w:rPr>
              <w:t>时</w:t>
            </w:r>
            <w:r>
              <w:rPr>
                <w:rFonts w:hint="eastAsia" w:ascii="方正仿宋_GB2312" w:hAnsi="方正仿宋_GB2312" w:eastAsia="方正仿宋_GB2312" w:cs="方正仿宋_GB2312"/>
                <w:b/>
                <w:bCs/>
                <w:color w:val="FF0000"/>
                <w:sz w:val="32"/>
                <w:szCs w:val="32"/>
                <w:u w:val="single"/>
                <w:lang w:val="en-US" w:eastAsia="zh-CN"/>
              </w:rPr>
              <w:t>00</w:t>
            </w:r>
            <w:r>
              <w:rPr>
                <w:rFonts w:hint="eastAsia" w:ascii="方正仿宋_GB2312" w:hAnsi="方正仿宋_GB2312" w:eastAsia="方正仿宋_GB2312" w:cs="方正仿宋_GB2312"/>
                <w:sz w:val="32"/>
                <w:szCs w:val="32"/>
              </w:rPr>
              <w:t>分；参加谈判的投标人需要在开标前完成报价，并把谈判响应文件填写完整并加盖公章后，在EPS系统中上传，上传文件只接受原件扫描件，不接受电子签，复印件为无效资料。</w:t>
            </w:r>
            <w:r>
              <w:rPr>
                <w:rFonts w:hint="eastAsia" w:ascii="方正仿宋_GB2312" w:hAnsi="方正仿宋_GB2312" w:eastAsia="方正仿宋_GB2312" w:cs="方正仿宋_GB2312"/>
                <w:bCs/>
                <w:sz w:val="32"/>
                <w:szCs w:val="32"/>
              </w:rPr>
              <w:t>本项目采用“综合评审法”，详见第四章《评审办法》，评审方法中需要提供的评审要件包括但不限于为：</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Cs/>
                <w:sz w:val="32"/>
                <w:szCs w:val="32"/>
              </w:rPr>
              <w:t>谈判时，供方提供的资料是否充分，将会影响其最终得分。</w:t>
            </w:r>
            <w:r>
              <w:rPr>
                <w:rFonts w:hint="eastAsia" w:ascii="方正仿宋_GB2312" w:hAnsi="方正仿宋_GB2312" w:eastAsia="方正仿宋_GB2312" w:cs="方正仿宋_GB2312"/>
                <w:sz w:val="32"/>
                <w:szCs w:val="32"/>
              </w:rPr>
              <w:t>同时供应商业绩不得造假，一经发现取消投标资格。在谈判响应截止时间前，响应方未完成响应文件上传工作将被视为放弃响应。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评标方法</w:t>
            </w:r>
          </w:p>
        </w:tc>
        <w:tc>
          <w:tcPr>
            <w:tcW w:w="0" w:type="auto"/>
          </w:tcPr>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采用综合评标法，详见第四章《评审办法》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谈判地点</w:t>
            </w:r>
          </w:p>
        </w:tc>
        <w:tc>
          <w:tcPr>
            <w:tcW w:w="0" w:type="auto"/>
          </w:tcPr>
          <w:p>
            <w:pPr>
              <w:snapToGrid w:val="0"/>
              <w:spacing w:line="240" w:lineRule="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sz w:val="32"/>
                <w:szCs w:val="32"/>
              </w:rPr>
              <w:t>中粮糖业EPS采购平台，腾讯会议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保密原则</w:t>
            </w:r>
          </w:p>
        </w:tc>
        <w:tc>
          <w:tcPr>
            <w:tcW w:w="0" w:type="auto"/>
          </w:tcPr>
          <w:p>
            <w:pPr>
              <w:snapToGrid w:val="0"/>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投标人应将所有招标人送出的招标文件包括有关项目资料作为保密文件处理。对于任何违反此规定的投标人的投标文件视为废标。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18</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招标文件约束力</w:t>
            </w:r>
          </w:p>
        </w:tc>
        <w:tc>
          <w:tcPr>
            <w:tcW w:w="0" w:type="auto"/>
          </w:tcPr>
          <w:p>
            <w:pPr>
              <w:spacing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投标人一旦领取了本招标文件并参加招标，即被认为接受了本招标文件中的所有条件和规定。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19</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谈判文件编制要求</w:t>
            </w:r>
          </w:p>
        </w:tc>
        <w:tc>
          <w:tcPr>
            <w:tcW w:w="0" w:type="auto"/>
          </w:tcPr>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1.供应商对谈判响应文件应按要求编制。</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供应商提交的谈判响应文件以及供应商与采购人就有关谈判的所有来往函电均应使用中文。供应商提交的支持文件和印刷的文献可以使用别的语言，但其相应内容必须附有中文翻译文本，在解释谈判响应文件时以翻译文本为主。</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3.供应商应认真阅读、并充分理解本文件的全部内容（包括所有的补充、修改内容），承诺并履行本文件中各项条款规定及要求。</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 谈判响应文件必须按本文件的全部内容，包括所有的补充通知及附件进行编制。</w:t>
            </w:r>
          </w:p>
          <w:p>
            <w:pPr>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5.如因供应商只填写和提供了本文件要求的部分内容和附件，而给评审造成困难，其可能导致的结果和责任由供应商自行承担。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报价要求</w:t>
            </w:r>
          </w:p>
        </w:tc>
        <w:tc>
          <w:tcPr>
            <w:tcW w:w="0" w:type="auto"/>
          </w:tcPr>
          <w:p>
            <w:pPr>
              <w:snapToGrid w:val="0"/>
              <w:spacing w:line="240" w:lineRule="auto"/>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目的投标报价采用固定总价方式，投标人在计算投标报价时应充分考虑可能蕴含的风险因素。投标人可先到工厂踏勘，以充分了解工厂位置、情况、道路、服务区域及任何其他足以影响投标报价的情况，任何因忽视或误解工厂情况而导致的索赔或服务延后申请将不被批准。投标人中标后除采购文件及服务合同条款规定外，不得以任何理由调整报价或追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中标通知书发布</w:t>
            </w:r>
          </w:p>
        </w:tc>
        <w:tc>
          <w:tcPr>
            <w:tcW w:w="0" w:type="auto"/>
          </w:tcPr>
          <w:p>
            <w:pPr>
              <w:snapToGrid w:val="0"/>
              <w:spacing w:line="240" w:lineRule="auto"/>
              <w:ind w:firstLine="480" w:firstLineChars="150"/>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bCs/>
                <w:sz w:val="32"/>
                <w:szCs w:val="32"/>
              </w:rPr>
              <w:t>招标人将在评标结束后在</w:t>
            </w:r>
            <w:r>
              <w:rPr>
                <w:rFonts w:hint="eastAsia" w:ascii="方正仿宋_GB2312" w:hAnsi="方正仿宋_GB2312" w:eastAsia="方正仿宋_GB2312" w:cs="方正仿宋_GB2312"/>
                <w:sz w:val="32"/>
                <w:szCs w:val="32"/>
              </w:rPr>
              <w:t>http://eps.tunhe.com平台网站</w:t>
            </w:r>
            <w:r>
              <w:rPr>
                <w:rFonts w:hint="eastAsia" w:ascii="方正仿宋_GB2312" w:hAnsi="方正仿宋_GB2312" w:eastAsia="方正仿宋_GB2312" w:cs="方正仿宋_GB2312"/>
                <w:bCs/>
                <w:sz w:val="32"/>
                <w:szCs w:val="32"/>
              </w:rPr>
              <w:t>向中标人发出《中标通知书》，同时向所有落标人发出《招标结果通知书》。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22</w:t>
            </w:r>
          </w:p>
        </w:tc>
        <w:tc>
          <w:tcPr>
            <w:tcW w:w="0" w:type="auto"/>
          </w:tcPr>
          <w:p>
            <w:pPr>
              <w:spacing w:line="24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合同签订要求</w:t>
            </w:r>
          </w:p>
        </w:tc>
        <w:tc>
          <w:tcPr>
            <w:tcW w:w="0" w:type="auto"/>
          </w:tcPr>
          <w:p>
            <w:pPr>
              <w:snapToGrid w:val="0"/>
              <w:spacing w:line="240" w:lineRule="auto"/>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sz w:val="32"/>
                <w:szCs w:val="32"/>
              </w:rPr>
              <w:t>中标人在收到《中标通知书》之后，应按照《中标通知书》规定的时间签订合同。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w:t>
            </w:r>
          </w:p>
        </w:tc>
        <w:tc>
          <w:tcPr>
            <w:tcW w:w="0" w:type="auto"/>
          </w:tcPr>
          <w:p>
            <w:pPr>
              <w:spacing w:line="240" w:lineRule="auto"/>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中粮糖业采购监督联系方式</w:t>
            </w:r>
          </w:p>
        </w:tc>
        <w:tc>
          <w:tcPr>
            <w:tcW w:w="0" w:type="auto"/>
          </w:tcPr>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一、纪委办公室联系方式：        </w:t>
            </w:r>
          </w:p>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办公电话：010-85017235</w:t>
            </w:r>
          </w:p>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通讯地址：北京市朝阳区朝阳门南大街8号9层905室纪委办公室收，邮编100020二、采购项目监督人员联系方式</w:t>
            </w:r>
          </w:p>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姓名：高海清</w:t>
            </w:r>
          </w:p>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联系电话：13102667574</w:t>
            </w:r>
          </w:p>
          <w:p>
            <w:pPr>
              <w:snapToGrid w:val="0"/>
              <w:spacing w:line="24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电子邮箱：984267258@qq.com</w:t>
            </w:r>
          </w:p>
        </w:tc>
      </w:tr>
    </w:tbl>
    <w:p>
      <w:pPr>
        <w:ind w:firstLine="640" w:firstLineChars="200"/>
        <w:jc w:val="left"/>
        <w:rPr>
          <w:rFonts w:hint="eastAsia" w:ascii="方正仿宋_GB2312" w:hAnsi="方正仿宋_GB2312" w:eastAsia="方正仿宋_GB2312" w:cs="方正仿宋_GB2312"/>
          <w:bCs/>
          <w:sz w:val="32"/>
          <w:szCs w:val="36"/>
        </w:rPr>
      </w:pPr>
      <w:bookmarkStart w:id="6" w:name="_Toc19347"/>
      <w:bookmarkStart w:id="7" w:name="_Toc490749736"/>
      <w:bookmarkStart w:id="8" w:name="_Toc21028"/>
    </w:p>
    <w:p>
      <w:pPr>
        <w:ind w:firstLine="640" w:firstLineChars="200"/>
        <w:jc w:val="left"/>
        <w:rPr>
          <w:rFonts w:hint="eastAsia" w:ascii="方正仿宋_GB2312" w:hAnsi="方正仿宋_GB2312" w:eastAsia="方正仿宋_GB2312" w:cs="方正仿宋_GB2312"/>
          <w:bCs/>
          <w:sz w:val="32"/>
          <w:szCs w:val="36"/>
        </w:rPr>
      </w:pPr>
    </w:p>
    <w:p>
      <w:pPr>
        <w:ind w:firstLine="640" w:firstLineChars="200"/>
        <w:jc w:val="left"/>
        <w:rPr>
          <w:rFonts w:hint="eastAsia" w:ascii="方正仿宋_GB2312" w:hAnsi="方正仿宋_GB2312" w:eastAsia="方正仿宋_GB2312" w:cs="方正仿宋_GB2312"/>
          <w:bCs/>
          <w:sz w:val="32"/>
          <w:szCs w:val="36"/>
        </w:rPr>
      </w:pPr>
    </w:p>
    <w:p>
      <w:pPr>
        <w:ind w:firstLine="640" w:firstLineChars="200"/>
        <w:jc w:val="left"/>
        <w:rPr>
          <w:rFonts w:hint="eastAsia" w:ascii="方正仿宋_GB2312" w:hAnsi="方正仿宋_GB2312" w:eastAsia="方正仿宋_GB2312" w:cs="方正仿宋_GB2312"/>
          <w:bCs/>
          <w:sz w:val="32"/>
          <w:szCs w:val="36"/>
        </w:rPr>
      </w:pPr>
    </w:p>
    <w:p>
      <w:pPr>
        <w:ind w:firstLine="640" w:firstLineChars="200"/>
        <w:jc w:val="left"/>
        <w:rPr>
          <w:rFonts w:hint="eastAsia" w:ascii="方正仿宋_GB2312" w:hAnsi="方正仿宋_GB2312" w:eastAsia="方正仿宋_GB2312" w:cs="方正仿宋_GB2312"/>
          <w:bCs/>
          <w:sz w:val="32"/>
          <w:szCs w:val="36"/>
        </w:rPr>
      </w:pPr>
    </w:p>
    <w:p>
      <w:pPr>
        <w:ind w:firstLine="640" w:firstLineChars="200"/>
        <w:jc w:val="left"/>
        <w:rPr>
          <w:rFonts w:hint="eastAsia" w:ascii="方正仿宋_GB2312" w:hAnsi="方正仿宋_GB2312" w:eastAsia="方正仿宋_GB2312" w:cs="方正仿宋_GB2312"/>
          <w:bCs/>
          <w:sz w:val="32"/>
          <w:szCs w:val="36"/>
        </w:rPr>
      </w:pPr>
    </w:p>
    <w:p>
      <w:pPr>
        <w:ind w:firstLine="640" w:firstLineChars="200"/>
        <w:jc w:val="left"/>
        <w:rPr>
          <w:rFonts w:hint="eastAsia" w:ascii="方正仿宋_GB2312" w:hAnsi="方正仿宋_GB2312" w:eastAsia="方正仿宋_GB2312" w:cs="方正仿宋_GB2312"/>
          <w:bCs/>
          <w:sz w:val="32"/>
          <w:szCs w:val="36"/>
        </w:rPr>
      </w:pPr>
    </w:p>
    <w:p>
      <w:pPr>
        <w:jc w:val="both"/>
        <w:outlineLvl w:val="0"/>
        <w:rPr>
          <w:rFonts w:hint="eastAsia" w:ascii="方正仿宋_GB2312" w:hAnsi="方正仿宋_GB2312" w:eastAsia="方正仿宋_GB2312" w:cs="方正仿宋_GB2312"/>
          <w:bCs/>
          <w:color w:val="auto"/>
          <w:sz w:val="40"/>
          <w:szCs w:val="40"/>
          <w:shd w:val="clear" w:color="auto" w:fill="auto"/>
        </w:rPr>
      </w:pPr>
      <w:bookmarkStart w:id="9" w:name="_Toc9226"/>
    </w:p>
    <w:p>
      <w:pPr>
        <w:ind w:firstLine="640" w:firstLineChars="200"/>
        <w:jc w:val="both"/>
        <w:outlineLvl w:val="0"/>
        <w:rPr>
          <w:rFonts w:hint="eastAsia" w:ascii="黑体" w:hAnsi="黑体" w:eastAsia="黑体" w:cs="黑体"/>
          <w:bCs/>
          <w:color w:val="auto"/>
          <w:sz w:val="32"/>
          <w:szCs w:val="32"/>
          <w:shd w:val="clear" w:color="auto" w:fill="auto"/>
        </w:rPr>
      </w:pPr>
      <w:r>
        <w:rPr>
          <w:rFonts w:hint="eastAsia" w:ascii="黑体" w:hAnsi="黑体" w:eastAsia="黑体" w:cs="黑体"/>
          <w:bCs/>
          <w:color w:val="auto"/>
          <w:sz w:val="32"/>
          <w:szCs w:val="32"/>
          <w:shd w:val="clear" w:color="auto" w:fill="auto"/>
        </w:rPr>
        <w:t>第二章 技术要求</w:t>
      </w:r>
      <w:bookmarkEnd w:id="9"/>
    </w:p>
    <w:p>
      <w:pPr>
        <w:snapToGrid w:val="0"/>
        <w:spacing w:before="120" w:beforeLines="50" w:after="120" w:afterLines="50" w:line="240" w:lineRule="atLeast"/>
        <w:ind w:firstLine="643" w:firstLineChars="200"/>
        <w:rPr>
          <w:rFonts w:hint="eastAsia" w:ascii="方正仿宋_GB2312" w:hAnsi="方正仿宋_GB2312" w:eastAsia="方正仿宋_GB2312" w:cs="方正仿宋_GB2312"/>
          <w:b/>
          <w:bCs/>
          <w:sz w:val="32"/>
          <w:szCs w:val="32"/>
          <w:lang w:eastAsia="zh-CN"/>
        </w:rPr>
      </w:pPr>
      <w:bookmarkStart w:id="10" w:name="二、用电地址"/>
      <w:bookmarkEnd w:id="10"/>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b/>
          <w:bCs/>
          <w:sz w:val="32"/>
          <w:szCs w:val="32"/>
          <w:lang w:val="en-US" w:eastAsia="zh-CN"/>
        </w:rPr>
        <w:t>项目概况</w:t>
      </w:r>
    </w:p>
    <w:p>
      <w:pPr>
        <w:widowControl/>
        <w:snapToGrid w:val="0"/>
        <w:spacing w:before="120" w:beforeLines="50" w:after="120" w:afterLines="50" w:line="240" w:lineRule="atLeast"/>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（1）厂区消防环路及排水沟施工项目</w:t>
      </w:r>
      <w:r>
        <w:rPr>
          <w:rFonts w:hint="eastAsia" w:ascii="方正仿宋_GB2312" w:hAnsi="方正仿宋_GB2312" w:eastAsia="方正仿宋_GB2312" w:cs="方正仿宋_GB2312"/>
          <w:sz w:val="32"/>
          <w:szCs w:val="32"/>
        </w:rPr>
        <w:t xml:space="preserve"> ：  </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①计划建设8米宽双坡重载道路，将二期综合楼南侧5米宽轻载道路延伸，与重载道路连接，整体厂区道路形成环网。</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设计方案应充分考虑厂区道路及排水沟形成环路及闭合，满足消防救援要求，同时满足物流运输需求解决道路泥泞及扬尘等环保问题，解决土质排水沟存在的安全隐患问题，提升厂区的整体形象。</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②计划在煤棚东侧位置设置一处能容纳150m³雨水的初期雨水收集池（地下），将此收集池位置布置水泵及阀门，并建设一条通向厂 区污水站的地下管线，保证将下雨时前15分钟雨水排入污水站中处理后，进行排放，15分钟后雨水经东北侧排口正常排出。</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方案满足《室外排水设计标准》（GB50014-2021）以及《中粮糖业生态环保绩效评价标准》中要求，“受污染的雨水等应收集处理，并应达到国家现行相关标准后方可排入排水管渠。收集池符合要求”、“废弃的雨排口实施有效封堵”。</w:t>
      </w:r>
    </w:p>
    <w:p>
      <w:pPr>
        <w:widowControl/>
        <w:snapToGrid w:val="0"/>
        <w:spacing w:before="120" w:beforeLines="50" w:after="120" w:afterLines="50" w:line="240" w:lineRule="atLeast"/>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（2）沉淀池刮泥机升级改造项目：</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划拆除原有桁车式刮泥机，更换刮吸式刮泥机并重新安装；原有再生池拆除改造为沉淀池，复制一座商砼浇筑再生池，同时对脱硫内、外泵管道增至一路备用管道，目的增加沉淀物停留时间，减少钙质进入脱硫塔内结垢堵塞除雾器、喷头、管道，同时也减少因生产波动导致环保数据超标，延长正产周期。</w:t>
      </w:r>
    </w:p>
    <w:p>
      <w:pPr>
        <w:widowControl/>
        <w:snapToGrid w:val="0"/>
        <w:spacing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128270</wp:posOffset>
            </wp:positionV>
            <wp:extent cx="4730750" cy="25742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730750" cy="2574235"/>
                    </a:xfrm>
                    <a:prstGeom prst="rect">
                      <a:avLst/>
                    </a:prstGeom>
                  </pic:spPr>
                </pic:pic>
              </a:graphicData>
            </a:graphic>
          </wp:anchor>
        </w:drawing>
      </w:r>
    </w:p>
    <w:p>
      <w:pPr>
        <w:widowControl/>
        <w:snapToGrid w:val="0"/>
        <w:spacing w:line="240" w:lineRule="atLeast"/>
        <w:ind w:firstLine="640" w:firstLineChars="200"/>
        <w:jc w:val="left"/>
        <w:rPr>
          <w:rFonts w:hint="eastAsia" w:ascii="方正仿宋_GB2312" w:hAnsi="方正仿宋_GB2312" w:eastAsia="方正仿宋_GB2312" w:cs="方正仿宋_GB2312"/>
          <w:sz w:val="32"/>
          <w:szCs w:val="32"/>
        </w:rPr>
      </w:pPr>
    </w:p>
    <w:p>
      <w:pPr>
        <w:widowControl/>
        <w:snapToGrid w:val="0"/>
        <w:spacing w:line="240" w:lineRule="atLeast"/>
        <w:ind w:firstLine="640" w:firstLineChars="200"/>
        <w:jc w:val="left"/>
        <w:rPr>
          <w:rFonts w:hint="eastAsia" w:ascii="方正仿宋_GB2312" w:hAnsi="方正仿宋_GB2312" w:eastAsia="方正仿宋_GB2312" w:cs="方正仿宋_GB2312"/>
          <w:sz w:val="32"/>
          <w:szCs w:val="32"/>
        </w:rPr>
      </w:pPr>
    </w:p>
    <w:p>
      <w:pPr>
        <w:widowControl/>
        <w:snapToGrid w:val="0"/>
        <w:spacing w:line="240" w:lineRule="atLeast"/>
        <w:ind w:firstLine="640" w:firstLineChars="200"/>
        <w:jc w:val="lef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b/>
          <w:bCs/>
          <w:sz w:val="32"/>
          <w:szCs w:val="32"/>
        </w:rPr>
      </w:pPr>
    </w:p>
    <w:p>
      <w:pPr>
        <w:snapToGrid w:val="0"/>
        <w:spacing w:line="240" w:lineRule="atLeast"/>
        <w:ind w:firstLine="643"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（3）新增分蜜机项目</w:t>
      </w:r>
      <w:r>
        <w:rPr>
          <w:rFonts w:hint="eastAsia" w:ascii="方正仿宋_GB2312" w:hAnsi="方正仿宋_GB2312" w:eastAsia="方正仿宋_GB2312" w:cs="方正仿宋_GB2312"/>
          <w:sz w:val="32"/>
          <w:szCs w:val="32"/>
        </w:rPr>
        <w:t>：</w:t>
      </w:r>
    </w:p>
    <w:p>
      <w:pPr>
        <w:snapToGrid w:val="0"/>
        <w:spacing w:line="240" w:lineRule="atLeas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新增分蜜机项目：</w:t>
      </w:r>
    </w:p>
    <w:p>
      <w:pPr>
        <w:snapToGrid w:val="0"/>
        <w:spacing w:line="240" w:lineRule="atLeas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计划按照分蜜机参数要求对楼板进行开孔，制作分蜜机基础后安装分蜜机；同时制作安装原洗蜜管道、打气打水管道阀门、分配槽下料管道阀门、下料管蒸汽管及阀门</w:t>
      </w:r>
      <w:r>
        <w:rPr>
          <w:rFonts w:hint="eastAsia" w:ascii="方正仿宋_GB2312" w:hAnsi="方正仿宋_GB2312" w:eastAsia="方正仿宋_GB2312" w:cs="方正仿宋_GB2312"/>
          <w:sz w:val="32"/>
          <w:szCs w:val="32"/>
          <w:lang w:eastAsia="zh-CN"/>
        </w:rPr>
        <w:t>。</w:t>
      </w:r>
    </w:p>
    <w:p>
      <w:pPr>
        <w:snapToGrid w:val="0"/>
        <w:spacing w:line="240" w:lineRule="atLeas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drawing>
          <wp:anchor distT="0" distB="0" distL="114300" distR="114300" simplePos="0" relativeHeight="251660288" behindDoc="0" locked="0" layoutInCell="1" allowOverlap="1">
            <wp:simplePos x="0" y="0"/>
            <wp:positionH relativeFrom="column">
              <wp:posOffset>490220</wp:posOffset>
            </wp:positionH>
            <wp:positionV relativeFrom="paragraph">
              <wp:posOffset>40005</wp:posOffset>
            </wp:positionV>
            <wp:extent cx="4095115" cy="2056765"/>
            <wp:effectExtent l="0" t="0" r="1270" b="635"/>
            <wp:wrapNone/>
            <wp:docPr id="1321319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1921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4921" cy="2056765"/>
                    </a:xfrm>
                    <a:prstGeom prst="rect">
                      <a:avLst/>
                    </a:prstGeom>
                    <a:noFill/>
                    <a:ln>
                      <a:noFill/>
                    </a:ln>
                  </pic:spPr>
                </pic:pic>
              </a:graphicData>
            </a:graphic>
          </wp:anchor>
        </w:drawing>
      </w: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rPr>
          <w:rFonts w:hint="eastAsia" w:ascii="方正仿宋_GB2312" w:hAnsi="方正仿宋_GB2312" w:eastAsia="方正仿宋_GB2312" w:cs="方正仿宋_GB2312"/>
          <w:sz w:val="32"/>
          <w:szCs w:val="32"/>
        </w:rPr>
      </w:pPr>
    </w:p>
    <w:p>
      <w:pPr>
        <w:snapToGrid w:val="0"/>
        <w:spacing w:line="240" w:lineRule="atLeast"/>
        <w:ind w:firstLine="320" w:firstLineChars="100"/>
        <w:rPr>
          <w:rFonts w:hint="eastAsia" w:ascii="方正仿宋_GB2312" w:hAnsi="方正仿宋_GB2312" w:eastAsia="方正仿宋_GB2312" w:cs="方正仿宋_GB2312"/>
          <w:sz w:val="32"/>
          <w:szCs w:val="32"/>
        </w:rPr>
      </w:pPr>
    </w:p>
    <w:p>
      <w:pPr>
        <w:snapToGrid w:val="0"/>
        <w:spacing w:line="240" w:lineRule="atLeast"/>
        <w:ind w:firstLine="321" w:firstLineChars="1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（4）振动筛选机更换为摇筛项目</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振动筛选机更换为摇筛项目：现有振动筛选机改造为震动输送机，利用原有基础安装两台摇筛；设备从北侧露台吊入（需临时拆除一跨砖砌墙和洁净区），斗式提升机利用原有设备改造。</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施工内容：拆除现有四楼高洁净区，振动筛选机改造为震动输送机，拆除筛选机附属管道设施；北侧墙体拆除；根据摇筛安装需求四楼楼板开孔；制作摇筛、螺旋输送机土建基础；2#斗提机根据施工要求提升高度，根据斗提加高高度提高房顶高度（需设计院确定整体加高抑或局部加高）；安装摇筛、糖头糖粉螺旋输送机和震动输送机及附属管道设施；震动输送机及摇筛上方安装电葫芦（需设计电葫芦承重基础），以备设备故障时吊装维修使用；建造洁净区恢复北侧墙体。</w:t>
      </w:r>
    </w:p>
    <w:p>
      <w:pPr>
        <w:widowControl/>
        <w:snapToGrid w:val="0"/>
        <w:spacing w:line="240" w:lineRule="atLeast"/>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（5）散装糖项目</w:t>
      </w:r>
    </w:p>
    <w:p>
      <w:pPr>
        <w:snapToGrid w:val="0"/>
        <w:spacing w:line="240" w:lineRule="atLeast"/>
        <w:ind w:firstLine="5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整个周转仓的有效利用以及后续吨包产线增容、搬迁方面进行整体规划。在周转仓内南侧布局（由东向西共五跨，第一跨为原50KG包装皮带廊、第二~四跨为吨包产线预留位置、散装糖成品通过2条皮带机输送至第五跨装车）</w:t>
      </w:r>
    </w:p>
    <w:p>
      <w:pPr>
        <w:tabs>
          <w:tab w:val="left" w:pos="720"/>
        </w:tabs>
        <w:snapToGrid w:val="0"/>
        <w:spacing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具体实施方案：成品糖从一期干燥二层两个糖斗分料，由电动闸板阀控制，通过一条水平皮带传送至周转仓，皮带机装有皮带秤，控制装车重量，皮带机末端装设除铁器；再由一条斜皮带机传送至散装糖缓存糖斗，糖斗下方配有金检机，从缓存糖斗通过自动伸缩头输送至散装糖罐车；散装糖罐车由周转仓南侧倒车至散装糖糖斗下方装车；缓存糖斗、成品糖输送机及罐车装车口采用负压湿式除尘，产生的甜水回溶。</w:t>
      </w:r>
    </w:p>
    <w:p>
      <w:pPr>
        <w:pStyle w:val="6"/>
        <w:numPr>
          <w:ilvl w:val="0"/>
          <w:numId w:val="0"/>
        </w:numPr>
        <w:snapToGrid w:val="0"/>
        <w:spacing w:after="0" w:line="240" w:lineRule="atLeast"/>
        <w:ind w:firstLine="643" w:firstLineChars="20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kern w:val="2"/>
          <w:sz w:val="32"/>
          <w:szCs w:val="32"/>
          <w:lang w:val="en-US" w:eastAsia="zh-CN" w:bidi="ar-SA"/>
        </w:rPr>
        <w:t>2.</w:t>
      </w:r>
      <w:r>
        <w:rPr>
          <w:rFonts w:hint="eastAsia" w:ascii="方正仿宋_GB2312" w:hAnsi="方正仿宋_GB2312" w:eastAsia="方正仿宋_GB2312" w:cs="方正仿宋_GB2312"/>
          <w:b/>
          <w:bCs/>
          <w:sz w:val="32"/>
          <w:szCs w:val="32"/>
          <w:lang w:val="en-US" w:eastAsia="zh-CN"/>
        </w:rPr>
        <w:t>设计技术要求</w:t>
      </w:r>
    </w:p>
    <w:p>
      <w:pPr>
        <w:pStyle w:val="4"/>
        <w:spacing w:line="360" w:lineRule="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1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设计范围（根据项目具体情况）：施工图设计（根据采购项目包件具体情况）、施工阶段设计服务、竣工验收配合等阶段的设计内容（包括建筑、结构、给排水、电气等）。</w:t>
      </w:r>
    </w:p>
    <w:p>
      <w:pPr>
        <w:pStyle w:val="4"/>
        <w:spacing w:line="360" w:lineRule="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.2 质量要求： </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1)</w:t>
      </w:r>
      <w:r>
        <w:rPr>
          <w:rFonts w:hint="eastAsia" w:ascii="方正仿宋_GB2312" w:hAnsi="方正仿宋_GB2312" w:eastAsia="方正仿宋_GB2312" w:cs="方正仿宋_GB2312"/>
          <w:bCs/>
          <w:sz w:val="32"/>
          <w:szCs w:val="32"/>
        </w:rPr>
        <w:t>符合满足项目批准文件、城市规划、工程建设强制性标准、国家及地方设计规范、标准的要求。</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2)</w:t>
      </w:r>
      <w:r>
        <w:rPr>
          <w:rFonts w:hint="eastAsia" w:ascii="方正仿宋_GB2312" w:hAnsi="方正仿宋_GB2312" w:eastAsia="方正仿宋_GB2312" w:cs="方正仿宋_GB2312"/>
          <w:bCs/>
          <w:sz w:val="32"/>
          <w:szCs w:val="32"/>
        </w:rPr>
        <w:t>符合国家及地方规定的各阶段建设工程勘察设计深度要求。</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3)</w:t>
      </w:r>
      <w:r>
        <w:rPr>
          <w:rFonts w:hint="eastAsia" w:ascii="方正仿宋_GB2312" w:hAnsi="方正仿宋_GB2312" w:eastAsia="方正仿宋_GB2312" w:cs="方正仿宋_GB2312"/>
          <w:bCs/>
          <w:sz w:val="32"/>
          <w:szCs w:val="32"/>
        </w:rPr>
        <w:t>满足项目报批的资料深度要求。</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kern w:val="2"/>
          <w:sz w:val="32"/>
          <w:szCs w:val="32"/>
          <w:lang w:val="en-US" w:eastAsia="zh-CN" w:bidi="ar-SA"/>
        </w:rPr>
        <w:t>4)</w:t>
      </w:r>
      <w:r>
        <w:rPr>
          <w:rFonts w:hint="eastAsia" w:ascii="方正仿宋_GB2312" w:hAnsi="方正仿宋_GB2312" w:eastAsia="方正仿宋_GB2312" w:cs="方正仿宋_GB2312"/>
          <w:bCs/>
          <w:color w:val="auto"/>
          <w:sz w:val="32"/>
          <w:szCs w:val="32"/>
        </w:rPr>
        <w:t>满足采购人提供的设计标准、方案要求、审图要求。</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color w:val="auto"/>
          <w:sz w:val="32"/>
          <w:szCs w:val="32"/>
        </w:rPr>
      </w:pPr>
      <w:r>
        <w:rPr>
          <w:rFonts w:hint="eastAsia" w:ascii="方正仿宋_GB2312" w:hAnsi="方正仿宋_GB2312" w:eastAsia="方正仿宋_GB2312" w:cs="方正仿宋_GB2312"/>
          <w:bCs/>
          <w:color w:val="auto"/>
          <w:kern w:val="2"/>
          <w:sz w:val="32"/>
          <w:szCs w:val="32"/>
          <w:lang w:val="en-US" w:eastAsia="zh-CN" w:bidi="ar-SA"/>
        </w:rPr>
        <w:t>5)</w:t>
      </w:r>
      <w:r>
        <w:rPr>
          <w:rFonts w:hint="eastAsia" w:ascii="方正仿宋_GB2312" w:hAnsi="方正仿宋_GB2312" w:eastAsia="方正仿宋_GB2312" w:cs="方正仿宋_GB2312"/>
          <w:bCs/>
          <w:color w:val="auto"/>
          <w:sz w:val="32"/>
          <w:szCs w:val="32"/>
        </w:rPr>
        <w:t>改造项目在设计前应进行详细的现场踏勘复核，设计图纸应明确现场实际情况，不可仅以</w:t>
      </w:r>
      <w:r>
        <w:rPr>
          <w:rFonts w:hint="eastAsia" w:ascii="方正仿宋_GB2312" w:hAnsi="方正仿宋_GB2312" w:eastAsia="方正仿宋_GB2312" w:cs="方正仿宋_GB2312"/>
          <w:bCs/>
          <w:color w:val="auto"/>
          <w:sz w:val="32"/>
          <w:szCs w:val="32"/>
          <w:lang w:val="en-US" w:eastAsia="zh-CN"/>
        </w:rPr>
        <w:t>招标文件的服务内容及设计要求</w:t>
      </w:r>
      <w:r>
        <w:rPr>
          <w:rFonts w:hint="eastAsia" w:ascii="方正仿宋_GB2312" w:hAnsi="方正仿宋_GB2312" w:eastAsia="方正仿宋_GB2312" w:cs="方正仿宋_GB2312"/>
          <w:bCs/>
          <w:color w:val="auto"/>
          <w:sz w:val="32"/>
          <w:szCs w:val="32"/>
        </w:rPr>
        <w:t>为设计基准。</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6)</w:t>
      </w:r>
      <w:r>
        <w:rPr>
          <w:rFonts w:hint="eastAsia" w:ascii="方正仿宋_GB2312" w:hAnsi="方正仿宋_GB2312" w:eastAsia="方正仿宋_GB2312" w:cs="方正仿宋_GB2312"/>
          <w:bCs/>
          <w:sz w:val="32"/>
          <w:szCs w:val="32"/>
        </w:rPr>
        <w:t>设计文件中选用的建筑材料、建筑构配件和设备，应当注明规格、型号、性能等技术指标，其质量要求必须符合国家规定的标准。</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7)</w:t>
      </w:r>
      <w:r>
        <w:rPr>
          <w:rFonts w:hint="eastAsia" w:ascii="方正仿宋_GB2312" w:hAnsi="方正仿宋_GB2312" w:eastAsia="方正仿宋_GB2312" w:cs="方正仿宋_GB2312"/>
          <w:bCs/>
          <w:sz w:val="32"/>
          <w:szCs w:val="32"/>
        </w:rPr>
        <w:t>设计文件中采用的新技术、新材料。可能影响建设工程质量和安全，又没有国家技术标准的，应当由国家认可的检测机构进行试验、论证，出具检测报告，并按主管部门的规定进行审定，方可使用。</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8)</w:t>
      </w:r>
      <w:r>
        <w:rPr>
          <w:rFonts w:hint="eastAsia" w:ascii="方正仿宋_GB2312" w:hAnsi="方正仿宋_GB2312" w:eastAsia="方正仿宋_GB2312" w:cs="方正仿宋_GB2312"/>
          <w:bCs/>
          <w:sz w:val="32"/>
          <w:szCs w:val="32"/>
        </w:rPr>
        <w:t>交付的正式设计图纸应绘制正确、完整，不可采用后补图纸的方式。</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9)</w:t>
      </w:r>
      <w:r>
        <w:rPr>
          <w:rFonts w:hint="eastAsia" w:ascii="方正仿宋_GB2312" w:hAnsi="方正仿宋_GB2312" w:eastAsia="方正仿宋_GB2312" w:cs="方正仿宋_GB2312"/>
          <w:bCs/>
          <w:sz w:val="32"/>
          <w:szCs w:val="32"/>
        </w:rPr>
        <w:t>图纸中的做法节点应尽量针对项目设计绘制，如确需采用标准图集，引用的图集应为国家或地方标准图集，不可引用企业图集，应确保该标准图集的有效性，并核对标准图与项目实际情况的差异，在图纸中予以明确修改。</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10)</w:t>
      </w:r>
      <w:r>
        <w:rPr>
          <w:rFonts w:hint="eastAsia" w:ascii="方正仿宋_GB2312" w:hAnsi="方正仿宋_GB2312" w:eastAsia="方正仿宋_GB2312" w:cs="方正仿宋_GB2312"/>
          <w:bCs/>
          <w:sz w:val="32"/>
          <w:szCs w:val="32"/>
        </w:rPr>
        <w:t>对于需要在蓝图上手工修改部分应及时予以澄清说明，经采购人专业工程师同意后方可修改。</w:t>
      </w:r>
    </w:p>
    <w:p>
      <w:pPr>
        <w:pStyle w:val="25"/>
        <w:numPr>
          <w:ilvl w:val="0"/>
          <w:numId w:val="0"/>
        </w:numPr>
        <w:snapToGrid w:val="0"/>
        <w:spacing w:line="360" w:lineRule="auto"/>
        <w:ind w:left="0" w:leftChars="0" w:firstLine="646" w:firstLineChars="20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kern w:val="2"/>
          <w:sz w:val="32"/>
          <w:szCs w:val="32"/>
          <w:lang w:val="en-US" w:eastAsia="zh-CN" w:bidi="ar-SA"/>
        </w:rPr>
        <w:t>11)</w:t>
      </w:r>
      <w:r>
        <w:rPr>
          <w:rFonts w:hint="eastAsia" w:ascii="方正仿宋_GB2312" w:hAnsi="方正仿宋_GB2312" w:eastAsia="方正仿宋_GB2312" w:cs="方正仿宋_GB2312"/>
          <w:bCs/>
          <w:sz w:val="32"/>
          <w:szCs w:val="32"/>
        </w:rPr>
        <w:t>对于施工图的替换或升版，应提前经发包人项目负责人同意，替换或换版图纸应以云状图加描述的方式明确更改内容。</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.3 进度要求：</w:t>
      </w:r>
    </w:p>
    <w:p>
      <w:pPr>
        <w:pStyle w:val="25"/>
        <w:numPr>
          <w:ilvl w:val="0"/>
          <w:numId w:val="1"/>
        </w:numPr>
        <w:snapToGrid w:val="0"/>
        <w:spacing w:line="360" w:lineRule="auto"/>
        <w:ind w:left="0" w:firstLine="42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满足采购人制定的设计进度要求，按时交付各阶段设计资料。</w:t>
      </w:r>
    </w:p>
    <w:p>
      <w:pPr>
        <w:pStyle w:val="25"/>
        <w:numPr>
          <w:ilvl w:val="0"/>
          <w:numId w:val="1"/>
        </w:numPr>
        <w:snapToGrid w:val="0"/>
        <w:spacing w:line="360" w:lineRule="auto"/>
        <w:ind w:left="0" w:firstLine="42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因外部原因导致设计进度需要变更，成交方向采购人提出进度变更申请，经同意后方可实行。</w:t>
      </w:r>
    </w:p>
    <w:p>
      <w:pPr>
        <w:pStyle w:val="25"/>
        <w:numPr>
          <w:ilvl w:val="0"/>
          <w:numId w:val="1"/>
        </w:numPr>
        <w:snapToGrid w:val="0"/>
        <w:spacing w:line="360" w:lineRule="auto"/>
        <w:ind w:left="0" w:firstLine="42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各阶段的设计进度按照项目要求。</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.4 交付物要求：</w:t>
      </w:r>
    </w:p>
    <w:p>
      <w:pPr>
        <w:pStyle w:val="25"/>
        <w:numPr>
          <w:ilvl w:val="0"/>
          <w:numId w:val="2"/>
        </w:numPr>
        <w:snapToGrid w:val="0"/>
        <w:spacing w:line="360" w:lineRule="auto"/>
        <w:ind w:firstLine="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交付的电子版格式图纸，每张图纸为一个文件，文件名为图名，分专业设立文件夹。</w:t>
      </w:r>
    </w:p>
    <w:p>
      <w:pPr>
        <w:pStyle w:val="25"/>
        <w:numPr>
          <w:ilvl w:val="0"/>
          <w:numId w:val="2"/>
        </w:numPr>
        <w:snapToGrid w:val="0"/>
        <w:spacing w:line="360" w:lineRule="auto"/>
        <w:ind w:firstLine="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交付的正式图纸及文本应完整清晰，折叠或装订整齐。</w:t>
      </w:r>
    </w:p>
    <w:p>
      <w:pPr>
        <w:pStyle w:val="25"/>
        <w:numPr>
          <w:ilvl w:val="0"/>
          <w:numId w:val="2"/>
        </w:numPr>
        <w:snapToGrid w:val="0"/>
        <w:spacing w:line="360" w:lineRule="auto"/>
        <w:ind w:firstLine="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交付的设计资料、计算书、审批文件等需满足审批部门要求。</w:t>
      </w:r>
    </w:p>
    <w:p>
      <w:pPr>
        <w:pStyle w:val="25"/>
        <w:numPr>
          <w:ilvl w:val="0"/>
          <w:numId w:val="2"/>
        </w:numPr>
        <w:snapToGrid w:val="0"/>
        <w:spacing w:line="360" w:lineRule="auto"/>
        <w:ind w:firstLine="6"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各阶段交付物数量</w:t>
      </w:r>
    </w:p>
    <w:tbl>
      <w:tblPr>
        <w:tblStyle w:val="1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302"/>
        <w:gridCol w:w="201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序号</w:t>
            </w:r>
          </w:p>
        </w:tc>
        <w:tc>
          <w:tcPr>
            <w:tcW w:w="3302"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设计内容</w:t>
            </w:r>
          </w:p>
        </w:tc>
        <w:tc>
          <w:tcPr>
            <w:tcW w:w="2015"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份数</w:t>
            </w:r>
          </w:p>
        </w:tc>
        <w:tc>
          <w:tcPr>
            <w:tcW w:w="2034"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w:t>
            </w:r>
          </w:p>
        </w:tc>
        <w:tc>
          <w:tcPr>
            <w:tcW w:w="3302"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施工图设计图纸文件</w:t>
            </w:r>
          </w:p>
        </w:tc>
        <w:tc>
          <w:tcPr>
            <w:tcW w:w="2015"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8</w:t>
            </w:r>
          </w:p>
        </w:tc>
        <w:tc>
          <w:tcPr>
            <w:tcW w:w="2034"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蓝图交付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w:t>
            </w:r>
          </w:p>
        </w:tc>
        <w:tc>
          <w:tcPr>
            <w:tcW w:w="3302"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施工图修改文件</w:t>
            </w:r>
          </w:p>
        </w:tc>
        <w:tc>
          <w:tcPr>
            <w:tcW w:w="2015"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8</w:t>
            </w:r>
          </w:p>
        </w:tc>
        <w:tc>
          <w:tcPr>
            <w:tcW w:w="2034"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蓝图交付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3</w:t>
            </w:r>
          </w:p>
        </w:tc>
        <w:tc>
          <w:tcPr>
            <w:tcW w:w="3302" w:type="dxa"/>
            <w:shd w:val="clear" w:color="auto" w:fill="auto"/>
            <w:vAlign w:val="bottom"/>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各阶段电子版文件</w:t>
            </w:r>
          </w:p>
        </w:tc>
        <w:tc>
          <w:tcPr>
            <w:tcW w:w="2015"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8</w:t>
            </w:r>
          </w:p>
        </w:tc>
        <w:tc>
          <w:tcPr>
            <w:tcW w:w="2034" w:type="dxa"/>
            <w:shd w:val="clear" w:color="auto" w:fill="auto"/>
            <w:vAlign w:val="center"/>
          </w:tcPr>
          <w:p>
            <w:pPr>
              <w:pStyle w:val="25"/>
              <w:snapToGrid w:val="0"/>
              <w:spacing w:line="360" w:lineRule="auto"/>
              <w:ind w:firstLine="0" w:firstLineChars="0"/>
              <w:jc w:val="center"/>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PDF及CAD</w:t>
            </w:r>
          </w:p>
        </w:tc>
      </w:tr>
    </w:tbl>
    <w:p>
      <w:pPr>
        <w:tabs>
          <w:tab w:val="left" w:pos="1560"/>
        </w:tabs>
        <w:snapToGrid w:val="0"/>
        <w:spacing w:line="360" w:lineRule="auto"/>
        <w:rPr>
          <w:rFonts w:hint="eastAsia" w:ascii="方正仿宋_GB2312" w:hAnsi="方正仿宋_GB2312" w:eastAsia="方正仿宋_GB2312" w:cs="方正仿宋_GB2312"/>
          <w:b/>
          <w:sz w:val="32"/>
          <w:szCs w:val="32"/>
        </w:rPr>
      </w:pPr>
    </w:p>
    <w:p>
      <w:pPr>
        <w:pStyle w:val="4"/>
        <w:spacing w:line="360" w:lineRule="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.5 人员及管理要求：(根据项目情况进行增加，保证项目质量进度)</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3.5.1项目启动前：</w:t>
      </w:r>
    </w:p>
    <w:p>
      <w:pPr>
        <w:pStyle w:val="25"/>
        <w:numPr>
          <w:ilvl w:val="0"/>
          <w:numId w:val="3"/>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成交单位应指定专门团队服务于本项目，中标人对中标项目必须保证同时开展设计工作，按期完成。团队应由具有类似项目丰富经验的工程师作为团队负责人，团队成员均应具备有类似项目的专业设计经验，团队人员名单须经业主批准。一旦批准，在未经业主书面同意的情况下，成交单位不得擅自调换人员。业主有权以书面形式要求成交单位在合理期限内更换不合格或不称职的团队人员，成交单位不得无理予以拒绝。</w:t>
      </w:r>
    </w:p>
    <w:p>
      <w:pPr>
        <w:pStyle w:val="25"/>
        <w:numPr>
          <w:ilvl w:val="0"/>
          <w:numId w:val="3"/>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团队负责人应在熟悉设计需求、审批意见及工程情况的前提下，对设计内容与业主方负责人进行汇报并提出专业建议。</w:t>
      </w:r>
    </w:p>
    <w:p>
      <w:pPr>
        <w:pStyle w:val="25"/>
        <w:numPr>
          <w:ilvl w:val="0"/>
          <w:numId w:val="3"/>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团队人员应提前熟悉现场，避免因现场情况不清引起不必要的设计变更。</w:t>
      </w:r>
    </w:p>
    <w:p>
      <w:pPr>
        <w:pStyle w:val="25"/>
        <w:numPr>
          <w:ilvl w:val="0"/>
          <w:numId w:val="3"/>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团队成员可以提出对设计要求或方案的意见，以便及时修正，保证后续设计工作的顺利开展。</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.5.2项目设计中：</w:t>
      </w:r>
    </w:p>
    <w:p>
      <w:pPr>
        <w:pStyle w:val="25"/>
        <w:numPr>
          <w:ilvl w:val="0"/>
          <w:numId w:val="4"/>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成交单位应有严格的进度和质量保证措施确保设计工作按计划顺利进行；</w:t>
      </w:r>
    </w:p>
    <w:p>
      <w:pPr>
        <w:pStyle w:val="25"/>
        <w:numPr>
          <w:ilvl w:val="0"/>
          <w:numId w:val="4"/>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根据设计要求，展开各专业工作。</w:t>
      </w:r>
    </w:p>
    <w:p>
      <w:pPr>
        <w:pStyle w:val="25"/>
        <w:numPr>
          <w:ilvl w:val="0"/>
          <w:numId w:val="4"/>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对设计的各专业图纸进行认真自校，做好质量的自主控制，设计成果应有各专业互校，避免因资料不清造成遗漏或错误。</w:t>
      </w:r>
    </w:p>
    <w:p>
      <w:pPr>
        <w:pStyle w:val="25"/>
        <w:numPr>
          <w:ilvl w:val="0"/>
          <w:numId w:val="4"/>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设计中出现的各专业问题应及时与采购人对口专业工程师沟通并确认。如涉及多专业，应有团队负责人予以协调解决，并与采购人负责人确认。</w:t>
      </w:r>
    </w:p>
    <w:p>
      <w:pPr>
        <w:pStyle w:val="25"/>
        <w:numPr>
          <w:ilvl w:val="0"/>
          <w:numId w:val="4"/>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需有专人校审图纸的准确性，设计成果文件的内容与深度是否符合规定，能否满足使用要求，各专业参数是否一致，是否完整，有无漏项。</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.5.3项目设计完成：</w:t>
      </w:r>
    </w:p>
    <w:p>
      <w:pPr>
        <w:pStyle w:val="25"/>
        <w:numPr>
          <w:ilvl w:val="0"/>
          <w:numId w:val="5"/>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团队负责人应按要求提交审核图纸，并组织开展设计成果的业主审核会议。</w:t>
      </w:r>
    </w:p>
    <w:p>
      <w:pPr>
        <w:pStyle w:val="25"/>
        <w:numPr>
          <w:ilvl w:val="0"/>
          <w:numId w:val="5"/>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对与设计前拟定的设计要点或业主要求不同的内容要予以澄清和确认。</w:t>
      </w:r>
    </w:p>
    <w:p>
      <w:pPr>
        <w:pStyle w:val="25"/>
        <w:numPr>
          <w:ilvl w:val="0"/>
          <w:numId w:val="5"/>
        </w:numPr>
        <w:snapToGrid w:val="0"/>
        <w:spacing w:line="360" w:lineRule="auto"/>
        <w:ind w:left="0" w:firstLine="420" w:firstLineChars="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提交合格的设计成果供下一阶段使用。</w:t>
      </w:r>
    </w:p>
    <w:p>
      <w:pPr>
        <w:pStyle w:val="4"/>
        <w:spacing w:line="360" w:lineRule="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.5.4实施及验收阶段</w:t>
      </w:r>
    </w:p>
    <w:p>
      <w:pPr>
        <w:snapToGrid w:val="0"/>
        <w:spacing w:line="360" w:lineRule="auto"/>
        <w:ind w:firstLine="42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 设计团队负责人参加项目例会，设计团队按要求现场施工配合的工作。</w:t>
      </w:r>
    </w:p>
    <w:p>
      <w:pPr>
        <w:pStyle w:val="4"/>
        <w:spacing w:line="360" w:lineRule="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.6 设计责任认定</w:t>
      </w:r>
    </w:p>
    <w:p>
      <w:pPr>
        <w:snapToGrid w:val="0"/>
        <w:spacing w:line="360" w:lineRule="auto"/>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1）设计质量优劣直接影响项目的工程质量、使用效果、投资控制。成交方须对自己的设计负责，满足质量要求中的各项规定。</w:t>
      </w:r>
    </w:p>
    <w:p>
      <w:pPr>
        <w:snapToGrid w:val="0"/>
        <w:spacing w:line="360" w:lineRule="auto"/>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2）当成交方认为采购人提出的设计要求中，有无法满足国家及地方政策、法律法规、标准规范、实施合理性等的内容，应在设计阶段中以书面形式提出。不提则视为默认采购人要求为合理。</w:t>
      </w:r>
    </w:p>
    <w:p>
      <w:pPr>
        <w:snapToGrid w:val="0"/>
        <w:spacing w:line="360" w:lineRule="auto"/>
        <w:ind w:firstLine="566" w:firstLineChars="17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3）因图纸设计错误等原因造成的损失，属于设计方责任。采购人有权进行追责。包括但不限于：</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a．违反国家政策、国家或行业的标准规范、政府审批意见、专业机构审图意见、企业标准</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b．建筑或结构选型不当，平面布局、结构处理、系统设计等不合理，无法满足功能及外观要求</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c．选用的计算方式不合理，计算公式的取值、计算过程错误，无法满足功能性要求</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d．厂区或车间内设备、特构定位错误，造成施工返工 </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e．管线排布不合理，包括走向、标高，造成无法施工或施工返工</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f．材料表、设备及材料型号标注错误，造成订货损失</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g．图纸中引用的图集不适用于项目，造成施工返工</w:t>
      </w:r>
    </w:p>
    <w:p>
      <w:pPr>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h．设计漏项，造成采购人投资追加、进度延误 </w:t>
      </w:r>
    </w:p>
    <w:p>
      <w:pPr>
        <w:pStyle w:val="6"/>
        <w:numPr>
          <w:ilvl w:val="0"/>
          <w:numId w:val="0"/>
        </w:numPr>
        <w:snapToGrid w:val="0"/>
        <w:spacing w:after="0" w:line="240" w:lineRule="auto"/>
        <w:jc w:val="left"/>
        <w:rPr>
          <w:rFonts w:hint="eastAsia" w:ascii="方正仿宋_GB2312" w:hAnsi="方正仿宋_GB2312" w:eastAsia="方正仿宋_GB2312" w:cs="方正仿宋_GB2312"/>
          <w:szCs w:val="21"/>
          <w:lang w:val="en-US" w:eastAsia="zh-CN"/>
        </w:rPr>
      </w:pPr>
    </w:p>
    <w:bookmarkEnd w:id="6"/>
    <w:p>
      <w:pPr>
        <w:pStyle w:val="6"/>
        <w:snapToGrid w:val="0"/>
        <w:spacing w:after="0" w:line="240" w:lineRule="atLeast"/>
        <w:jc w:val="left"/>
        <w:rPr>
          <w:rFonts w:hint="eastAsia" w:ascii="方正仿宋_GB2312" w:hAnsi="方正仿宋_GB2312" w:eastAsia="方正仿宋_GB2312" w:cs="方正仿宋_GB2312"/>
          <w:szCs w:val="21"/>
        </w:rPr>
      </w:pPr>
      <w:bookmarkStart w:id="11" w:name="_bookmark184"/>
      <w:bookmarkEnd w:id="11"/>
      <w:bookmarkStart w:id="12" w:name="_bookmark183"/>
      <w:bookmarkEnd w:id="12"/>
    </w:p>
    <w:p>
      <w:pPr>
        <w:pStyle w:val="6"/>
        <w:snapToGrid w:val="0"/>
        <w:spacing w:after="0" w:line="240" w:lineRule="atLeast"/>
        <w:ind w:firstLine="420" w:firstLineChars="200"/>
        <w:rPr>
          <w:rFonts w:hint="eastAsia" w:ascii="方正仿宋_GB2312" w:hAnsi="方正仿宋_GB2312" w:eastAsia="方正仿宋_GB2312" w:cs="方正仿宋_GB2312"/>
          <w:szCs w:val="21"/>
        </w:rPr>
      </w:pPr>
    </w:p>
    <w:p>
      <w:pPr>
        <w:pStyle w:val="6"/>
        <w:snapToGrid w:val="0"/>
        <w:spacing w:before="200" w:after="100" w:line="240" w:lineRule="atLeast"/>
        <w:jc w:val="left"/>
        <w:outlineLvl w:val="0"/>
        <w:rPr>
          <w:rFonts w:hint="eastAsia" w:ascii="方正仿宋_GB2312" w:hAnsi="方正仿宋_GB2312" w:eastAsia="方正仿宋_GB2312" w:cs="方正仿宋_GB2312"/>
          <w:szCs w:val="21"/>
        </w:rPr>
      </w:pPr>
      <w:bookmarkStart w:id="13" w:name="_Toc3349"/>
    </w:p>
    <w:p>
      <w:pPr>
        <w:pStyle w:val="6"/>
        <w:snapToGrid w:val="0"/>
        <w:spacing w:before="200" w:after="100" w:line="240" w:lineRule="atLeast"/>
        <w:jc w:val="left"/>
        <w:outlineLvl w:val="0"/>
        <w:rPr>
          <w:rFonts w:hint="eastAsia" w:ascii="方正仿宋_GB2312" w:hAnsi="方正仿宋_GB2312" w:eastAsia="方正仿宋_GB2312" w:cs="方正仿宋_GB2312"/>
          <w:szCs w:val="21"/>
        </w:rPr>
      </w:pPr>
    </w:p>
    <w:p>
      <w:pPr>
        <w:pStyle w:val="6"/>
        <w:snapToGrid w:val="0"/>
        <w:spacing w:before="200" w:after="100" w:line="240" w:lineRule="atLeast"/>
        <w:jc w:val="left"/>
        <w:outlineLvl w:val="0"/>
        <w:rPr>
          <w:rFonts w:hint="eastAsia" w:ascii="方正仿宋_GB2312" w:hAnsi="方正仿宋_GB2312" w:eastAsia="方正仿宋_GB2312" w:cs="方正仿宋_GB2312"/>
          <w:szCs w:val="21"/>
        </w:rPr>
      </w:pPr>
    </w:p>
    <w:p>
      <w:pPr>
        <w:pStyle w:val="6"/>
        <w:snapToGrid w:val="0"/>
        <w:spacing w:before="200" w:after="100" w:line="240" w:lineRule="atLeast"/>
        <w:jc w:val="left"/>
        <w:outlineLvl w:val="0"/>
        <w:rPr>
          <w:rFonts w:hint="eastAsia" w:ascii="方正仿宋_GB2312" w:hAnsi="方正仿宋_GB2312" w:eastAsia="方正仿宋_GB2312" w:cs="方正仿宋_GB2312"/>
          <w:szCs w:val="21"/>
        </w:rPr>
      </w:pPr>
    </w:p>
    <w:p>
      <w:pPr>
        <w:pStyle w:val="6"/>
        <w:snapToGrid w:val="0"/>
        <w:spacing w:before="200" w:after="100" w:line="240" w:lineRule="atLeast"/>
        <w:jc w:val="left"/>
        <w:outlineLvl w:val="0"/>
        <w:rPr>
          <w:rFonts w:hint="eastAsia" w:ascii="方正仿宋_GB2312" w:hAnsi="方正仿宋_GB2312" w:eastAsia="方正仿宋_GB2312" w:cs="方正仿宋_GB2312"/>
          <w:szCs w:val="21"/>
        </w:rPr>
      </w:pPr>
    </w:p>
    <w:p>
      <w:pPr>
        <w:pStyle w:val="6"/>
        <w:snapToGrid w:val="0"/>
        <w:spacing w:before="200" w:after="100" w:line="240" w:lineRule="atLeast"/>
        <w:jc w:val="center"/>
        <w:outlineLvl w:val="0"/>
        <w:rPr>
          <w:rFonts w:hint="eastAsia" w:ascii="方正仿宋_GB2312" w:hAnsi="方正仿宋_GB2312" w:eastAsia="方正仿宋_GB2312" w:cs="方正仿宋_GB2312"/>
          <w:sz w:val="32"/>
          <w:szCs w:val="32"/>
        </w:rPr>
      </w:pPr>
    </w:p>
    <w:p>
      <w:pPr>
        <w:pStyle w:val="6"/>
        <w:snapToGrid w:val="0"/>
        <w:spacing w:before="200" w:after="100" w:line="240" w:lineRule="atLeast"/>
        <w:jc w:val="center"/>
        <w:outlineLvl w:val="0"/>
        <w:rPr>
          <w:rFonts w:hint="eastAsia" w:ascii="方正仿宋_GB2312" w:hAnsi="方正仿宋_GB2312" w:eastAsia="方正仿宋_GB2312" w:cs="方正仿宋_GB2312"/>
          <w:sz w:val="32"/>
          <w:szCs w:val="32"/>
        </w:rPr>
      </w:pPr>
    </w:p>
    <w:p>
      <w:pPr>
        <w:pStyle w:val="6"/>
        <w:snapToGrid w:val="0"/>
        <w:spacing w:before="200" w:after="100" w:line="240" w:lineRule="atLeast"/>
        <w:jc w:val="center"/>
        <w:outlineLvl w:val="0"/>
        <w:rPr>
          <w:rFonts w:hint="eastAsia" w:ascii="方正仿宋_GB2312" w:hAnsi="方正仿宋_GB2312" w:eastAsia="方正仿宋_GB2312" w:cs="方正仿宋_GB2312"/>
          <w:sz w:val="32"/>
          <w:szCs w:val="32"/>
        </w:rPr>
      </w:pPr>
    </w:p>
    <w:p>
      <w:pPr>
        <w:pStyle w:val="6"/>
        <w:snapToGrid w:val="0"/>
        <w:spacing w:before="200" w:after="100" w:line="240" w:lineRule="atLeast"/>
        <w:jc w:val="center"/>
        <w:outlineLvl w:val="0"/>
        <w:rPr>
          <w:rFonts w:hint="eastAsia" w:ascii="方正仿宋_GB2312" w:hAnsi="方正仿宋_GB2312" w:eastAsia="方正仿宋_GB2312" w:cs="方正仿宋_GB2312"/>
          <w:sz w:val="32"/>
          <w:szCs w:val="32"/>
        </w:rPr>
      </w:pPr>
    </w:p>
    <w:p>
      <w:pPr>
        <w:pStyle w:val="6"/>
        <w:snapToGrid w:val="0"/>
        <w:spacing w:before="200" w:after="100" w:line="240" w:lineRule="atLeast"/>
        <w:jc w:val="both"/>
        <w:outlineLvl w:val="0"/>
        <w:rPr>
          <w:rFonts w:hint="eastAsia" w:ascii="方正仿宋_GB2312" w:hAnsi="方正仿宋_GB2312" w:eastAsia="方正仿宋_GB2312" w:cs="方正仿宋_GB2312"/>
          <w:sz w:val="32"/>
          <w:szCs w:val="32"/>
        </w:rPr>
      </w:pPr>
    </w:p>
    <w:p>
      <w:pPr>
        <w:pStyle w:val="6"/>
        <w:snapToGrid w:val="0"/>
        <w:spacing w:before="200" w:after="100" w:line="240" w:lineRule="atLeast"/>
        <w:ind w:firstLine="2880" w:firstLineChars="900"/>
        <w:jc w:val="both"/>
        <w:outlineLvl w:val="0"/>
        <w:rPr>
          <w:rFonts w:hint="eastAsia" w:ascii="黑体" w:hAnsi="黑体" w:eastAsia="黑体" w:cs="黑体"/>
          <w:b/>
          <w:bCs/>
          <w:sz w:val="32"/>
          <w:szCs w:val="32"/>
        </w:rPr>
      </w:pPr>
      <w:r>
        <w:rPr>
          <w:rFonts w:hint="eastAsia" w:ascii="黑体" w:hAnsi="黑体" w:eastAsia="黑体" w:cs="黑体"/>
          <w:sz w:val="32"/>
          <w:szCs w:val="32"/>
        </w:rPr>
        <w:t>第三章</w:t>
      </w:r>
      <w:bookmarkEnd w:id="13"/>
      <w:r>
        <w:rPr>
          <w:rFonts w:hint="eastAsia" w:ascii="黑体" w:hAnsi="黑体" w:eastAsia="黑体" w:cs="黑体"/>
          <w:sz w:val="32"/>
          <w:szCs w:val="32"/>
        </w:rPr>
        <w:t xml:space="preserve"> 合同模板</w:t>
      </w:r>
    </w:p>
    <w:p>
      <w:pPr>
        <w:pStyle w:val="6"/>
        <w:snapToGrid w:val="0"/>
        <w:spacing w:before="200" w:after="100" w:line="240" w:lineRule="atLeast"/>
        <w:jc w:val="both"/>
        <w:outlineLvl w:val="0"/>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GF—2015—0210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合同编号：</w:t>
      </w:r>
      <w:r>
        <w:rPr>
          <w:rFonts w:hint="eastAsia" w:ascii="方正仿宋_GB2312" w:hAnsi="方正仿宋_GB2312" w:eastAsia="方正仿宋_GB2312" w:cs="方正仿宋_GB2312"/>
          <w:b/>
          <w:bCs/>
          <w:sz w:val="32"/>
          <w:szCs w:val="32"/>
        </w:rPr>
        <w:tab/>
      </w:r>
    </w:p>
    <w:p>
      <w:pPr>
        <w:pStyle w:val="6"/>
        <w:snapToGrid w:val="0"/>
        <w:spacing w:after="0" w:line="240" w:lineRule="atLeast"/>
        <w:jc w:val="left"/>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3213" w:firstLineChars="1000"/>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建设工程设计合同模板</w:t>
      </w:r>
    </w:p>
    <w:p>
      <w:pPr>
        <w:pStyle w:val="6"/>
        <w:snapToGrid w:val="0"/>
        <w:spacing w:after="0" w:line="240" w:lineRule="atLeast"/>
        <w:ind w:firstLine="643" w:firstLineChars="200"/>
        <w:rPr>
          <w:rFonts w:hint="eastAsia" w:ascii="方正仿宋_GB2312" w:hAnsi="方正仿宋_GB2312" w:eastAsia="方正仿宋_GB2312" w:cs="方正仿宋_GB2312"/>
          <w:b/>
          <w:bCs/>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ind w:firstLine="640" w:firstLineChars="200"/>
        <w:jc w:val="center"/>
        <w:rPr>
          <w:rFonts w:hint="eastAsia" w:ascii="方正仿宋_GB2312" w:hAnsi="方正仿宋_GB2312" w:eastAsia="方正仿宋_GB2312" w:cs="方正仿宋_GB2312"/>
          <w:sz w:val="32"/>
          <w:szCs w:val="32"/>
        </w:rPr>
      </w:pPr>
    </w:p>
    <w:p>
      <w:pPr>
        <w:pStyle w:val="6"/>
        <w:snapToGrid w:val="0"/>
        <w:spacing w:after="0" w:line="240" w:lineRule="atLeast"/>
        <w:jc w:val="center"/>
        <w:rPr>
          <w:rFonts w:hint="eastAsia" w:ascii="方正仿宋_GB2312" w:hAnsi="方正仿宋_GB2312" w:eastAsia="方正仿宋_GB2312" w:cs="方正仿宋_GB2312"/>
          <w:b/>
          <w:bCs/>
          <w:sz w:val="32"/>
          <w:szCs w:val="32"/>
        </w:rPr>
      </w:pPr>
    </w:p>
    <w:p>
      <w:pPr>
        <w:pStyle w:val="6"/>
        <w:snapToGrid w:val="0"/>
        <w:spacing w:after="0" w:line="240" w:lineRule="atLeast"/>
        <w:jc w:val="center"/>
        <w:rPr>
          <w:rFonts w:hint="eastAsia" w:ascii="方正仿宋_GB2312" w:hAnsi="方正仿宋_GB2312" w:eastAsia="方正仿宋_GB2312" w:cs="方正仿宋_GB2312"/>
          <w:b/>
          <w:bCs/>
          <w:sz w:val="32"/>
          <w:szCs w:val="32"/>
        </w:rPr>
      </w:pPr>
    </w:p>
    <w:p>
      <w:pPr>
        <w:pStyle w:val="6"/>
        <w:snapToGrid w:val="0"/>
        <w:spacing w:after="0" w:line="240" w:lineRule="atLeast"/>
        <w:jc w:val="center"/>
        <w:rPr>
          <w:rFonts w:hint="eastAsia" w:ascii="方正仿宋_GB2312" w:hAnsi="方正仿宋_GB2312" w:eastAsia="方正仿宋_GB2312" w:cs="方正仿宋_GB2312"/>
          <w:b/>
          <w:bCs/>
          <w:sz w:val="32"/>
          <w:szCs w:val="32"/>
        </w:rPr>
      </w:pPr>
    </w:p>
    <w:p>
      <w:pPr>
        <w:pStyle w:val="6"/>
        <w:snapToGrid w:val="0"/>
        <w:spacing w:after="0" w:line="240" w:lineRule="atLeast"/>
        <w:jc w:val="center"/>
        <w:rPr>
          <w:rFonts w:hint="eastAsia" w:ascii="方正仿宋_GB2312" w:hAnsi="方正仿宋_GB2312" w:eastAsia="方正仿宋_GB2312" w:cs="方正仿宋_GB2312"/>
          <w:b/>
          <w:bCs/>
          <w:sz w:val="32"/>
          <w:szCs w:val="32"/>
        </w:rPr>
      </w:pPr>
    </w:p>
    <w:p>
      <w:pPr>
        <w:pStyle w:val="6"/>
        <w:snapToGrid w:val="0"/>
        <w:spacing w:after="0" w:line="240" w:lineRule="atLeas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住 房 和 城 乡 建 设 部</w:t>
      </w:r>
    </w:p>
    <w:p>
      <w:pPr>
        <w:pStyle w:val="6"/>
        <w:snapToGrid w:val="0"/>
        <w:spacing w:after="0" w:line="240" w:lineRule="atLeast"/>
        <w:ind w:firstLine="643" w:firstLineChars="200"/>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国家工商行政管理总局</w:t>
      </w:r>
      <w:r>
        <w:rPr>
          <w:rFonts w:hint="eastAsia" w:ascii="方正仿宋_GB2312" w:hAnsi="方正仿宋_GB2312" w:eastAsia="方正仿宋_GB2312" w:cs="方正仿宋_GB2312"/>
          <w:b/>
          <w:bCs/>
          <w:sz w:val="32"/>
          <w:szCs w:val="32"/>
        </w:rPr>
        <w:tab/>
      </w:r>
      <w:r>
        <w:rPr>
          <w:rFonts w:hint="eastAsia" w:ascii="方正仿宋_GB2312" w:hAnsi="方正仿宋_GB2312" w:eastAsia="方正仿宋_GB2312" w:cs="方正仿宋_GB2312"/>
          <w:b/>
          <w:bCs/>
          <w:sz w:val="32"/>
          <w:szCs w:val="32"/>
        </w:rPr>
        <w:t>制定</w:t>
      </w:r>
    </w:p>
    <w:p>
      <w:pPr>
        <w:pStyle w:val="6"/>
        <w:snapToGrid w:val="0"/>
        <w:spacing w:after="0" w:line="240" w:lineRule="atLeast"/>
        <w:ind w:firstLine="420" w:firstLineChars="200"/>
        <w:jc w:val="left"/>
        <w:rPr>
          <w:rFonts w:hint="eastAsia" w:ascii="方正仿宋_GB2312" w:hAnsi="方正仿宋_GB2312" w:eastAsia="方正仿宋_GB2312" w:cs="方正仿宋_GB2312"/>
          <w:szCs w:val="21"/>
        </w:rPr>
      </w:pPr>
    </w:p>
    <w:p>
      <w:pPr>
        <w:pStyle w:val="6"/>
        <w:snapToGrid w:val="0"/>
        <w:spacing w:after="0" w:line="240" w:lineRule="atLeas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说明</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二）（专业建设工程设计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GF-2000-0210）进行了修订，制定了《建设工程设计合同示范文本（专业建设工程）》（ GF- 2015-0210）（以下简称《示范文本》）。为了便于合同当事人使用《示范文本》，现就有关问题说明如下：</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一、《示范文本》的组成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《示范文本》由合同协议书、通用合同条款和专用合同条款三部分组成。</w:t>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（一）合同协议书</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《示范文本》合同协议书集中约定了合同当事人基本的合同权利义务。</w:t>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（二）通用合同条款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通用合同条款是合同当事人根据《中华人民共和国建筑法》、《中华人民共和国合同法》等法律法规的规定，就工程设计的实施及相关事项，对合同当事人的权利义务作出的原则性约定。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通用合同条款既考虑了现行法律法规对工程建设的有关要求，也考虑了工程设计管理的特殊需要。</w:t>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（三）专用合同条款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1.专用合同条款的编号应与相应的通用合同条款的编号一致；</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2.合同当事人可以通过对专用合同条款的修改，满足具体建设工程的特殊要求，避免直接修改通用合同条款；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3.在专用合同条款中有横道线的地方，合同当事人可针对相应的通用合同条款进行细化、完善、补充、修改或另行约定；如无细化、完善、补充、修改或另行约定，则填写“无”或划   “ /” 。</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二、《示范文本》的性质和适用范围</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《示范文本》供合同双方当事人参照使用。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《示范文本》适用于房屋建筑工程以外各行业建设工程项目的主体工程和配套工程（含厂 / 矿区内的自备电站、道路、专用铁路、通信、各种管网管线和配套的建筑物等全部配套工程） 以及与主体工程、配套工程相关的工艺、土木、建筑、环境保护、水土保持、消防、安全、卫生、节能、防雷、抗震、照明工程等工程设计活动。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房屋建筑工程以外的各行业建设工程统称为专业建设工程，具体包括煤炭、化工石化医药、石油天然气（海洋石油）、电力、冶金、军工、机械、商物粮、核工业、电子通信广电、轻纺、建材、铁道、公路、水运、民航、市政、农林、水利、海洋等工程。</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目 录</w:t>
      </w:r>
    </w:p>
    <w:p>
      <w:pPr>
        <w:pStyle w:val="6"/>
        <w:numPr>
          <w:ilvl w:val="0"/>
          <w:numId w:val="0"/>
        </w:numPr>
        <w:snapToGrid w:val="0"/>
        <w:spacing w:after="0" w:line="240" w:lineRule="atLeast"/>
        <w:ind w:firstLine="643" w:firstLineChars="200"/>
        <w:jc w:val="left"/>
        <w:outlineLvl w:val="2"/>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kern w:val="2"/>
          <w:sz w:val="32"/>
          <w:szCs w:val="32"/>
          <w:lang w:val="en-US" w:eastAsia="zh-CN" w:bidi="ar-SA"/>
        </w:rPr>
        <w:t xml:space="preserve">第一部分 </w:t>
      </w:r>
      <w:r>
        <w:rPr>
          <w:rFonts w:hint="eastAsia" w:ascii="方正仿宋_GB2312" w:hAnsi="方正仿宋_GB2312" w:eastAsia="方正仿宋_GB2312" w:cs="方正仿宋_GB2312"/>
          <w:b/>
          <w:bCs/>
          <w:sz w:val="32"/>
          <w:szCs w:val="32"/>
        </w:rPr>
        <w:t xml:space="preserve">合同协议书 </w:t>
      </w:r>
    </w:p>
    <w:p>
      <w:pPr>
        <w:pStyle w:val="6"/>
        <w:numPr>
          <w:ilvl w:val="0"/>
          <w:numId w:val="0"/>
        </w:numPr>
        <w:snapToGrid w:val="0"/>
        <w:spacing w:after="0" w:line="240" w:lineRule="atLeast"/>
        <w:ind w:firstLine="643" w:firstLineChars="200"/>
        <w:jc w:val="left"/>
        <w:outlineLvl w:val="2"/>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第二部分</w:t>
      </w:r>
      <w:r>
        <w:rPr>
          <w:rFonts w:hint="eastAsia" w:ascii="方正仿宋_GB2312" w:hAnsi="方正仿宋_GB2312" w:eastAsia="方正仿宋_GB2312" w:cs="方正仿宋_GB2312"/>
          <w:b/>
          <w:bCs/>
          <w:sz w:val="32"/>
          <w:szCs w:val="32"/>
        </w:rPr>
        <w:tab/>
      </w:r>
      <w:r>
        <w:rPr>
          <w:rFonts w:hint="eastAsia" w:ascii="方正仿宋_GB2312" w:hAnsi="方正仿宋_GB2312" w:eastAsia="方正仿宋_GB2312" w:cs="方正仿宋_GB2312"/>
          <w:b/>
          <w:bCs/>
          <w:sz w:val="32"/>
          <w:szCs w:val="32"/>
        </w:rPr>
        <w:t>通用合同条款</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1.1词语定义与解释</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1.2语言文字</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1.3法律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1.4技术标准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1.5合同文件的优先顺序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1.6联络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1.7严禁贿赂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1.8保密</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2.1发包人一般义务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2.2发包人代表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2.3发包人决定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2.4支付合同价款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2.5设计文件接收</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3.1设计人一般义务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3.3设计人人员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3.4设计分包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3.5联合体</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4.工程设计资料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4.1提供工程设计资料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4.2逾期提供的责任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5.工程设计要求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5.1工程设计一般要求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5.2工程设计保证措施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5.3工程设计文件的要求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5.4不合格工程设计文件的处理</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6.工程设计进度与周期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6.1工程设计进度计划</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6.2工程设计开始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6.4暂停设计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6.5提前交付工程设计文件</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7.工程设计文件交付</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8.工程设计文件审查</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9.施工现场配合服务</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10.合同价款与支付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10.1合同价款组成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10.2合同价格形式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10.3定金或预付款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10.4进度款支付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10.5合同价款的结算与支付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10.6支付账户</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11.工程设计变更与索赔</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12.专业责任与保险</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13.知识产权</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14.违约责任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14.1发包人违约责任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14.2设计人违约责任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15.不可抗力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15.1不可抗力的确认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15.2不可抗力的通知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15.3不可抗力后果的承担</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16.合同解除</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17.争议解决</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17.1和解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17.2调解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17.3争议评审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17.4仲裁或诉讼</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17.5争议解决条款效力</w:t>
      </w:r>
    </w:p>
    <w:p>
      <w:pPr>
        <w:pStyle w:val="6"/>
        <w:snapToGrid w:val="0"/>
        <w:spacing w:after="0" w:line="240" w:lineRule="atLeast"/>
        <w:ind w:firstLine="643" w:firstLineChars="200"/>
        <w:jc w:val="left"/>
        <w:outlineLvl w:val="2"/>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第三部分</w:t>
      </w:r>
      <w:r>
        <w:rPr>
          <w:rFonts w:hint="eastAsia" w:ascii="方正仿宋_GB2312" w:hAnsi="方正仿宋_GB2312" w:eastAsia="方正仿宋_GB2312" w:cs="方正仿宋_GB2312"/>
          <w:b/>
          <w:bCs/>
          <w:sz w:val="32"/>
          <w:szCs w:val="32"/>
        </w:rPr>
        <w:tab/>
      </w:r>
      <w:r>
        <w:rPr>
          <w:rFonts w:hint="eastAsia" w:ascii="方正仿宋_GB2312" w:hAnsi="方正仿宋_GB2312" w:eastAsia="方正仿宋_GB2312" w:cs="方正仿宋_GB2312"/>
          <w:b/>
          <w:bCs/>
          <w:sz w:val="32"/>
          <w:szCs w:val="32"/>
        </w:rPr>
        <w:t>专用合同条款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5.工程设计要求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6.工程设计进度与周期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7.工程设计文件交付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8.工程设计文件审查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9.施工现场配合服务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10.合同价款与支付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11.工程设计变更与索赔</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12.专业责任与保险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13.知识产权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15.不可抗力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16.合同解除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17.争议解决</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18.其他附件</w:t>
      </w:r>
    </w:p>
    <w:p>
      <w:pPr>
        <w:pStyle w:val="6"/>
        <w:snapToGrid w:val="0"/>
        <w:spacing w:after="0" w:line="240" w:lineRule="atLeast"/>
        <w:ind w:firstLine="643" w:firstLineChars="200"/>
        <w:jc w:val="left"/>
        <w:outlineLvl w:val="2"/>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第一部分</w:t>
      </w:r>
      <w:r>
        <w:rPr>
          <w:rFonts w:hint="eastAsia" w:ascii="方正仿宋_GB2312" w:hAnsi="方正仿宋_GB2312" w:eastAsia="方正仿宋_GB2312" w:cs="方正仿宋_GB2312"/>
          <w:b/>
          <w:bCs/>
          <w:sz w:val="32"/>
          <w:szCs w:val="32"/>
        </w:rPr>
        <w:tab/>
      </w:r>
      <w:r>
        <w:rPr>
          <w:rFonts w:hint="eastAsia" w:ascii="方正仿宋_GB2312" w:hAnsi="方正仿宋_GB2312" w:eastAsia="方正仿宋_GB2312" w:cs="方正仿宋_GB2312"/>
          <w:b/>
          <w:bCs/>
          <w:sz w:val="32"/>
          <w:szCs w:val="32"/>
        </w:rPr>
        <w:t>合同协议书</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发包人（全称）：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设计人（全称）：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根据《中华人民共和国合同法》、《中华人民共和国建筑法》及有关法律规定，遵循平等、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自愿、公平和诚实信用的原则，双方就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工程设计及有关事项协商一致，共同达成如下协议：</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一、工程概况</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1.工程名称：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2.工程批准、核准或备案文号：无</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3.工程内容及规模：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4.工程所在地详细地址：</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5.工程投资估算：</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6.工程进度安排：2024年全年</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7.工程主要技术标准：</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二、工程设计范围、阶段与服务内容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1.工程设计范围：</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2.工程设计阶段：</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3.工程设计服务内容：</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。工程设计范围、阶段与服务内容详见专用合同条款附件 1。</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三、工程设计周期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计划开始设计日期：</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年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日。计划完成设计日期：</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年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具体工程设计周期以专用合同条款及其附件的约定为准。</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四、合同价格形式与签约合同价</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1.合同价格形式：</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2.签约合同价为：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人民币（大写）</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五、发包人代表与设计人项目负责人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发包人代表：</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设计人项目负责人：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六、合同文件构成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本协议书与下列文件一起构成合同文件：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1）专用合同条款及其附件；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2）通用合同条款；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3）中标通知书（如果有）；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4）投标函及其附录（如果有）；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5）发包人要求；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6）技术标准；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7）发包人提供的上一阶段图纸（如果有）；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8）其他合同文件。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在合同履行过程中形成的与合同有关的文件均构成合同文件组成部分。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上述各项合同文件包括合同当事人就该项合同文件所作出的补充和修改，属于同一类内容的文件，应以最新签署的为准。</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七、承诺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1.发包人承诺按照法律规定履行项目审批手续，按照合同约定提供设计依据，并按合同约定的期限和方式支付合同价款。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2.设计人承诺按照法律和技术标准规定及合同约定提供工程设计服务。</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八、词语含义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本协议书中词语含义与第二部分通用合同条款中赋予的含义相同。</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九、签订地点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本合同在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签订。</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十、补充协议</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合同未尽事宜，合同当事人另行签订补充协议，补充协议是合同的组成部分。</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十一、合同生效</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本合同自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生效。</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十二、合同份数</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本合同正本一式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份、副本一式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份，均具有同等法律效力，发包人执正本</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份、副本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份，设计人执正本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份、副本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p>
    <w:p>
      <w:pPr>
        <w:pStyle w:val="6"/>
        <w:tabs>
          <w:tab w:val="left" w:pos="5860"/>
        </w:tabs>
        <w:snapToGrid w:val="0"/>
        <w:spacing w:after="0" w:line="240" w:lineRule="atLeast"/>
        <w:ind w:firstLine="482"/>
        <w:jc w:val="left"/>
        <w:rPr>
          <w:rFonts w:hint="eastAsia" w:ascii="方正仿宋_GB2312" w:hAnsi="方正仿宋_GB2312" w:eastAsia="方正仿宋_GB2312" w:cs="方正仿宋_GB2312"/>
          <w:sz w:val="32"/>
          <w:szCs w:val="32"/>
        </w:rPr>
      </w:pPr>
    </w:p>
    <w:p>
      <w:pPr>
        <w:pStyle w:val="6"/>
        <w:tabs>
          <w:tab w:val="left" w:pos="5860"/>
        </w:tabs>
        <w:snapToGrid w:val="0"/>
        <w:spacing w:after="0" w:line="240" w:lineRule="atLeast"/>
        <w:ind w:firstLine="482"/>
        <w:jc w:val="left"/>
        <w:rPr>
          <w:rFonts w:hint="eastAsia" w:ascii="方正仿宋_GB2312" w:hAnsi="方正仿宋_GB2312" w:eastAsia="方正仿宋_GB2312" w:cs="方正仿宋_GB2312"/>
          <w:sz w:val="32"/>
          <w:szCs w:val="32"/>
        </w:rPr>
      </w:pPr>
    </w:p>
    <w:p>
      <w:pPr>
        <w:pStyle w:val="6"/>
        <w:tabs>
          <w:tab w:val="left" w:pos="5860"/>
        </w:tabs>
        <w:snapToGrid w:val="0"/>
        <w:spacing w:after="0" w:line="240" w:lineRule="atLeas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w:t>
      </w:r>
      <w:r>
        <w:rPr>
          <w:rFonts w:hint="eastAsia" w:ascii="方正仿宋_GB2312" w:hAnsi="方正仿宋_GB2312" w:eastAsia="方正仿宋_GB2312" w:cs="方正仿宋_GB2312"/>
          <w:spacing w:val="-112"/>
          <w:sz w:val="32"/>
          <w:szCs w:val="32"/>
        </w:rPr>
        <w:t>：</w:t>
      </w:r>
      <w:r>
        <w:rPr>
          <w:rFonts w:hint="eastAsia" w:ascii="方正仿宋_GB2312" w:hAnsi="方正仿宋_GB2312" w:eastAsia="方正仿宋_GB2312" w:cs="方正仿宋_GB2312"/>
          <w:sz w:val="32"/>
          <w:szCs w:val="32"/>
        </w:rPr>
        <w:t>（盖章）</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设计人</w:t>
      </w:r>
      <w:r>
        <w:rPr>
          <w:rFonts w:hint="eastAsia" w:ascii="方正仿宋_GB2312" w:hAnsi="方正仿宋_GB2312" w:eastAsia="方正仿宋_GB2312" w:cs="方正仿宋_GB2312"/>
          <w:spacing w:val="-112"/>
          <w:sz w:val="32"/>
          <w:szCs w:val="32"/>
        </w:rPr>
        <w:t>：</w:t>
      </w:r>
      <w:r>
        <w:rPr>
          <w:rFonts w:hint="eastAsia" w:ascii="方正仿宋_GB2312" w:hAnsi="方正仿宋_GB2312" w:eastAsia="方正仿宋_GB2312" w:cs="方正仿宋_GB2312"/>
          <w:sz w:val="32"/>
          <w:szCs w:val="32"/>
        </w:rPr>
        <w:t>（盖章）</w:t>
      </w:r>
    </w:p>
    <w:p>
      <w:pPr>
        <w:pStyle w:val="6"/>
        <w:snapToGrid w:val="0"/>
        <w:spacing w:after="0" w:line="240" w:lineRule="atLeast"/>
        <w:ind w:firstLine="482"/>
        <w:jc w:val="left"/>
        <w:rPr>
          <w:rFonts w:hint="eastAsia" w:ascii="方正仿宋_GB2312" w:hAnsi="方正仿宋_GB2312" w:eastAsia="方正仿宋_GB2312" w:cs="方正仿宋_GB2312"/>
          <w:sz w:val="32"/>
          <w:szCs w:val="32"/>
        </w:rPr>
      </w:pPr>
    </w:p>
    <w:p>
      <w:pPr>
        <w:pStyle w:val="6"/>
        <w:tabs>
          <w:tab w:val="left" w:pos="4777"/>
        </w:tabs>
        <w:snapToGrid w:val="0"/>
        <w:spacing w:after="0" w:line="240" w:lineRule="atLeast"/>
        <w:ind w:firstLine="482"/>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法定代表人或其委托代理人：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法定代表人或其委托代理人：（签字）</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（签字）</w:t>
      </w:r>
    </w:p>
    <w:p>
      <w:pPr>
        <w:pStyle w:val="6"/>
        <w:snapToGrid w:val="0"/>
        <w:spacing w:after="0" w:line="240" w:lineRule="atLeast"/>
        <w:ind w:firstLine="482"/>
        <w:jc w:val="left"/>
        <w:rPr>
          <w:rFonts w:hint="eastAsia" w:ascii="方正仿宋_GB2312" w:hAnsi="方正仿宋_GB2312" w:eastAsia="方正仿宋_GB2312" w:cs="方正仿宋_GB2312"/>
          <w:sz w:val="32"/>
          <w:szCs w:val="32"/>
        </w:rPr>
      </w:pPr>
    </w:p>
    <w:p>
      <w:pPr>
        <w:pStyle w:val="6"/>
        <w:tabs>
          <w:tab w:val="left" w:pos="3862"/>
          <w:tab w:val="left" w:pos="4517"/>
          <w:tab w:val="left" w:pos="8808"/>
        </w:tabs>
        <w:snapToGrid w:val="0"/>
        <w:spacing w:after="0" w:line="240" w:lineRule="atLeast"/>
        <w:ind w:firstLine="482"/>
        <w:jc w:val="lef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组织机构代码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组织机构代码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纳税人识别码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纳税人识别码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 xml:space="preserve">地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址</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地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址</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邮政编码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邮政编码</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法定代表人</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法定代表人</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委托代理人</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委托代理人</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话</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话</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 xml:space="preserve">传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真</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传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真</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电子信箱</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电子信箱</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开户银行</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开户银行</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 xml:space="preserve">账       </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z w:val="32"/>
          <w:szCs w:val="32"/>
        </w:rPr>
        <w:t>号</w:t>
      </w:r>
      <w:r>
        <w:rPr>
          <w:rFonts w:hint="eastAsia" w:ascii="方正仿宋_GB2312" w:hAnsi="方正仿宋_GB2312" w:eastAsia="方正仿宋_GB2312" w:cs="方正仿宋_GB2312"/>
          <w:sz w:val="32"/>
          <w:szCs w:val="32"/>
          <w:u w:val="single" w:color="231F20"/>
        </w:rPr>
        <w:t>：</w:t>
      </w:r>
      <w:r>
        <w:rPr>
          <w:rFonts w:hint="eastAsia" w:ascii="方正仿宋_GB2312" w:hAnsi="方正仿宋_GB2312" w:eastAsia="方正仿宋_GB2312" w:cs="方正仿宋_GB2312"/>
          <w:sz w:val="32"/>
          <w:szCs w:val="32"/>
          <w:u w:val="single" w:color="231F20"/>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账        号：</w:t>
      </w:r>
      <w:r>
        <w:rPr>
          <w:rFonts w:hint="eastAsia" w:ascii="方正仿宋_GB2312" w:hAnsi="方正仿宋_GB2312" w:eastAsia="方正仿宋_GB2312" w:cs="方正仿宋_GB2312"/>
          <w:sz w:val="32"/>
          <w:szCs w:val="32"/>
          <w:u w:val="single"/>
        </w:rPr>
        <w:t xml:space="preserve">                                                           </w:t>
      </w:r>
    </w:p>
    <w:p>
      <w:pPr>
        <w:pStyle w:val="6"/>
        <w:tabs>
          <w:tab w:val="left" w:pos="3862"/>
          <w:tab w:val="left" w:pos="4517"/>
          <w:tab w:val="left" w:pos="8808"/>
        </w:tabs>
        <w:snapToGrid w:val="0"/>
        <w:spacing w:after="0" w:line="240" w:lineRule="atLeast"/>
        <w:jc w:val="left"/>
        <w:rPr>
          <w:rFonts w:hint="eastAsia" w:ascii="方正仿宋_GB2312" w:hAnsi="方正仿宋_GB2312" w:eastAsia="方正仿宋_GB2312" w:cs="方正仿宋_GB2312"/>
          <w:sz w:val="32"/>
          <w:szCs w:val="32"/>
        </w:rPr>
        <w:sectPr>
          <w:pgSz w:w="11910" w:h="16840"/>
          <w:pgMar w:top="1580" w:right="1300" w:bottom="1020" w:left="1680" w:header="0" w:footer="832" w:gutter="0"/>
          <w:pgNumType w:fmt="decimal"/>
          <w:cols w:space="720" w:num="1"/>
        </w:sectPr>
      </w:pPr>
      <w:r>
        <w:rPr>
          <w:rFonts w:hint="eastAsia" w:ascii="方正仿宋_GB2312" w:hAnsi="方正仿宋_GB2312" w:eastAsia="方正仿宋_GB2312" w:cs="方正仿宋_GB2312"/>
          <w:sz w:val="32"/>
          <w:szCs w:val="32"/>
        </w:rPr>
        <w:t xml:space="preserve">时        间 </w:t>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 xml:space="preserve">日   时        间 </w:t>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color="231F20"/>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color="231F20"/>
        </w:rPr>
        <w:t xml:space="preserve">      </w:t>
      </w:r>
    </w:p>
    <w:p>
      <w:pPr>
        <w:pStyle w:val="6"/>
        <w:snapToGrid w:val="0"/>
        <w:spacing w:after="0" w:line="240" w:lineRule="atLeast"/>
        <w:ind w:firstLine="640" w:firstLineChars="200"/>
        <w:jc w:val="left"/>
        <w:outlineLvl w:val="2"/>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rPr>
        <w:tab/>
      </w:r>
      <w:r>
        <w:rPr>
          <w:rFonts w:hint="eastAsia" w:ascii="黑体" w:hAnsi="黑体" w:eastAsia="黑体" w:cs="黑体"/>
          <w:sz w:val="32"/>
          <w:szCs w:val="32"/>
        </w:rPr>
        <w:t>通用合同条款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1.1词语定义与解释</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合同协议书、通用合同条款、专用合同条款中的下列词语具有本款所赋予的含义：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1.1.1.1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1.1.1.2合同协议书：是指构成合同的由发包人和设计人共同签署的称为“合同协议书”的书面文件。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1.1.1.3中标通知书：是指构成合同的由发包人通知设计人中标的书面文件。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1.1.1.4投标函：是指构成合同的由设计人填写并签署的用于投标的称为“投标函”的文件。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1.1.1.5投标函附录：是指构成合同的附在投标函后的称为“投标函附录”的文件。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1.1.1.6发包人要求：是指构成合同文件组成部分的，由发包人就工程项目的目的、范围、功能要求及工程设计文件审查的范围和内容等提出相应要求的书面文件，又称设计任务书。</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1.1.1.7技术标准：是指构成合同的设计应当遵守的或指导设计的国家、行业或地方的技术标准和要求，以及合同约定的技术标准和要求。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1.1.1.8其他合同文件：是指经合同当事人约定的与工程设计有关的具有合同约束力的文件或书面协议。合同当事人可以在专用合同条款中进行约定。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1.1.2合同当事人及其他相关方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1.1.2.1合同当事人：是指发包人和（或）设计人。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1.1.2.2发包人：是指与设计人签订合同协议书的当事人及取得该当事人资格的合法继承人。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1.1.2.3设计人：是指与发包人签订合同协议书的，具有相应工程设计资质的当事人及取得该当事人资格的合法继承人。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1.1.2.4分包人：是指按照法律规定和合同约定，分包部分工程设计工作，并与设计人签订分包合同的具有相应资质的法人。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1.1.2.5发包人代表：是指由发包人指定负责工程设计方面在发包人授权范围内行使发包人权利的人。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1.1.2.6项目负责人：是指由设计人任命负责工程设计，在设计人授权范围内负责合同履行， 且按照法律规定具有相应资格的项目主持人。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1.1.2.7联合体：是指两个以上设计人联合，以一个设计人身份为发包人提供工程设计服务的临时性组织。</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1.1.3工程设计服务、资料与文件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1.1.3.1工程设计服务：是指设计人按照合同约定履行的服务，包括工程设计基本服务、工程设计其他服务。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1.1.3.2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1.1.3.3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1.1.3.4暂停设计：是指发生设计人不能按照合同约定履行全部或部分义务情形而暂时中断工程设计服务的行为。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1.1.3.5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1.1.3.6工程设计文件：指按照合同约定和技术要求，由设计人向发包人提供的阶段性成果、最终工作成果等，且应当采用合同中双方约定的载体。</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1.1.4日期和期限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1.1.4.1开始设计日期：包括计划开始设计日期和实际开始设计日期。计划开始设计日期是指合同协议书约定的开始设计日期；实际开始设计日期是指发包人发出的开始设计通知中载明的开始设计日期。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1.1.4.2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1.1.4.3设计周期又称设计工期：是指在合同协议书约定的设计人完成工程设计及相关服务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所需的期限，包括按照合同约定所作的期限变更。</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1.1.4.4基准日期：招标发包的工程设计以投标截止日前 28 天的日期为基准日期，直接发包的工程设计以合同签订日前 28 天的日期为基准日期。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1.1.4.5天：除特别指明外，均指日历天。合同中按天计算时间的，开始当天不计入，从次日开始计算，期限最后一天的截止时间为当天 24:00 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1.1.5合同价格</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1.1.5.1签约合同价：是指发包人和设计人在合同协议书中确定的总金额。</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1.1.5.2合同价格又称设计费：是指发包人用于支付设计人按照合同约定完成工程设计范围内全部工作的金额，包括合同履行过程中按合同约定发生的价格变化。</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1.1.6 其他</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1.1.6.1 书面形式：是指合同书、信件和数据电文（包括电报、电传、传真、电子数据交换和电子邮件）等可以有形地表现所载内容的形式。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1.2语言文字</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合同以中国的汉语简体文字编写、解释和说明。合同当事人在专用合同条款中约定使用两种以上语言时，汉语为优先解释和说明合同的语言。</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1.3法律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合同所称法律是指中华人民共和国法律、行政法规、部门规章，以及工程所在地的地方性法规、自治条例、单行条例和地方政府规章等。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合同当事人可以在专用合同条款中约定合同适用的其他规范性文件。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1.4技术标准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1.4.1适用于工程的现行有效的国家标准、行业标准、工程所在地的地方性标准，以及相应的规范、规程等，合同当事人有特别要求的，应在专用合同条款中约定。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1.4.2发包人要求使用国外技术标准的，发包人与设计人在专用合同条款中约定原文版本和中文译本提供方及提供标准的名称、份数、时间及费用承担等事项。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1.4.3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1.5合同文件的优先顺序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组成合同的各项文件应互相解释，互为说明。除专用合同条款另有约定外，解释合同文件的优先顺序如下：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1）合同协议书；</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2）专用合同条款及其附件；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3）通用合同条款；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4）中标通知书（如果有）；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5）投标函及其附录（如果有）；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6）发包人要求；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7）技术标准；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8）发包人提供的上一阶段图纸（如果有）；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9）其他合同文件。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上述各项合同文件包括合同当事人就该项合同文件所作出的补充和修改，属于同一类内容的文件，应以最新签署的为准。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在合同履行过程中形成的与合同有关的文件均构成合同文件组成部分，并根据其性质确定优先解释顺序。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1.6联络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1.6.1与合同有关的通知、批准、证明、证书、指示、指令、要求、请求、同意、确定和决定等，均应采用书面形式，并应在合同约定的期限内送达接收人和送达地点。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1.6.2发包人和设计人应在专用合同条款中约定各自的送达接收人、送达地点、电子邮箱。任何一方合同当事人指定的接收人或送达地点或电子邮箱发生变动的，应提前 3 天以书面形式通知对方，否则视为未发生变动。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1.6.3发包人和设计人应当及时签收另一方送达至送达地点和指定接收人的来往信函，如确有充分证据证明一方无正当理由拒不签收的，视为拒绝签收一方认可往来信函的内容。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1.7严禁贿赂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合同当事人不得以贿赂或变相贿赂的方式，谋取非法利益或损害对方权益。因一方合同当事人的贿赂造成对方损失的，应赔偿损失，并承担相应的法律责任。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1.8保密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除法律规定或合同另有约定外，未经发包人同意，设计人不得将发包人提供的图纸、文件以及声明需要保密的资料信息等商业秘密泄露给第三方。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除法律规定或合同另有约定外，未经设计人同意，发包人不得将设计人提供的技术文件、技术成果、技术秘密及声明需要保密的资料信息等商业秘密泄露给第三方。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保密期限由发包人与设计人在专用合同条款中约定。</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2.1发包人一般义务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2.1.1发包人应遵守法律，并办理法律规定由其办理的许可、核准或备案，包括但不限于建设用地规划许可证、建设工程规划许可证等许可、核准或备案。</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2.1.2发包人应当负责工程设计的所有外部关系的协调（包括但不限于当地政府主管部门等），为设计人履行合同提供必要的外部条件。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2.1.3专用合同条款约定的其他义务。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2.2发包人代表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发包人代表不能按照合同约定履行其职责及义务，并导致合同无法继续正常履行的，设计人可以要求发包人撤换发包人代表。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2.3发包人决定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2.3.1发包人在法律允许的范围内有权对设计人的设计工作、设计项目和 / 或设计文件作出处理决定，设计人应按照发包人的决定执行，涉及设计周期或设计费用等问题按本合同第 11 条〔工程设计变更与索赔〕的约定处理。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2.3.2发包人应在专用合同条款约定的期限内对设计人书面提出的事项作出书面决定，如发包人不在确定时间内作出书面决定，设计人的设计周期相应延长。</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2.4支付合同价款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发包人应按合同约定向设计人及时足额支付合同价款。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2.5设计文件接收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发包人应按合同约定及时接收设计人提交的工程设计文件。</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3.1设计人一般义务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3.1.1设计人应遵守法律和有关技术标准的强制性规定，完成合同约定范围内的专业建设工程初步设计、施工图设计，提供符合技术标准及合同要求的工程设计文件，提供施工配合服务。设计人应当按照专用合同条款约定配合发包人办理有关许可、核准或备案手续的，因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人原因造成发包人未能及时办理许可、核准或备案手续，导致设计工作量增加和（或）设计周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期延长时，由设计人自行承担由此增加的设计费用和（或）设计周期延长的责任。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3.1.2设计人应当完成合同约定的工程设计其他服务。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3.1.3专用合同条款约定的其他义务。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3.2.1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3.2.2设计人需要更换项目负责人的，应在专用合同条款约定的期限内提前书面通知发包人，并征得发包人书面同意。通知中应当载明继任项目负责人的注册执业资格或职称、管理经验等资料，继任项目负责人继续履行第 3.2.1 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3.2.3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 3.2.1 项约定的职责。设计人无正当理由拒绝更换项目负责人的，应按照专用合同条款的约定承担违约责任。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3.3设计人人员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3.3.1除专用合同条款对期限另有约定外，设计人应在接到开始设计通知后 7 天内，向发包人提交设计人项目管理机构及人员安排的报告，其内容应包括工艺、土建、设备等专业负责人名单及其岗位、注册执业资格或职称等。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3.3.2设计人委派到工程设计中的设计人员应相对稳定。设计过程中如有变动，设计人应及时向发包人提交工程设计人员变动情况的报告。设计人更换专业负责人时，应提前 7 天书面通知发包人，除专业负责人无法正常履职情形外，还应征得发包人书面同意。通知中应当载明继任人员的注册执业资格或职称、执业经验等资料。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3.3.3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3.4设计分包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3.4.1设计分包的一般约定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3.4.2设计分包的确定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3.4.3设计分包管理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设计人应按照专用合同条款的约定向发包人提交分包人的主要工程设计人员名单、注册执业资格或职称及执业经历等。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3.4.4分包工程设计费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1）除本项第（ 2）目约定的情况或专用合同条款另有约定外，分包工程设计费由设计人与分包人结算，未经设计人同意，发包人不得向分包人支付分包工程设计费；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2）生效的法院判决书或仲裁裁决书要求发包人向分包人支付分包工程设计费的，发包人有权从应付设计人合同价款中扣除该部分费用。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3.5联合体</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3.5.1联合体各方应共同与发包人签订合同协议书。联合体各方应为履行合同向发包人承担连带责任。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3.5.2联合体协议，应当约定联合体各成员工作分工，经发包人确认后作为合同附件。在履行合同过程中，未经发包人同意，不得修改联合体协议。</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3.5.3联合体牵头人负责与发包人联系，并接受指示，负责组织联合体各成员全面履行合同。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3.5.4发包人向联合体支付设计费用的方式在专用合同条款中约定。</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4.工程设计资料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4.1提供工程设计资料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发包人应当在工程设计前或专用合同条款附件 2 约定的时间向设计人提供工程设计所必需的工程设计资料，并对所提供资料的真实性、准确性和完整性负责。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按照法律规定确需在工程设计开始后方能提供的设计资料，发包人应及时地在相应工程设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计文件提交给发包人前的合理期限内提供，合理期限应以不影响设计人的正常设计为限。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4.2逾期提供的责任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发包人提交上述文件和资料超过约定期限的，超过约定期限 15 天以内，设计人按本合同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约定的交付工程设计文件时间相应顺延；超过约定期限 15 天以外时，设计人有权重新确定提交工程设计文件的时间。工程设计资料逾期提供导致增加了设计工作量的，设计人可以要求发包人另行支付相应设计费用，并相应延长设计周期。</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5.工程设计要求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5.1工程设计一般要求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5.1.1对发包人的要求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5.1.2对设计人的要求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5.1.2.1设计人应当按法律和技术标准的强制性规定及发包人要求进行工程设计。有关工程设计的特殊标准或要求由合同当事人在专用合同条款中约定。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设计人发现发包人提供的工程设计资料有问题的，设计人应当及时通知发包人并经发包人确认。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5.1.2.2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5.1.2.3设计人在工程设计中应当采用合同约定的技术、工艺和设备，满足质量、安全、节能、环保等要求。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5.2工程设计保证措施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5.2.1发包人的保证措施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发包人应按照法律规定及合同约定完成与工程设计有关的各项工作。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5.2.2设计人的保证措施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设计人应做好工程设计的质量与技术管理工作，建立健全工程设计质量保证体系，加强工程设计全过程的质量控制，建立完整的设计文件的设计、复核、审核、会签和批准制度，明确各阶段的责任人。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5.3工程设计文件的要求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5.3.1工程设计文件的编制应符合法律、技术标准的强制性规定及合同的要求。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5.3.2工程设计依据应完整、准确、可靠，设计方案论证充分，计算成果可靠，并能够实施。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5.3.3工程设计文件的深度应满足本合同相应设计阶段的规定要求，并符合国家和行业现行有效的相关规定。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5.3.4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5.3.5应根据法律、技术标准要求，保证专业建设工程的合理使用寿命年限，并应在工程设计文件中注明相应的合理使用寿命年限。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5.4不合格工程设计文件的处理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5.4.1因设计人原因造成工程设计文件不合格的，发包人有权要求设计人采取补救措施，直至达到合同要求的质量标准，并按第 14.2 款〔设计人违约责任〕的约定承担责任。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5.4.2因发包人原因造成工程设计文件不合格的，设计人应当采取补救措施，直至达到合同要求的质量标准，由此增加的设计费用和（或）设计周期的延长由发包人承担。</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6.工程设计进度与周期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6.1工程设计进度计划</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6.1.1工程设计进度计划的编制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6.1.2工程设计进度计划的修订</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 5 天内完成审核和批准或提出修改意见，否则视为发包人同意设计人提交的修订的工程设计进度计划。</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6.2工程设计开始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发包人应按照法律规定获得工程设计所需的许可。发包人发出的开始设计通知应符合法律规定，一般应在计划开始设计日期 7 天前向设计人发出开始工程设计工作通知，工程设计周期自开始设计通知中载明的开始设计的日期起算。</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设计人应当在收到发包人提供的工程设计资料及专用合同条款约定的定金或预付款后，开始工程设计工作。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各设计阶段的开始时间均以设计人收到的发包人发出开始设计工作的书面通知书中载明的开始设计的日期起算。</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6.3.1因发包人原因导致工程设计进度延误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在合同履行过程中，发包人导致工程设计进度延误的情形主要有：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1）发包人未能按合同约定提供工程设计资料或所提供的工程设计资料不符合合同约定或存在错误或疏漏的；</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2）发包人未能按合同约定日期足额支付定金或预付款、进度款的；</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3）发包人提出影响设计周期的设计变更要求的；</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4）专用合同条款中约定的其他情形。</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因发包人原因未按计划开始设计日期开始设计的，发包人应按实际开始设计日期顺延完成设计日期。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除专用合同条款对期限另有约定外，设计人应在发生上述情况后 5 天内向发包人发出要求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延期的书面通知，在发生上述情况后 10 天内提交要求延期的详细说明供发包人审查。除专用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合同条款对期限另有约定外，发包人收到设计人要求延期的详细说明后，应在 5 天内进行审查并就是否延长设计周期及延期天数向设计人进行书面答复。</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发包人上述工程设计进度延误情形导致增加了设计工作量的，发包人应当另行支付相应设计费用。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6.3.2因设计人原因导致工程设计进度延误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因设计人原因导致工程设计进度延误的，设计人应当按照第 14.2 款〔设计人违约责任〕承担责任。设计人支付逾期完成工程设计违约金后，不免除设计人继续完成工程设计的义务。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6.4暂停设计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6.4.1发包人原因引起的暂停设计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因发包人原因引起暂停设计的，发包人应及时下达暂停设计指示。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因发包人原因引起的暂停设计，发包人应承担由此增加的设计费用和（或）延长的设计周期。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6.4.2设计人原因引起的暂停设计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因设计人原因引起的暂停设计，设计人应当尽快向发包人发出书面通知并按第 14.2 款〔设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计人违约责任〕承担责任，且设计人在收到发包人复工指示后 15 天内仍未复工的，视为设计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人无法继续履行合同的情形，设计人应按第 16 条〔合同解除〕的约定承担责任。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6.4.3其他原因引起的暂停设计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当出现非设计人原因造成的暂停设计，设计人应当尽快向发包人发出书面通知。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在上述情形下设计人的设计服务暂停，设计人的设计周期应当相应延长，复工应有发包人与设计人共同确认的合理期限。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当发生本项约定的情况，导致设计人增加设计工作量的，发包人应当另行支付相应设计费用。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6.4.4暂停设计后的复工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暂停设计后，发包人和设计人应采取有效措施积极消除暂停设计的影响。当工程具备复工条件时，发包人向设计人发出复工通知，设计人应按照复工通知要求复工。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除设计人原因导致暂停设计外，设计人暂停设计后复工所增加的设计工作量，发包人应当另行支付相应设计费用。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6.5提前交付工程设计文件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6.5.1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 7 天内予以答复。任何情况下，发包人不得压缩合理设计周期。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6.5.2发包人要求设计人提前交付工程设计文件，或设计人提出提前交付工程设计文件的建议能够给发包人带来效益的，合同当事人可以在专用合同条款中约定提前交付工程设计文件的奖励。</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7.工程设计文件交付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7.1工程设计文件交付的内容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7.1.1工程设计图纸及设计说明。</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7.1.2发包人可以要求设计人提交专用合同条款约定的具体形式的电子版设计文件。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7.2工程设计文件的交付方式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设计人交付工程设计文件给发包人，发包人应当出具书面签收单，内容包括图纸名称、图纸内容、图纸形式、份数、提交和签收日期、提交人与接收人的亲笔签名。</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7.3工程设计文件交付的时间和份数</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工程设计文件交付的名称、时间和份数在专用合同条款附件 3 中约定。</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8.工程设计文件审查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8.1设计人的工程设计文件应报发包人审查同意。审查的范围和内容在发包人要求中约定。审查的具体标准应符合法律规定、技术标准要求和本合同约定。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除专用合同条款对期限另有约定外，自发包人收到设计人的工程设计文件以及设计人的通知之日起，发包人对设计人的工程设计文件审查期不超过 15 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发包人不同意工程设计文件的，应以书面形式通知设计人，并说明不符合合同要求的具体内容。设计人应根据发包人的书面说明，对工程设计文件进行修改后重新报送发包人审查，审查期重新起算。</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合同约定的审查期满，发包人没有做出审查结论也没有提出异议的，视为设计人的工程设计文件已获发包人同意。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8.2设计人的工程设计文件不需要政府有关部门审查或批准的，设计人应当严格按照经发包人审查同意的工程设计文件进行修改，如果发包人的修改意见超出或更改了发包人要求，发包人应当根据第 11 条〔工程设计变更与索赔〕的约定，向设计人另行支付费用。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8.3工程设计文件需政府有关部门审查或批准的，发包人应在审查同意设计人的工程设计文件后在专用合同条款约定的期限内，向政府有关部门报送工程设计文件，设计人应予以协助。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 11 条〔工程设计变更与索赔〕的约定，向设计人另行支付费用。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8.4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设计人按第 7 条〔工程设计文件交付〕的约定向发包人提交工程设计文件，有义务参加发包人组织的设计审查会议，向审查者介绍、解答、解释其工程设计文件，并提供有关补充资料。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发包人有义务向设计人提供设计审查会议的批准文件和纪要。设计人有义务按照相关设计审查会议批准的文件和纪要，并依据合同约定及相关技术标准，对工程设计文件进行修改、补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充和完善。</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8.5因设计人原因，未能按第 7 条〔工程设计文件交付〕约定的时间向发包人提交工程设计文件，致使工程设计文件审查无法进行或无法按期进行，造成设计周期延长、窝工损失及发包人增加费用的，设计人按第 14.2 款〔设计人违约责任〕的约定承担责任。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因发包人原因，致使工程设计文件审查无法进行或无法按期进行，造成设计周期延长、窝工损失及设计人增加的费用，由发包人承担。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8.6因设计人原因造成工程设计文件不合格致使工程设计文件审查无法通过的，发包人有权要求设计人采取补救措施，直至达到合同要求的质量标准，并按第14.2 款〔设计人违约责任〕的约定承担责任。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因发包人原因造成工程设计文件不合格致使工程设计文件审查无法通过的，由此增加的设计费用和（或）延长的设计周期由发包人承担。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8.7工程设计文件的审查，不减轻或免除设计人依据法律应当承担的责任。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9.施工现场配合服务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9.1除专用合同条款另有约定外，发包人应为设计人派赴现场的工作人员提供工作、生活及交通等方面的便利条件。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9.2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10.合同价款与支付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10.1合同价款组成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发包人和设计人应当在专用合同条款附件 6 中明确约定合同价款各组成部分的具体数额， 主要包括：</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1）工程设计基本服务费用；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2）工程设计其他服务费用；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3）在未签订合同前发包人已经同意或接受或已使用的设计人为发包人所做的各项工作的相应费用等。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10.2合同价格形式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发包人和设计人应在合同协议书中选择下列一种合同价格形式：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1）单价合同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单价合同是指合同当事人约定以建筑面积（包括地上建筑面积和地下建筑面积）每平方米单价或实际投资总额的一定比例等双方认可方式进行合同价格计算、调整和确认的建设工程设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计合同，在约定的范围内合同单价不作调整。合同当事人应在专用合同条款中约定单价包含的风险范围和风险费用的计算方法，并约定风险范围以外的合同价格的调整方法。</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2）总价合同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3）其它价格形式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合同当事人可在专用合同条款中约定其他合同价格形式。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10.3定金或预付款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10.3.1定金或预付款的比例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定金的比例不应超过合同总价款的 20%。预付款的比例由发包人与设计人协商确定，一般不低于合同总价款的 20%。</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10.3.2定金或预付款的支付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定金或预付款的支付按照专用合同条款约定执行，但最迟应在开始设计通知载明的开始设计日期前专用合同条款约定的期限内支付。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发包人逾期支付定金或预付款超过专用合同条款约定的期限的，设计人有权向发包人发出要求支付定金或预付款的催告通知，发包人收到通知后 7 天内仍未支付的，设计人有权不开始设计工作或暂停设计工作。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10.4进度款支付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10.4.1发包人应当按照专用合同条款附件 6 约定的付款条件及时向设计人支付进度款。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10.4.2进度付款的修正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在对已付进度款进行汇总和复核中发现错误、遗漏或重复的，发包人和设计人均有权提出修正申请。经发包人和设计人同意的修正，应在下期进度付款中支付或扣除。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10.5合同价款的结算与支付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10.5.1对于采取固定总价形式的合同，发包人应当按照专用合同条款附件 6 的约定及时支付尾款。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10.5.2对于采取固定单价形式的合同，发包人与设计人应当按照专用合同条款附件 6 约定的结算方式及时结清工程设计费，并将结清未支付的款项一次性支付给设计人。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10.5.3对于采取其他价格形式的，也应按专用合同条款的约定及时结算和支付。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10.6 支付账户</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发包人应将合同价款支付至合同协议书中约定的设计人账户。</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11.工程设计变更与索赔</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11.1发包人变更工程设计的内容、规模、功能、条件等，应当向设计人提供书面要求，设计人在不违反法律规定以及技术标准强制性规定的前提下应当按照发包人要求变更工程设计。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11.2发包人变更工程设计的内容、规模、功能、条件或因提交的设计资料存在错误或作较大修改时，发包人应按设计人所耗工作量向设计人增付设计费，设计人可按本条约定和专用合同条款附件 7 的约定，与发包人协商对合同价格和 / 或完工时间做可共同接受的修改。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11.3如果由于发包人要求更改而造成的项目复杂性的变更或性质的变更使得设计人的设计工作减少，发包人可按本条约定和专用合同条款附件 7 的约定，与设计人协商对合同价格和 / 或完工时间做可共同接受的修改。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11.4基准日期后，与工程设计服务有关的法律、技术标准的强制性规定的颁布及修改，由此增加的设计费用和（或）延长的设计周期由发包人承担。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11.5如果发生设计人认为有理由提出增加合同价款或延长设计周期的要求事项，除专用合同条款对期限另有约定外，设计人应于该事项发生后 5 天内书面通知发包人。除专用合同条款对期限另有约定外，在该事项发生后 10 天内，设计人应向发包人提供证明设计人要求的书面声明，其中包括设计人关于因该事项引起的合同价款和设计周期的变化的详细计算。除专用合同条款对期限另有约定外，发包人应在接到设计人书面声明后的 5 天内，予以书面答复。逾期未答复的，视为发包人同意设计人关于增加合同价款或延长设计周期的要求。</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12.专业责任与保险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12.1设计人应运用一切合理的专业技术和经验知识，按照公认的职业标准尽其全部职责和谨慎、勤勉地履行其在本合同项下的责任和义务。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12.2除专用合同条款另有约定外，设计人应具有发包人认可的、履行本合同所需要的工程设计责任保险并使其于合同责任期内保持有效。</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12.3工程设计责任保险应承担由于设计人的疏忽或过失而引发的工程质量事故所造成的建设工程本身的物质损失以及第三者人身伤亡、财产损失或费用的赔偿责任。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13.知识产权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13.2除专用合同条款另有约定外，设计人为实施工程所编制的文件的著作权属于设计人， 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13.3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13.4合同当事人双方均有权在不损害对方利益和保密约定的前提下，在自己宣传用的印刷品或其他出版物上，或申报奖项时等情形下公布有关项目的文字和图片材料。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13.5除专用合同条款另有约定外，设计人在合同签订前和签订时已确定采用的专利、专有技术的使用费应包含在签约合同价中。</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14.违约责任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14.1发包人违约责任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14.1.1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 按该阶段设计费的一半支付设计费；超过一半时，按该阶段设计费的全部支付设计费。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14.1.2发包人未按专用合同条款附件 6 约定的金额和期限向设计人支付设计费的，应按专用合同条款约定向设计人支付违约金。逾期超过 15 天时，设计人有权书面通知发包人中止设计工作。自中止设计工作之日起 15 天内发包人支付相应费用的，设计人应及时根据发包人要求恢复设计工作；自中止设计工作之日起超过 15 天后发包人支付相应费用的，设计人有权确定重新恢复设计工作的时间，且设计周期相应延长。</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14.1.3发包人的上级或设计审批部门对设计文件不进行审批或本合同工程停建、缓建，发包人应在事件发生之日起 15 天内按本合同第 16 条〔合同解除〕的约定向设计人结算并支付设计费。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14.1.4发包人擅自将设计人的设计文件用于本工程以外的工程或交第三方使用时，应承担相应法律责任，并应赔偿设计人因此遭受的损失。</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14.2设计人违约责任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14.2.1合同生效后，设计人因自身原因要求终止或解除合同，设计人应按发包人已支付的定金金额双倍返还给发包人或设计人按照专用合同条款的约定向发包人支付违约金。</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14.2.2由于设计人原因，未按专用合同条款附件 3 约定的时间交付工程设计文件的，应按专用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合同条款的约定向发包人支付违约金，前述违约金经双方确认后可在发包人应付设计费中扣减。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14.2.3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14.2.4设计人未经发包人同意擅自对工程设计进行分包的，发包人有权要求设计人解除未经发包人同意的设计分包合同，设计人应当按照专用合同条款的约定承担违约责任。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15.不可抗力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15.1不可抗力的确认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不可抗力发生后，发包人和设计人应收集证明不可抗力发生及不可抗力造成损失的证据， 并及时认真统计所造成的损失。合同当事人对是否属于不可抗力或其损失发生争议时，按第 17 条〔争议解决〕的约定处理。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15.2不可抗力的通知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合同一方当事人遇到不可抗力事件，使其履行合同义务受到阻碍时，应立即通知合同另一方当事人，书面说明不可抗力和受阻碍的详细情况，并在合理期限内提供必要的证明。</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不可抗力持续发生的，合同一方当事人应及时向合同另一方当事人提交中间报告，说明不可抗力和履行合同受阻的情况，并于不可抗力事件结束后 28 天内提交最终报告及有关资料。</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15.3不可抗力后果的承担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不可抗力引起的后果及造成的损失由合同当事人按照法律规定及合同约定各自承担。不可抗力发生前已完成的工程设计应当按照合同约定进行支付。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不可抗力发生后，合同当事人均应采取措施尽量避免和减少损失的扩大，任何一方当事人没有采取有效措施导致损失扩大的，应对扩大的损失承担责任。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因合同一方迟延履行合同义务，在迟延履行期间遭遇不可抗力的，不免除其违约责任。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16.合同解除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16.1发包人与设计人协商一致，可以解除合同。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16.2有下列情形之一的，合同当事人一方或双方可以解除合同：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1）设计人工程设计文件存在重大质量问题，经发包人催告后，在合理期限内修改后仍不能满足国家现行深度要求或不能达到合同约定的设计质量要求的，发包人可以解除合同；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2）发包人未按合同约定支付设计费用，经设计人催告后，在 30 天内仍未支付的，设计人可以解除合同；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3）暂停设计期限已连续超过 180 天，专用合同条款另有约定的除外；</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4）因不可抗力致使合同无法履行；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5）因一方违约致使合同无法实际履行或实际履行已无必要；</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6）因本工程项目条件发生重大变化，使合同无法继续履行。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16.3任何一方因故需解除合同时，应提前 30 天书面通知对方，对合同中的遗留问题应取得一致意见并形成书面协议。</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16.4合同解除后，发包人除应按第 14.1.1 项的约定及专用合同条款约定期限内向设计人支付已完工作的设计费外，应当向设计人支付由于非设计人原因合同解除导致设计人增加的设计费用，违约一方应当承担相应的违约责任。</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17.争议解决</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17.1和解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合同当事人可以就争议自行和解，自行和解达成协议的经双方签字并盖章后作为合同补充文件，双方均应遵照执行。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17.2调解</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合同当事人可以就争议请求相关行政主管部门、行业协会或其他第三方进行调解，调解达成协议的，经双方签字并盖章后作为合同补充文件，双方均应遵照执行。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17.3争议评审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合同当事人在专用合同条款中约定采取争议评审方式解决争议以及评审规则，并按下列约定执行：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17.3.1争议评审小组的确定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合同当事人可以共同选择一名或三名争议评审员，组成争议评审小组。除专用合同条款另有约定外，合同当事人应当自合同签订后 28 天内，或者争议发生后 14 天内，选定争议评审员。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除专用合同条款另有约定外，评审所发生的费用由发包人和设计人各承担一半。</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17.3.2争议评审小组的决定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合同当事人可在任何时间将与合同有关的任何争议共同提请争议评审小组进行评审。争议评审小组应秉持客观、公正原则，充分听取合同当事人的意见，依据相关法律、技术标准、行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业惯例等，自收到争议评审申请报告后 14 天内作出书面决定，并说明理由。合同当事人可以在专用合同条款中对本事项另行约定。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17.3.3争议评审小组决定的效力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争议评审小组作出的书面决定经合同当事人签字确认后，对双方具有约束力，双方应遵照执行。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任何一方当事人不接受争议评审小组决定或不履行争议评审小组决定的，双方可选择采用其他争议解决方式。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17.4仲裁或诉讼</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因合同及合同有关事项产生的争议，合同当事人可以在专用合同条款中约定以下一种方式解决争议：</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1）向约定的仲裁委员会申请仲裁；</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2）向有管辖权的人民法院起诉。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17.5争议解决条款效力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合同有关争议解决的条款独立存在，合同的变更、解除、终止、无效或者被撤销均不影响其效力。</w:t>
      </w: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snapToGrid w:val="0"/>
        <w:spacing w:after="0" w:line="240" w:lineRule="atLeast"/>
        <w:ind w:firstLine="640" w:firstLineChars="200"/>
        <w:jc w:val="left"/>
        <w:outlineLvl w:val="2"/>
        <w:rPr>
          <w:rFonts w:hint="eastAsia" w:ascii="黑体" w:hAnsi="黑体" w:eastAsia="黑体" w:cs="黑体"/>
          <w:sz w:val="32"/>
          <w:szCs w:val="32"/>
        </w:rPr>
      </w:pPr>
    </w:p>
    <w:p>
      <w:pPr>
        <w:pStyle w:val="6"/>
        <w:numPr>
          <w:ilvl w:val="0"/>
          <w:numId w:val="0"/>
        </w:numPr>
        <w:snapToGrid w:val="0"/>
        <w:spacing w:after="0" w:line="240" w:lineRule="atLeast"/>
        <w:ind w:firstLine="640" w:firstLineChars="200"/>
        <w:jc w:val="left"/>
        <w:outlineLvl w:val="2"/>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第三部分</w:t>
      </w:r>
      <w:r>
        <w:rPr>
          <w:rFonts w:hint="eastAsia" w:ascii="黑体" w:hAnsi="黑体" w:eastAsia="黑体" w:cs="黑体"/>
          <w:sz w:val="32"/>
          <w:szCs w:val="32"/>
        </w:rPr>
        <w:t>专用合同条款</w:t>
      </w:r>
    </w:p>
    <w:p>
      <w:pPr>
        <w:pStyle w:val="6"/>
        <w:numPr>
          <w:ilvl w:val="0"/>
          <w:numId w:val="0"/>
        </w:numPr>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p>
    <w:p>
      <w:pPr>
        <w:pStyle w:val="6"/>
        <w:numPr>
          <w:ilvl w:val="0"/>
          <w:numId w:val="0"/>
        </w:numPr>
        <w:snapToGrid w:val="0"/>
        <w:spacing w:after="0" w:line="240" w:lineRule="atLeast"/>
        <w:ind w:firstLine="643" w:firstLineChars="200"/>
        <w:jc w:val="left"/>
        <w:outlineLvl w:val="2"/>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1.1词语定义与解释</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 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1.1.1.8 其他合同文件包括：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1.3法律</w:t>
      </w:r>
    </w:p>
    <w:p>
      <w:pPr>
        <w:pStyle w:val="6"/>
        <w:snapToGrid w:val="0"/>
        <w:spacing w:after="0" w:line="240" w:lineRule="atLeast"/>
        <w:ind w:firstLine="1280" w:firstLineChars="4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适用于合同的其他规范性文件：</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1.4技术标准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1.4.1适用于工程的技术标准包括：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1.4.2国外技术标准原文版本和中文译本的提供方：</w:t>
      </w:r>
      <w:r>
        <w:rPr>
          <w:rFonts w:hint="eastAsia" w:ascii="方正仿宋_GB2312" w:hAnsi="方正仿宋_GB2312" w:eastAsia="方正仿宋_GB2312" w:cs="方正仿宋_GB2312"/>
          <w:sz w:val="32"/>
          <w:szCs w:val="32"/>
        </w:rPr>
        <w:tab/>
      </w:r>
    </w:p>
    <w:p>
      <w:pPr>
        <w:pStyle w:val="6"/>
        <w:snapToGrid w:val="0"/>
        <w:spacing w:after="0" w:line="240" w:lineRule="atLeast"/>
        <w:ind w:firstLine="1280" w:firstLineChars="4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提供国外技术标准的名称：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1280" w:firstLineChars="4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提供国外技术标准的份数：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1280" w:firstLineChars="4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提供国外技术标准的时间：</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1280" w:firstLineChars="4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提供国外技术标准的费用承担：</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1.4.3发包人对工程的技术标准和功能要求的特殊要求：</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1.5合同文件的优先顺序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合同文件组成及优先顺序为：</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1.6联络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1.6.1发包人和设计人应当在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天内将与合同有关的通知、批准、证明、证书、指示、指</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令、要求、请求、同意、确定和决定等书面函件送达对方当事人。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1.6.2发包人和设计人联系信息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发包人接收文件的地点：</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发包人指定的接收人为：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发包人指定的联系电话及传真号码：</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发包人指定的电子邮箱：</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。设计人接收文件的地点：</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设计人指定的接收人为：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设计人指定的联系电话及传真号码：</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设计人指定的电子邮箱：</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1.8 保密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保密期限：</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2.发包人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2.1发包人一般义务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2.1.3 发包人其它义务：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2.2发包人代表发包人代表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姓   名：</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身份证号：</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职   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联系电话：</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电子信箱：</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通信地址：</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发包人对发包人代表的授权范围如下：</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。发包人更换发包人代表的，应当提前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天书面通知设计人。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2.3发包人决定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2.3.2 发包人应在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天内对设计人书面提出的事项作出书面决定。</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3.设计人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3.1设计人一般义务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3.1.1 设计人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（需 / 不需）配合发包人办理有关许可、批准或备案手续。</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3.1.3 设计人其他义务：</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3.2.1项目负责人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姓    名：</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执业资格及等级：</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注册证书号：</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联系电话：</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电子信箱：</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通信地址：</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设计人对项目负责人的授权范围如下：</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3.2.2设计人更换项目负责人的，应提前  天书面通知发包人。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设计人擅自更换项目负责人的违约责任：</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3.2.3设计人应在收到书面更换通知后     天内更换项目负责人。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设计人无正当理由拒绝更换项目负责人的违约责任：</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3.3设计人人员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3.3.1设计人提交项目管理机构及人员安排报告的期限：</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3.3.3 设计人无正当理由拒绝撤换主要设计人员的违约责任：</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3.4设计分包</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3.4.1设计分包的一般约定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禁止设计分包的工程包括：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。主体结构、关键性工作的范围：</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3.4.2设计分包的确定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允许分包的专业工程包括：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。其他关于分包的约定：</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3.4.3设计人向发包人提交有关分包人资料包括：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3.4.4分包工程设计费支付方式：</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3.5联合体</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3.5.4 发包人向联合体支付设计费用的方式：</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5.工程设计要求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5.1工程设计一般要求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5.1.2.1工程设计的特殊标准或要求：</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5.1.2.2工程设计适用的技术标准：</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 工程设计文件的要求</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5.3.3 工程设计文件深度规定：</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5.3.5 工程的合理使用寿命年限：</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6.工程设计进度与周期</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6.1工程设计进度计划</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6.1.1工程设计进度计划的编制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合同当事人约定的工程设计进度计划提交的时间：</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。合同当事人约定的工程设计进度计划应包括的内容：</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6.1.2工程设计进度计划的修订</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发包人在收到工程设计进度计划后确认或提出修改意见的期限：</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 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6.3.1 因发包人原因导致工程设计进度延误</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4）因发包人原因导致工程设计进度延误的其他情形：</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。设计人应在发生进度延误的情形后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天内向发包人发出要求延期的书面通知，在发</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生该情形后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天内提交要求延期的详细说明。</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发包人收到设计人要求延期的详细说明后，应在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天内进行审查并书面答复。</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 提前交付工程设计文件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6.5.2 提前交付工程设计文件的奖励：</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7.工程设计文件交付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7.1工程设计文件交付的内容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7.1.2 发包人要求设计人提交电子版设计文件的具体形式为：</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8.工程设计文件审查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8.1发包人对设计人的设计文件审查期限不超过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8.3发包人应在审查同意设计人的工程设计文件后在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天内，向政府有关部门报送工程设计文件。</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8.4工程设计审查形式及时间安排：</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9.施工现场配合服务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9.1发包人为设计人派赴现场的工作人员提供便利条件的内容包括：</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9.2设计人应当在交付施工图设计文件并经审查合格后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时间内提供施工现场配合服务。</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10.合同价款与支付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10.2合同价格形式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1）单价合同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单价包含的风险范围：</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风险费用的计算方法：</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风险范围以外合同价格的调整方法：</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2）总价合同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总价包含的风险范围：</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风险费用的计算方法：</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风险范围以外合同价格的调整方法：</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3）其他价格形式：</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10.3定金或预付款</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10.3.1定金或预付款的比例</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定金的比例或预付款的比例 </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10.3.2定金或预付款的支付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定金或预付款的支付时间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但最迟应在开始设计通知载明的开始设计日期</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天前支付。</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11.工程设计变更与索赔</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11.5  设计人应于认为有理由提出增加合同价款或延长设计周期的要求事项发生后</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天内书面通知发包人。</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设计人应在该事项发生后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天内向发包人提供证明设计人要求的书面声明。发包人应在接到设计人书面声明后的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天内，予以书面答复。</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12.专业责任与保险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12.2 设计人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（需 / 不需）有发包人认可的工程设计责任保险。</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13.知识产权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13.1关于发包人提供给设计人的图纸、发包人为实施工程自行编制或委托编制的技术规格以及反映发包人关于合同要求或其他类似性质的文件的著作权的归属：</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关于发包人提供的上述文件的使用限制的要求：</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13.2关于设计人为实施工程所编制文件的著作权的归属：</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。关于设计人提供的上述文件的使用限制的要求：</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13.5 设计人在设计过程中所采用的专利、专有技术的使用费的承担方式：</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14.违约责任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14.1发包人违约责任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14.1.1发包人支付设计人违约金：</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14.1.2发包人逾期支付设计费的违约金：</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14.2设计人违约责任</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14.2.1设计人支付发包人的违约金：</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14.2.2设计人逾期交付工程设计文件的违约金：</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。设计人逾期交付工程设计文件的违约金的上限：</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14.2.3设计人设计文件不合格的损失赔偿金的上限：</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14.2.4设计人未经发包人同意擅自对工程设计进行分包的违约责任：</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15.不可抗力</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15.1不可抗力的确认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除通用合同条款约定的不可抗力事件之外，视为不可抗力的其他情形：</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16.合同解除</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16.2 有下列情形之一的，可以解除合同：</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3）暂停设计期限已连续超过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16.4 发包人向设计人支付已完工作设计费的期限为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天内。</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17.争议解决</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17.3争议评审</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合同当事人是否同意将工程争议提交争议评审小组决定：</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17.3.1争议评审小组的确定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争议评审小组成员的确定：</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。选定争议评审员的期限：</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。评审所发生的费用承担方式：</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。其他事项的约定：</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17.3.2争议评审小组的决定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合同当事人关于本事项的约定：</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17.4 仲裁或诉讼</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因合同及合同有关事项发生的争议，按下列第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种方式解决：</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1）向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仲裁委员会申请仲裁；</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2）向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人民法院起诉。</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18.其他（如果没有，填“无”）</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p>
    <w:p>
      <w:pPr>
        <w:pStyle w:val="6"/>
        <w:snapToGrid w:val="0"/>
        <w:spacing w:after="0" w:line="240" w:lineRule="atLeas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1 ：工程设计范围、阶段与服务内容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2 ：发包人向设计人提交的有关资料及文件一览表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3 ：设计人向发包人交付的工程设计文件目录</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4 ：设计人主要设计人员表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5 ：设计进度表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6 ：设计费明细及支付方式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 7 ：设计变更计费依据和方法</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附件1： </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一、本工程设计范围</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工程设计范围、阶段与服务内容</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二、本工程设计阶段划分</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初步（基础）设计、非标准设备设计（如有）、施工图设计及施工配合四个阶段。</w:t>
      </w:r>
    </w:p>
    <w:p>
      <w:pPr>
        <w:pStyle w:val="6"/>
        <w:snapToGrid w:val="0"/>
        <w:spacing w:after="0" w:line="240" w:lineRule="atLeast"/>
        <w:ind w:firstLine="643" w:firstLineChars="200"/>
        <w:jc w:val="left"/>
        <w:outlineLvl w:val="1"/>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三、各阶段服务内容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1.初步（基础）设计阶段</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2.非标准设备设计阶段（如有）</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3.施工图设计阶段</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4.施工配合阶段（包括设计技术交底、解决施工中设计技术问题、参加试车（试运行）考核和竣工验收）</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附件2： </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发包人向设计人提交的有关资料及文件一览表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序号</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资料及文件名称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份数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提交日期</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有关事宜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项目立项报告和审批文件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各 1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发包人要求即设计任务书（含对工艺、土建、设备等专业的具体要求）</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厂址选择报告、土地使用协议、建筑红线图，建筑钉桩图</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各 1 </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当地规划部门的规划意见书</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自然资源、气象条件、地形地貌、水文及工程详细地质勘察报告</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各 1 </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各阶段主管部门的审批意见</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各 1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下一个阶段设计开始 3 天前提供上一个阶段审批意见</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初步设计确认单（含非标准设备设计图开工令）</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施工图设计开始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非标准设备设计确认单（含施工图设计开工令）</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施工图设计开始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工程所在地地形图（1/500）电子版及区域位置图</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施工图设计开始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交通、原料、外部供水、排水、供电、电信等位置、标高、坐标、管径或能力等资料</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初步设计开始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其它设计资料</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各设计阶段设计开始 3 天前</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竣工验收报告</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工程竣工验收通过后 5 天内</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（上表内容仅供参考，发包人和设计人应当根据行业特点及项目具体情况详细列举）</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 3 ：</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设计人向发包人交付的工程设计文件目录</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序号</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资料及文件名称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份数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提交日期</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有关事宜</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初步（基础）设计文件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非标准设备设计文件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施工图设计文件</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天</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特别约定：</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1.在发包人所提供的设计资料（含设计确认单、规划部门批文、政府各部门批文等）能满足设计人进行各阶段设计的前提下开始计算各阶段的设计时间。</w:t>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2.上述设计时间不包括法定的节假日。</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3.图纸交付地点：设计人工作地（或发包人指定地）。发包人要求设计人提供电子版设计文件时，设计人有权对电子版设计文件采取加密、设置访问权限、限期使用等保护措施。</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4.如发包人要求提供超过合同约定份数的工程设计文件，则设计人仍应按发包人的要求提供，但发包人应向设计人支付工本费。</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 4 ：</w:t>
      </w:r>
    </w:p>
    <w:p>
      <w:pPr>
        <w:pStyle w:val="6"/>
        <w:snapToGrid w:val="0"/>
        <w:spacing w:after="0" w:line="240" w:lineRule="atLeas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设计人主要设计人员表</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名   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姓名</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职务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注册执业资格或职称</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承担过的主要项目</w:t>
      </w:r>
    </w:p>
    <w:p>
      <w:pPr>
        <w:pStyle w:val="6"/>
        <w:snapToGrid w:val="0"/>
        <w:spacing w:after="0" w:line="240" w:lineRule="atLeas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一、总部人员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项目主管</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其他人员</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二、项目组成员</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 目 副负责人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工艺专业负责人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土建专业负责人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设备专业负责人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其他专业负责人</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 5 ：</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设计进度表</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 6 ：</w:t>
      </w:r>
    </w:p>
    <w:p>
      <w:pPr>
        <w:pStyle w:val="6"/>
        <w:snapToGrid w:val="0"/>
        <w:spacing w:after="0" w:line="240" w:lineRule="atLeast"/>
        <w:ind w:firstLine="640" w:firstLineChars="200"/>
        <w:jc w:val="left"/>
        <w:outlineLvl w:val="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设计费明细及支付方式</w:t>
      </w:r>
    </w:p>
    <w:p>
      <w:pPr>
        <w:pStyle w:val="6"/>
        <w:snapToGrid w:val="0"/>
        <w:spacing w:after="0" w:line="240" w:lineRule="atLeast"/>
        <w:ind w:firstLine="640" w:firstLineChars="200"/>
        <w:jc w:val="left"/>
        <w:outlineLvl w:val="1"/>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一、设计费总额：</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二、设计费总额构成：</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1.工程设计基本服务费用：固定总价：</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固定单价（实际投资额 × 费率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2.工程设计其他服务费用：</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3.合同签订前设计人已完成工作的费用：</w:t>
      </w:r>
      <w:r>
        <w:rPr>
          <w:rFonts w:hint="eastAsia" w:ascii="方正仿宋_GB2312" w:hAnsi="方正仿宋_GB2312" w:eastAsia="方正仿宋_GB2312" w:cs="方正仿宋_GB2312"/>
          <w:sz w:val="32"/>
          <w:szCs w:val="32"/>
        </w:rPr>
        <w:tab/>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三、设计费明细计算表</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四、设计费支付方式</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1.本合同生效后 7 天内，发包人向设计人支付设计费总额的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 作为定金或预付款，计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元，设计合同履行完毕后，定金或预付款抵作部分设计费。</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2.设计人向发包人提交初步设计文件后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天内，设计人当月向需方开具真实有效的符合税法要求的13%税率的增值税专用发票及收据。因提供发票不符合公司要求和国家规定的，造成的风险和损失由发票提供方承担。发包人向设计人支付设计费总额 的 20%, 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3.设计人向发包人提交主要非标准设备设计文件后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 xml:space="preserve">天内，设计人当月向需方开具真实有效的符合税法要求的13%税率的增值税专用发票及收据。因提供发票不符合公司要求和国家规定的，造成的风险和损失由发票提供方承担。发包人向设计人支付 设计费总额的 15%, 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设计人向发包人提交施工图设计文件后 ，发包人次月向设计人支付设计费总额的30%，计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1.试车（试运行）考核完成后 7 天内，发包人向设计人支付设计费总额的 10%， 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2.工程竣工验收后 7 天内 , 发包人向设计人支付全部剩余设计费，共计 </w:t>
      </w:r>
      <w:r>
        <w:rPr>
          <w:rFonts w:hint="eastAsia" w:ascii="方正仿宋_GB2312" w:hAnsi="方正仿宋_GB2312" w:eastAsia="方正仿宋_GB2312" w:cs="方正仿宋_GB2312"/>
          <w:sz w:val="32"/>
          <w:szCs w:val="32"/>
        </w:rPr>
        <w:tab/>
      </w:r>
      <w:r>
        <w:rPr>
          <w:rFonts w:hint="eastAsia" w:ascii="方正仿宋_GB2312" w:hAnsi="方正仿宋_GB2312" w:eastAsia="方正仿宋_GB2312" w:cs="方正仿宋_GB2312"/>
          <w:sz w:val="32"/>
          <w:szCs w:val="32"/>
        </w:rPr>
        <w:t>元。</w:t>
      </w:r>
    </w:p>
    <w:p>
      <w:pPr>
        <w:pStyle w:val="6"/>
        <w:snapToGrid w:val="0"/>
        <w:spacing w:after="0" w:line="240" w:lineRule="atLeast"/>
        <w:ind w:firstLine="643" w:firstLineChars="200"/>
        <w:jc w:val="left"/>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附件 7 ：</w:t>
      </w:r>
    </w:p>
    <w:p>
      <w:pPr>
        <w:pStyle w:val="6"/>
        <w:snapToGrid w:val="0"/>
        <w:spacing w:after="0" w:line="240" w:lineRule="atLeast"/>
        <w:ind w:firstLine="640" w:firstLineChars="200"/>
        <w:jc w:val="left"/>
        <w:outlineLvl w:val="0"/>
        <w:rPr>
          <w:rFonts w:hint="eastAsia" w:ascii="方正仿宋_GB2312" w:hAnsi="方正仿宋_GB2312" w:eastAsia="方正仿宋_GB2312" w:cs="方正仿宋_GB2312"/>
          <w:sz w:val="32"/>
          <w:szCs w:val="32"/>
        </w:rPr>
      </w:pPr>
      <w:bookmarkStart w:id="14" w:name="_Toc11453"/>
      <w:r>
        <w:rPr>
          <w:rFonts w:hint="eastAsia" w:ascii="方正仿宋_GB2312" w:hAnsi="方正仿宋_GB2312" w:eastAsia="方正仿宋_GB2312" w:cs="方正仿宋_GB2312"/>
          <w:sz w:val="32"/>
          <w:szCs w:val="32"/>
        </w:rPr>
        <w:t>设计变更计费依据和方法</w:t>
      </w:r>
      <w:bookmarkEnd w:id="14"/>
    </w:p>
    <w:p>
      <w:pPr>
        <w:pStyle w:val="2"/>
        <w:spacing w:before="200" w:after="100" w:line="240" w:lineRule="auto"/>
        <w:jc w:val="left"/>
        <w:rPr>
          <w:rFonts w:hint="eastAsia" w:ascii="方正仿宋_GB2312" w:hAnsi="方正仿宋_GB2312" w:eastAsia="方正仿宋_GB2312" w:cs="方正仿宋_GB2312"/>
          <w:b w:val="0"/>
          <w:kern w:val="2"/>
          <w:sz w:val="32"/>
          <w:szCs w:val="36"/>
        </w:rPr>
      </w:pPr>
      <w:bookmarkStart w:id="15" w:name="_Toc25947"/>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pStyle w:val="2"/>
        <w:spacing w:before="200" w:after="100" w:line="240" w:lineRule="auto"/>
        <w:jc w:val="left"/>
        <w:rPr>
          <w:rFonts w:hint="eastAsia" w:ascii="方正仿宋_GB2312" w:hAnsi="方正仿宋_GB2312" w:eastAsia="方正仿宋_GB2312" w:cs="方正仿宋_GB2312"/>
          <w:b w:val="0"/>
          <w:kern w:val="2"/>
          <w:sz w:val="32"/>
          <w:szCs w:val="36"/>
        </w:rPr>
      </w:pPr>
    </w:p>
    <w:p>
      <w:pPr>
        <w:rPr>
          <w:rFonts w:hint="eastAsia" w:ascii="方正仿宋_GB2312" w:hAnsi="方正仿宋_GB2312" w:eastAsia="方正仿宋_GB2312" w:cs="方正仿宋_GB2312"/>
          <w:b w:val="0"/>
          <w:kern w:val="2"/>
          <w:sz w:val="32"/>
          <w:szCs w:val="36"/>
        </w:rPr>
      </w:pPr>
    </w:p>
    <w:p>
      <w:pPr>
        <w:rPr>
          <w:rFonts w:hint="eastAsia" w:ascii="方正仿宋_GB2312" w:hAnsi="方正仿宋_GB2312" w:eastAsia="方正仿宋_GB2312" w:cs="方正仿宋_GB2312"/>
          <w:b w:val="0"/>
          <w:kern w:val="2"/>
          <w:sz w:val="32"/>
          <w:szCs w:val="36"/>
        </w:rPr>
      </w:pPr>
    </w:p>
    <w:p>
      <w:pPr>
        <w:pStyle w:val="2"/>
        <w:spacing w:before="200" w:after="100" w:line="240" w:lineRule="auto"/>
        <w:ind w:firstLine="640" w:firstLineChars="200"/>
        <w:jc w:val="left"/>
        <w:rPr>
          <w:rFonts w:hint="eastAsia" w:ascii="黑体" w:hAnsi="黑体" w:eastAsia="黑体" w:cs="黑体"/>
          <w:b w:val="0"/>
          <w:kern w:val="2"/>
          <w:sz w:val="32"/>
          <w:szCs w:val="36"/>
        </w:rPr>
      </w:pPr>
      <w:r>
        <w:rPr>
          <w:rFonts w:hint="eastAsia" w:ascii="黑体" w:hAnsi="黑体" w:eastAsia="黑体" w:cs="黑体"/>
          <w:b w:val="0"/>
          <w:kern w:val="2"/>
          <w:sz w:val="32"/>
          <w:szCs w:val="36"/>
        </w:rPr>
        <w:t>第四章  评审</w:t>
      </w:r>
      <w:bookmarkEnd w:id="7"/>
      <w:bookmarkEnd w:id="8"/>
      <w:r>
        <w:rPr>
          <w:rFonts w:hint="eastAsia" w:ascii="黑体" w:hAnsi="黑体" w:eastAsia="黑体" w:cs="黑体"/>
          <w:b w:val="0"/>
          <w:kern w:val="2"/>
          <w:sz w:val="32"/>
          <w:szCs w:val="36"/>
        </w:rPr>
        <w:t>方法</w:t>
      </w:r>
    </w:p>
    <w:p>
      <w:pPr>
        <w:pStyle w:val="2"/>
        <w:spacing w:before="200" w:after="100" w:line="240" w:lineRule="auto"/>
        <w:ind w:firstLine="640" w:firstLineChars="200"/>
        <w:jc w:val="left"/>
        <w:rPr>
          <w:rFonts w:hint="eastAsia" w:ascii="方正仿宋_GB2312" w:hAnsi="方正仿宋_GB2312" w:eastAsia="方正仿宋_GB2312" w:cs="方正仿宋_GB2312"/>
          <w:b w:val="0"/>
          <w:kern w:val="2"/>
          <w:sz w:val="32"/>
          <w:szCs w:val="32"/>
        </w:rPr>
      </w:pPr>
      <w:r>
        <w:rPr>
          <w:rFonts w:hint="eastAsia" w:ascii="方正仿宋_GB2312" w:hAnsi="方正仿宋_GB2312" w:eastAsia="方正仿宋_GB2312" w:cs="方正仿宋_GB2312"/>
          <w:b w:val="0"/>
          <w:bCs w:val="0"/>
          <w:sz w:val="32"/>
          <w:szCs w:val="32"/>
        </w:rPr>
        <w:t>一、总则：</w:t>
      </w:r>
      <w:bookmarkEnd w:id="15"/>
    </w:p>
    <w:p>
      <w:pPr>
        <w:widowControl/>
        <w:spacing w:line="560" w:lineRule="exact"/>
        <w:ind w:firstLine="640" w:firstLineChars="200"/>
        <w:jc w:val="left"/>
        <w:rPr>
          <w:rFonts w:hint="eastAsia" w:ascii="方正仿宋_GB2312" w:hAnsi="方正仿宋_GB2312" w:eastAsia="方正仿宋_GB2312" w:cs="方正仿宋_GB2312"/>
          <w:bCs/>
          <w:sz w:val="32"/>
          <w:szCs w:val="32"/>
          <w:shd w:val="clear" w:color="auto" w:fill="FFFFFF"/>
        </w:rPr>
      </w:pPr>
      <w:r>
        <w:rPr>
          <w:rFonts w:hint="eastAsia" w:ascii="方正仿宋_GB2312" w:hAnsi="方正仿宋_GB2312" w:eastAsia="方正仿宋_GB2312" w:cs="方正仿宋_GB2312"/>
          <w:bCs/>
          <w:sz w:val="32"/>
          <w:szCs w:val="32"/>
          <w:shd w:val="clear" w:color="auto" w:fill="FFFFFF"/>
        </w:rPr>
        <w:t xml:space="preserve">评审采用“综合评标法”。评审小组依据采购文件中的标准、办法对投标人的响应文件进行评审。 </w:t>
      </w:r>
    </w:p>
    <w:p>
      <w:pPr>
        <w:widowControl/>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二、评审方式：</w:t>
      </w:r>
    </w:p>
    <w:p>
      <w:pPr>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sz w:val="32"/>
          <w:szCs w:val="32"/>
        </w:rPr>
        <w:t>评委构成：由采购人依法组建的谈判小组负责。谈判小组人数为3人以上单数（包含3人）</w:t>
      </w:r>
    </w:p>
    <w:p>
      <w:pPr>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评审小组对商务部分和技术部分进行综合评审，评审小组将采用百分制打分的方式，按得分排名；</w:t>
      </w:r>
    </w:p>
    <w:p>
      <w:pPr>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评审小组成员打分的分值应在规定范围内，高于或低于该范围为无效打分。</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评审依据：评委将以响应文件为评审依据，对供应商的响应报价、商务、技术等方面内容进行综合评审。</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b/>
          <w:bCs/>
          <w:sz w:val="32"/>
          <w:szCs w:val="32"/>
        </w:rPr>
        <w:t>供应商出现下列情形之一的，其响应将作为否决响应处理</w:t>
      </w:r>
      <w:r>
        <w:rPr>
          <w:rFonts w:hint="eastAsia" w:ascii="方正仿宋_GB2312" w:hAnsi="方正仿宋_GB2312" w:eastAsia="方正仿宋_GB2312" w:cs="方正仿宋_GB2312"/>
          <w:sz w:val="32"/>
          <w:szCs w:val="32"/>
        </w:rPr>
        <w:t>：</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(1)</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单位负责人为同一人或者存在控股、管理关系的不同单位，参加同一标段（包件）或者未划分标段（包件）的同一采购项目响应；</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(2)</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供应商未提交投标保证金或投标保证金金额不足、投标保证金的形式、投标保证金的有效期不符合文件要求；</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(3)</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响应文件中未按谈判文件要求加盖单位公章或法定代表人或法定代表人授权人签字或盖章的（谈判文件规定的签字或盖章之处）；或签字人无法定代表人有效授权书；</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(4)</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未提供资格证明文件、资格证明文件不全、提供虚假材料或不符合国家或者谈判文件规定的资格条件；</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(5)</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同一供应商递交两份或多份内容不同的响应文件，或在一份响应文件中对同一采购项目报有两个或多个报价，且未声明哪一个有效；</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(6)</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响应报价高于谈判文件设定的最高响应限价（单价和总价均不允许超过）；</w:t>
      </w:r>
    </w:p>
    <w:p>
      <w:pPr>
        <w:tabs>
          <w:tab w:val="left" w:pos="851"/>
        </w:tabs>
        <w:spacing w:line="560" w:lineRule="exact"/>
        <w:ind w:firstLine="640" w:firstLineChars="200"/>
        <w:jc w:val="left"/>
        <w:outlineLvl w:val="1"/>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(7)</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响应文件没有对谈判文件的实质性要求和条件作出响应；</w:t>
      </w:r>
    </w:p>
    <w:p>
      <w:pPr>
        <w:tabs>
          <w:tab w:val="left" w:pos="851"/>
        </w:tabs>
        <w:spacing w:line="560" w:lineRule="exact"/>
        <w:ind w:firstLine="640" w:firstLineChars="20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(8)</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未按规定的格式填写，内容不全或关键字迹模糊、无法辨认；</w:t>
      </w:r>
    </w:p>
    <w:p>
      <w:pPr>
        <w:tabs>
          <w:tab w:val="left" w:pos="851"/>
        </w:tabs>
        <w:spacing w:line="560" w:lineRule="exact"/>
        <w:ind w:firstLine="640" w:firstLineChars="200"/>
        <w:jc w:val="left"/>
        <w:outlineLvl w:val="1"/>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(9)</w:t>
      </w:r>
      <w:r>
        <w:rPr>
          <w:rFonts w:hint="eastAsia" w:ascii="方正仿宋_GB2312" w:hAnsi="方正仿宋_GB2312" w:eastAsia="方正仿宋_GB2312" w:cs="方正仿宋_GB2312"/>
          <w:bCs/>
          <w:sz w:val="32"/>
          <w:szCs w:val="32"/>
        </w:rPr>
        <w:tab/>
      </w:r>
      <w:r>
        <w:rPr>
          <w:rFonts w:hint="eastAsia" w:ascii="方正仿宋_GB2312" w:hAnsi="方正仿宋_GB2312" w:eastAsia="方正仿宋_GB2312" w:cs="方正仿宋_GB2312"/>
          <w:bCs/>
          <w:sz w:val="32"/>
          <w:szCs w:val="32"/>
        </w:rPr>
        <w:t>供应商有串通响应、弄虚作假、行贿等违法行为</w:t>
      </w:r>
    </w:p>
    <w:p>
      <w:pPr>
        <w:tabs>
          <w:tab w:val="left" w:pos="851"/>
        </w:tabs>
        <w:spacing w:line="560" w:lineRule="exact"/>
        <w:ind w:firstLine="643" w:firstLineChars="200"/>
        <w:jc w:val="left"/>
        <w:outlineLvl w:val="1"/>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四、澄清</w:t>
      </w:r>
    </w:p>
    <w:p>
      <w:pPr>
        <w:spacing w:line="560" w:lineRule="exact"/>
        <w:ind w:firstLine="640" w:firstLineChars="200"/>
        <w:jc w:val="left"/>
        <w:rPr>
          <w:rFonts w:hint="eastAsia" w:ascii="方正仿宋_GB2312" w:hAnsi="方正仿宋_GB2312" w:eastAsia="方正仿宋_GB2312" w:cs="方正仿宋_GB2312"/>
          <w:bCs/>
          <w:sz w:val="32"/>
          <w:szCs w:val="32"/>
          <w:shd w:val="clear" w:color="auto" w:fill="FFFFFF"/>
        </w:rPr>
      </w:pPr>
      <w:r>
        <w:rPr>
          <w:rFonts w:hint="eastAsia" w:ascii="方正仿宋_GB2312" w:hAnsi="方正仿宋_GB2312" w:eastAsia="方正仿宋_GB2312" w:cs="方正仿宋_GB2312"/>
          <w:sz w:val="32"/>
          <w:szCs w:val="32"/>
        </w:rPr>
        <w:t>评标小组对于投标文件中含义不明确、同类问题表述不一致或者有明显文字和计算错误的内容，评标小组可以书面要求投标人在规定的时限内作出必要的澄清、说明或者补正，投标人的澄清、说明或者补正应当采用书面形式，由其法定代表人或其授权代表人签字，并不得超出投标文件的范围或者改变投标文件的实质性内容。投标人拒不进行澄清、说明、补正的，或者不能在规定时间内作出书面澄清、说明、补正的，其开标将被作为无效开标处理。</w:t>
      </w:r>
      <w:r>
        <w:rPr>
          <w:rFonts w:hint="eastAsia" w:ascii="方正仿宋_GB2312" w:hAnsi="方正仿宋_GB2312" w:eastAsia="方正仿宋_GB2312" w:cs="方正仿宋_GB2312"/>
          <w:bCs/>
          <w:sz w:val="32"/>
          <w:szCs w:val="32"/>
          <w:shd w:val="clear" w:color="auto" w:fill="FFFFFF"/>
        </w:rPr>
        <w:t>五、评审方法：评分标准如下：价格部分、商务部分和技术部分按百分制打分，</w:t>
      </w:r>
      <w:r>
        <w:rPr>
          <w:rFonts w:hint="eastAsia" w:ascii="方正仿宋_GB2312" w:hAnsi="方正仿宋_GB2312" w:eastAsia="方正仿宋_GB2312" w:cs="方正仿宋_GB2312"/>
          <w:bCs/>
          <w:sz w:val="32"/>
          <w:szCs w:val="32"/>
        </w:rPr>
        <w:t>按四舍五入取至小数点后两位</w:t>
      </w:r>
    </w:p>
    <w:p>
      <w:pPr>
        <w:pStyle w:val="25"/>
        <w:widowControl/>
        <w:numPr>
          <w:ilvl w:val="0"/>
          <w:numId w:val="6"/>
        </w:numPr>
        <w:spacing w:line="560" w:lineRule="exact"/>
        <w:ind w:left="0" w:firstLine="480"/>
        <w:jc w:val="left"/>
        <w:rPr>
          <w:rFonts w:hint="eastAsia" w:ascii="方正仿宋_GB2312" w:hAnsi="方正仿宋_GB2312" w:eastAsia="方正仿宋_GB2312" w:cs="方正仿宋_GB2312"/>
          <w:bCs/>
          <w:sz w:val="32"/>
          <w:szCs w:val="32"/>
          <w:shd w:val="clear" w:color="auto" w:fill="FFFFFF"/>
        </w:rPr>
      </w:pPr>
      <w:r>
        <w:rPr>
          <w:rFonts w:hint="eastAsia" w:ascii="方正仿宋_GB2312" w:hAnsi="方正仿宋_GB2312" w:eastAsia="方正仿宋_GB2312" w:cs="方正仿宋_GB2312"/>
          <w:bCs/>
          <w:sz w:val="32"/>
          <w:szCs w:val="32"/>
          <w:shd w:val="clear" w:color="auto" w:fill="FFFFFF"/>
        </w:rPr>
        <w:t>价格部分（50分）</w:t>
      </w:r>
    </w:p>
    <w:tbl>
      <w:tblPr>
        <w:tblStyle w:val="1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同等条件报价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50</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ind w:firstLine="640" w:firstLineChars="200"/>
              <w:jc w:val="left"/>
              <w:rPr>
                <w:rFonts w:hint="eastAsia" w:ascii="方正仿宋_GB2312" w:hAnsi="方正仿宋_GB2312" w:eastAsia="方正仿宋_GB2312" w:cs="方正仿宋_GB2312"/>
                <w:bCs/>
                <w:color w:val="auto"/>
                <w:kern w:val="0"/>
                <w:sz w:val="32"/>
                <w:szCs w:val="32"/>
                <w:shd w:val="clear" w:color="auto" w:fill="auto"/>
              </w:rPr>
            </w:pPr>
            <w:permStart w:id="0" w:edGrp="everyone"/>
            <w:r>
              <w:rPr>
                <w:rFonts w:hint="eastAsia" w:ascii="方正仿宋_GB2312" w:hAnsi="方正仿宋_GB2312" w:eastAsia="方正仿宋_GB2312" w:cs="方正仿宋_GB2312"/>
                <w:bCs/>
                <w:color w:val="auto"/>
                <w:kern w:val="0"/>
                <w:sz w:val="32"/>
                <w:szCs w:val="32"/>
                <w:shd w:val="clear" w:color="auto" w:fill="auto"/>
              </w:rPr>
              <w:t>投标最低报价得满分，其他供应商投标报价:</w:t>
            </w:r>
          </w:p>
          <w:p>
            <w:pPr>
              <w:widowControl/>
              <w:numPr>
                <w:ilvl w:val="0"/>
                <w:numId w:val="7"/>
              </w:numPr>
              <w:snapToGrid w:val="0"/>
              <w:spacing w:line="240" w:lineRule="atLeast"/>
              <w:ind w:firstLine="640" w:firstLineChars="200"/>
              <w:jc w:val="left"/>
              <w:rPr>
                <w:rFonts w:hint="eastAsia" w:ascii="方正仿宋_GB2312" w:hAnsi="方正仿宋_GB2312" w:eastAsia="方正仿宋_GB2312" w:cs="方正仿宋_GB2312"/>
                <w:bCs/>
                <w:color w:val="auto"/>
                <w:kern w:val="0"/>
                <w:sz w:val="32"/>
                <w:szCs w:val="32"/>
                <w:shd w:val="clear" w:color="auto" w:fill="auto"/>
              </w:rPr>
            </w:pPr>
            <w:r>
              <w:rPr>
                <w:rFonts w:hint="eastAsia" w:ascii="方正仿宋_GB2312" w:hAnsi="方正仿宋_GB2312" w:eastAsia="方正仿宋_GB2312" w:cs="方正仿宋_GB2312"/>
                <w:bCs/>
                <w:color w:val="auto"/>
                <w:kern w:val="0"/>
                <w:sz w:val="32"/>
                <w:szCs w:val="32"/>
                <w:shd w:val="clear" w:color="auto" w:fill="auto"/>
              </w:rPr>
              <w:t>高于最低报价1%以下的，每高1%扣0.5分；</w:t>
            </w:r>
          </w:p>
          <w:p>
            <w:pPr>
              <w:widowControl/>
              <w:numPr>
                <w:ilvl w:val="0"/>
                <w:numId w:val="7"/>
              </w:numPr>
              <w:snapToGrid w:val="0"/>
              <w:spacing w:line="240" w:lineRule="atLeast"/>
              <w:ind w:firstLine="640" w:firstLineChars="200"/>
              <w:jc w:val="left"/>
              <w:rPr>
                <w:rFonts w:hint="eastAsia" w:ascii="方正仿宋_GB2312" w:hAnsi="方正仿宋_GB2312" w:eastAsia="方正仿宋_GB2312" w:cs="方正仿宋_GB2312"/>
                <w:bCs/>
                <w:color w:val="auto"/>
                <w:kern w:val="0"/>
                <w:sz w:val="32"/>
                <w:szCs w:val="32"/>
                <w:shd w:val="clear" w:color="auto" w:fill="auto"/>
              </w:rPr>
            </w:pPr>
            <w:r>
              <w:rPr>
                <w:rFonts w:hint="eastAsia" w:ascii="方正仿宋_GB2312" w:hAnsi="方正仿宋_GB2312" w:eastAsia="方正仿宋_GB2312" w:cs="方正仿宋_GB2312"/>
                <w:bCs/>
                <w:color w:val="auto"/>
                <w:kern w:val="0"/>
                <w:sz w:val="32"/>
                <w:szCs w:val="32"/>
                <w:shd w:val="clear" w:color="auto" w:fill="auto"/>
              </w:rPr>
              <w:t>高于最低报价1%-2%的，每高1%扣1分；</w:t>
            </w:r>
          </w:p>
          <w:p>
            <w:pPr>
              <w:widowControl/>
              <w:numPr>
                <w:ilvl w:val="0"/>
                <w:numId w:val="7"/>
              </w:numPr>
              <w:snapToGrid w:val="0"/>
              <w:spacing w:line="240" w:lineRule="atLeast"/>
              <w:ind w:firstLine="640" w:firstLineChars="200"/>
              <w:jc w:val="left"/>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shd w:val="clear" w:color="auto" w:fill="auto"/>
              </w:rPr>
              <w:t>高于最低报价2%以上的，每高1%扣1.5分；</w:t>
            </w:r>
            <w:permEnd w:id="0"/>
          </w:p>
        </w:tc>
      </w:tr>
    </w:tbl>
    <w:p>
      <w:pPr>
        <w:widowControl/>
        <w:spacing w:line="560" w:lineRule="exact"/>
        <w:ind w:firstLine="640" w:firstLineChars="200"/>
        <w:jc w:val="left"/>
        <w:rPr>
          <w:rFonts w:hint="eastAsia" w:ascii="方正仿宋_GB2312" w:hAnsi="方正仿宋_GB2312" w:eastAsia="方正仿宋_GB2312" w:cs="方正仿宋_GB2312"/>
          <w:bCs/>
          <w:sz w:val="32"/>
          <w:szCs w:val="32"/>
          <w:shd w:val="clear" w:color="auto" w:fill="FFFFFF"/>
        </w:rPr>
      </w:pPr>
      <w:r>
        <w:rPr>
          <w:rFonts w:hint="eastAsia" w:ascii="方正仿宋_GB2312" w:hAnsi="方正仿宋_GB2312" w:eastAsia="方正仿宋_GB2312" w:cs="方正仿宋_GB2312"/>
          <w:bCs/>
          <w:sz w:val="32"/>
          <w:szCs w:val="32"/>
          <w:shd w:val="clear" w:color="auto" w:fill="FFFFFF"/>
        </w:rPr>
        <w:t>（2）商务部分（10分）</w:t>
      </w:r>
    </w:p>
    <w:tbl>
      <w:tblPr>
        <w:tblStyle w:val="1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59"/>
        <w:gridCol w:w="851"/>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评价类别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分值</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580" w:lineRule="exac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服务业绩</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5</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8"/>
              </w:numPr>
              <w:snapToGrid w:val="0"/>
              <w:spacing w:line="240" w:lineRule="atLeast"/>
              <w:jc w:val="left"/>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sz w:val="32"/>
                <w:szCs w:val="32"/>
              </w:rPr>
              <w:t>完成的业绩</w:t>
            </w:r>
            <w:r>
              <w:rPr>
                <w:rFonts w:hint="eastAsia" w:ascii="方正仿宋_GB2312" w:hAnsi="方正仿宋_GB2312" w:eastAsia="方正仿宋_GB2312" w:cs="方正仿宋_GB2312"/>
                <w:bCs/>
                <w:color w:val="auto"/>
                <w:kern w:val="0"/>
                <w:sz w:val="32"/>
                <w:szCs w:val="32"/>
              </w:rPr>
              <w:t>，提供三个及以上的得5分，提供不足三个业绩的不得分。提供的业绩均须以服务合同或中标通知书为准。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000000"/>
                <w:kern w:val="0"/>
                <w:sz w:val="32"/>
                <w:szCs w:val="32"/>
              </w:rPr>
            </w:pPr>
            <w:r>
              <w:rPr>
                <w:rFonts w:hint="eastAsia" w:ascii="方正仿宋_GB2312" w:hAnsi="方正仿宋_GB2312" w:eastAsia="方正仿宋_GB2312" w:cs="方正仿宋_GB2312"/>
                <w:bCs/>
                <w:color w:val="000000"/>
                <w:kern w:val="0"/>
                <w:sz w:val="32"/>
                <w:szCs w:val="32"/>
              </w:rPr>
              <w:t>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highlight w:val="none"/>
              </w:rPr>
            </w:pPr>
            <w:r>
              <w:rPr>
                <w:rFonts w:hint="eastAsia" w:ascii="方正仿宋_GB2312" w:hAnsi="方正仿宋_GB2312" w:eastAsia="方正仿宋_GB2312" w:cs="方正仿宋_GB2312"/>
                <w:bCs/>
                <w:color w:val="auto"/>
                <w:kern w:val="0"/>
                <w:sz w:val="32"/>
                <w:szCs w:val="32"/>
                <w:highlight w:val="none"/>
              </w:rPr>
              <w:t>质量体系等证书</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center"/>
              <w:rPr>
                <w:rFonts w:hint="eastAsia" w:ascii="方正仿宋_GB2312" w:hAnsi="方正仿宋_GB2312" w:eastAsia="方正仿宋_GB2312" w:cs="方正仿宋_GB2312"/>
                <w:bCs/>
                <w:color w:val="auto"/>
                <w:kern w:val="0"/>
                <w:sz w:val="32"/>
                <w:szCs w:val="32"/>
                <w:highlight w:val="none"/>
              </w:rPr>
            </w:pPr>
            <w:r>
              <w:rPr>
                <w:rFonts w:hint="eastAsia" w:ascii="方正仿宋_GB2312" w:hAnsi="方正仿宋_GB2312" w:eastAsia="方正仿宋_GB2312" w:cs="方正仿宋_GB2312"/>
                <w:bCs/>
                <w:color w:val="auto"/>
                <w:kern w:val="0"/>
                <w:sz w:val="32"/>
                <w:szCs w:val="32"/>
                <w:highlight w:val="none"/>
              </w:rPr>
              <w:t>5</w:t>
            </w:r>
          </w:p>
        </w:tc>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tLeast"/>
              <w:jc w:val="left"/>
              <w:rPr>
                <w:rFonts w:hint="eastAsia" w:ascii="方正仿宋_GB2312" w:hAnsi="方正仿宋_GB2312" w:eastAsia="方正仿宋_GB2312" w:cs="方正仿宋_GB2312"/>
                <w:bCs/>
                <w:color w:val="auto"/>
                <w:sz w:val="32"/>
                <w:szCs w:val="32"/>
                <w:highlight w:val="none"/>
              </w:rPr>
            </w:pPr>
            <w:r>
              <w:rPr>
                <w:rFonts w:hint="eastAsia" w:ascii="方正仿宋_GB2312" w:hAnsi="方正仿宋_GB2312" w:eastAsia="方正仿宋_GB2312" w:cs="方正仿宋_GB2312"/>
                <w:snapToGrid w:val="0"/>
                <w:color w:val="auto"/>
                <w:sz w:val="32"/>
                <w:szCs w:val="32"/>
                <w:highlight w:val="none"/>
                <w:shd w:val="clear" w:color="auto" w:fill="auto"/>
              </w:rPr>
              <w:t>具有质量管理体系证书得3分，每增加一个体系证书加1分，最多得5分；</w:t>
            </w:r>
          </w:p>
        </w:tc>
      </w:tr>
    </w:tbl>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（3）技术部分（40分）</w:t>
      </w:r>
    </w:p>
    <w:tbl>
      <w:tblPr>
        <w:tblStyle w:val="17"/>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621"/>
        <w:gridCol w:w="821"/>
        <w:gridCol w:w="6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评价类别</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分值</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bCs/>
                <w:color w:val="auto"/>
                <w:kern w:val="0"/>
                <w:sz w:val="32"/>
                <w:szCs w:val="32"/>
              </w:rPr>
            </w:pPr>
            <w:r>
              <w:rPr>
                <w:rFonts w:hint="eastAsia" w:ascii="方正仿宋_GB2312" w:hAnsi="方正仿宋_GB2312" w:eastAsia="方正仿宋_GB2312" w:cs="方正仿宋_GB2312"/>
                <w:bCs/>
                <w:color w:val="auto"/>
                <w:kern w:val="0"/>
                <w:sz w:val="32"/>
                <w:szCs w:val="32"/>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设计思路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9</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rPr>
                <w:rFonts w:hint="eastAsia" w:ascii="方正仿宋_GB2312" w:hAnsi="方正仿宋_GB2312" w:eastAsia="方正仿宋_GB2312" w:cs="方正仿宋_GB2312"/>
                <w:snapToGrid w:val="0"/>
                <w:color w:val="auto"/>
                <w:sz w:val="32"/>
                <w:szCs w:val="32"/>
              </w:rPr>
            </w:pPr>
            <w:r>
              <w:rPr>
                <w:rFonts w:hint="eastAsia" w:ascii="方正仿宋_GB2312" w:hAnsi="方正仿宋_GB2312" w:eastAsia="方正仿宋_GB2312" w:cs="方正仿宋_GB2312"/>
                <w:snapToGrid w:val="0"/>
                <w:color w:val="auto"/>
                <w:sz w:val="32"/>
                <w:szCs w:val="32"/>
              </w:rPr>
              <w:t>对本项目设计理念理解到位，后续设计思路清楚、合理、针对性强，6-9分（不含6分）；对本项目设计理念理解基本到位，后续设计思路可行，针对性一般，3-6分（不含3分）；对本项目设计理念理解存在偏差，后续设计思路欠合理，针对性较差，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设计方案及图纸</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9</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jc w:val="both"/>
              <w:rPr>
                <w:rFonts w:hint="eastAsia" w:ascii="方正仿宋_GB2312" w:hAnsi="方正仿宋_GB2312" w:eastAsia="方正仿宋_GB2312" w:cs="方正仿宋_GB2312"/>
                <w:snapToGrid w:val="0"/>
                <w:color w:val="auto"/>
                <w:sz w:val="32"/>
                <w:szCs w:val="32"/>
              </w:rPr>
            </w:pPr>
            <w:r>
              <w:rPr>
                <w:rFonts w:hint="eastAsia" w:ascii="方正仿宋_GB2312" w:hAnsi="方正仿宋_GB2312" w:eastAsia="方正仿宋_GB2312" w:cs="方正仿宋_GB2312"/>
                <w:snapToGrid w:val="0"/>
                <w:color w:val="auto"/>
                <w:sz w:val="32"/>
                <w:szCs w:val="32"/>
              </w:rPr>
              <w:t>对设计方案及图纸考虑全面，不漏项，专业性、针对性、操作可行、项目特点、难点分析非常准确：6-9分（不含6分）；对设计方案及图纸考虑较为全面，基本不漏项，专业性、针对性、系统性 较强，操作可行性较强，项目特点、难点分析较为准确：3-6分（不含3分）；对设计方案及图纸考虑基本周全，有一定的专业性、针对性、系统性，基本具备可行性，项目特点、难点分析具有准确性：得0-3分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3</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配合服务措施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5</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jc w:val="both"/>
              <w:rPr>
                <w:rFonts w:hint="eastAsia" w:ascii="方正仿宋_GB2312" w:hAnsi="方正仿宋_GB2312" w:eastAsia="方正仿宋_GB2312" w:cs="方正仿宋_GB2312"/>
                <w:snapToGrid w:val="0"/>
                <w:color w:val="auto"/>
                <w:sz w:val="32"/>
                <w:szCs w:val="32"/>
              </w:rPr>
            </w:pPr>
            <w:r>
              <w:rPr>
                <w:rFonts w:hint="eastAsia" w:ascii="方正仿宋_GB2312" w:hAnsi="方正仿宋_GB2312" w:eastAsia="方正仿宋_GB2312" w:cs="方正仿宋_GB2312"/>
                <w:snapToGrid w:val="0"/>
                <w:color w:val="auto"/>
                <w:sz w:val="32"/>
                <w:szCs w:val="32"/>
              </w:rPr>
              <w:t>配合工作的各项措施到位，承诺内容具体、实操性强，得3-5分（不含3分）；配合工作的各项措施承诺内容一般，得0-3分（不含0分）；不满足上述要求的，得0分。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rPr>
              <w:t>设计质量保证措施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shd w:val="clear" w:color="auto" w:fill="auto"/>
              </w:rPr>
            </w:pPr>
            <w:r>
              <w:rPr>
                <w:rFonts w:hint="eastAsia" w:ascii="方正仿宋_GB2312" w:hAnsi="方正仿宋_GB2312" w:eastAsia="方正仿宋_GB2312" w:cs="方正仿宋_GB2312"/>
                <w:color w:val="auto"/>
                <w:kern w:val="0"/>
                <w:sz w:val="32"/>
                <w:szCs w:val="32"/>
                <w:shd w:val="clear" w:color="auto" w:fill="auto"/>
              </w:rPr>
              <w:t>5</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jc w:val="both"/>
              <w:rPr>
                <w:rFonts w:hint="eastAsia" w:ascii="方正仿宋_GB2312" w:hAnsi="方正仿宋_GB2312" w:eastAsia="方正仿宋_GB2312" w:cs="方正仿宋_GB2312"/>
                <w:snapToGrid w:val="0"/>
                <w:color w:val="auto"/>
                <w:sz w:val="32"/>
                <w:szCs w:val="32"/>
                <w:shd w:val="clear" w:color="auto" w:fill="auto"/>
              </w:rPr>
            </w:pPr>
            <w:r>
              <w:rPr>
                <w:rFonts w:hint="eastAsia" w:ascii="方正仿宋_GB2312" w:hAnsi="方正仿宋_GB2312" w:eastAsia="方正仿宋_GB2312" w:cs="方正仿宋_GB2312"/>
                <w:snapToGrid w:val="0"/>
                <w:color w:val="auto"/>
                <w:sz w:val="32"/>
                <w:szCs w:val="32"/>
                <w:shd w:val="clear" w:color="auto" w:fill="auto"/>
              </w:rPr>
              <w:t>工作质量控制机制健全，设计过程质量控制措施全面、高效，得3-5分（不含3分）；质量控制措施一般，得1-3分（不含1分）；质量控制措施较差，得0-1分。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rPr>
              <w:t>设计进度保障措施</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shd w:val="clear" w:color="auto" w:fill="auto"/>
              </w:rPr>
            </w:pPr>
            <w:r>
              <w:rPr>
                <w:rFonts w:hint="eastAsia" w:ascii="方正仿宋_GB2312" w:hAnsi="方正仿宋_GB2312" w:eastAsia="方正仿宋_GB2312" w:cs="方正仿宋_GB2312"/>
                <w:color w:val="auto"/>
                <w:kern w:val="0"/>
                <w:sz w:val="32"/>
                <w:szCs w:val="32"/>
                <w:shd w:val="clear" w:color="auto" w:fill="auto"/>
              </w:rPr>
              <w:t>6</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jc w:val="both"/>
              <w:rPr>
                <w:rFonts w:hint="eastAsia" w:ascii="方正仿宋_GB2312" w:hAnsi="方正仿宋_GB2312" w:eastAsia="方正仿宋_GB2312" w:cs="方正仿宋_GB2312"/>
                <w:snapToGrid w:val="0"/>
                <w:color w:val="auto"/>
                <w:sz w:val="32"/>
                <w:szCs w:val="32"/>
                <w:shd w:val="clear" w:color="auto" w:fill="auto"/>
              </w:rPr>
            </w:pPr>
            <w:r>
              <w:rPr>
                <w:rFonts w:hint="eastAsia" w:ascii="方正仿宋_GB2312" w:hAnsi="方正仿宋_GB2312" w:eastAsia="方正仿宋_GB2312" w:cs="方正仿宋_GB2312"/>
                <w:snapToGrid w:val="0"/>
                <w:color w:val="auto"/>
                <w:sz w:val="32"/>
                <w:szCs w:val="32"/>
                <w:shd w:val="clear" w:color="auto" w:fill="auto"/>
              </w:rPr>
              <w:t>设计进度计划控制机制健全，设计进度计划控制措施全面、高效，得3-6分（不含3分）；进度计划措施一般，得1-3分（不含1分），进度计划措施较差，得0-1分。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sz w:val="32"/>
                <w:szCs w:val="32"/>
                <w:shd w:val="clear" w:color="auto" w:fill="auto"/>
              </w:rPr>
            </w:pPr>
            <w:r>
              <w:rPr>
                <w:rFonts w:hint="eastAsia" w:ascii="方正仿宋_GB2312" w:hAnsi="方正仿宋_GB2312" w:eastAsia="方正仿宋_GB2312" w:cs="方正仿宋_GB2312"/>
                <w:color w:val="auto"/>
                <w:sz w:val="32"/>
                <w:szCs w:val="32"/>
                <w:shd w:val="clear" w:color="auto" w:fill="auto"/>
              </w:rPr>
              <w:t>本项目设计的重点、难点分析</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仿宋_GB2312" w:hAnsi="方正仿宋_GB2312" w:eastAsia="方正仿宋_GB2312" w:cs="方正仿宋_GB2312"/>
                <w:color w:val="auto"/>
                <w:kern w:val="0"/>
                <w:sz w:val="32"/>
                <w:szCs w:val="32"/>
                <w:shd w:val="clear" w:color="auto" w:fill="auto"/>
              </w:rPr>
            </w:pPr>
            <w:r>
              <w:rPr>
                <w:rFonts w:hint="eastAsia" w:ascii="方正仿宋_GB2312" w:hAnsi="方正仿宋_GB2312" w:eastAsia="方正仿宋_GB2312" w:cs="方正仿宋_GB2312"/>
                <w:color w:val="auto"/>
                <w:kern w:val="0"/>
                <w:sz w:val="32"/>
                <w:szCs w:val="32"/>
                <w:shd w:val="clear" w:color="auto" w:fill="auto"/>
              </w:rPr>
              <w:t>6</w:t>
            </w:r>
          </w:p>
        </w:tc>
        <w:tc>
          <w:tcPr>
            <w:tcW w:w="60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widowControl/>
              <w:adjustRightInd w:val="0"/>
              <w:snapToGrid w:val="0"/>
              <w:jc w:val="both"/>
              <w:rPr>
                <w:rFonts w:hint="eastAsia" w:ascii="方正仿宋_GB2312" w:hAnsi="方正仿宋_GB2312" w:eastAsia="方正仿宋_GB2312" w:cs="方正仿宋_GB2312"/>
                <w:snapToGrid w:val="0"/>
                <w:color w:val="auto"/>
                <w:sz w:val="32"/>
                <w:szCs w:val="32"/>
                <w:shd w:val="clear" w:color="auto" w:fill="auto"/>
              </w:rPr>
            </w:pPr>
            <w:r>
              <w:rPr>
                <w:rFonts w:hint="eastAsia" w:ascii="方正仿宋_GB2312" w:hAnsi="方正仿宋_GB2312" w:eastAsia="方正仿宋_GB2312" w:cs="方正仿宋_GB2312"/>
                <w:snapToGrid w:val="0"/>
                <w:color w:val="auto"/>
                <w:sz w:val="32"/>
                <w:szCs w:val="32"/>
                <w:shd w:val="clear" w:color="auto" w:fill="auto"/>
              </w:rPr>
              <w:t>对重点、难点部位分析全面、思路清晰、详细、针对性强，采取的方法得当，得4-6分（不含4分）；重点、难点部位分析不全面、思路较简单、采取的方法一般，得1-4分（不含1分）；不满足上述要求的，得0-1分。</w:t>
            </w:r>
          </w:p>
        </w:tc>
      </w:tr>
    </w:tbl>
    <w:p>
      <w:pPr>
        <w:spacing w:line="560" w:lineRule="exact"/>
        <w:ind w:firstLine="640" w:firstLineChars="200"/>
        <w:jc w:val="left"/>
        <w:outlineLvl w:val="2"/>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二、推荐入围单位</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（1）按评审得分由高到低顺序排列。得分相同的，按评标价由低到高顺序排列。得分且评标价相同的，按技术指标优劣顺序排列。得分、评标价及技术指标相同的，由评标委员会集体研究处理。</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（2）评审中遇到的其它问题，由评标小组集体研究处理。</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bCs/>
          <w:sz w:val="32"/>
          <w:szCs w:val="32"/>
        </w:rPr>
        <w:t>评标小组根据评标专家评分及签字的会议纪要，推荐入围单位。</w:t>
      </w: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bCs/>
          <w:sz w:val="32"/>
          <w:szCs w:val="32"/>
        </w:rPr>
        <w:t>中标单位的确定</w:t>
      </w:r>
    </w:p>
    <w:p>
      <w:pPr>
        <w:spacing w:line="560" w:lineRule="exact"/>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招标方谈判小组根据综合评分情况初步确定入围单位，并将评标结果按审批流程报批。</w:t>
      </w:r>
    </w:p>
    <w:p>
      <w:pPr>
        <w:spacing w:line="360" w:lineRule="auto"/>
        <w:ind w:firstLine="480"/>
        <w:jc w:val="left"/>
        <w:rPr>
          <w:rFonts w:hint="eastAsia" w:ascii="黑体" w:hAnsi="黑体" w:eastAsia="黑体" w:cs="黑体"/>
          <w:sz w:val="32"/>
          <w:szCs w:val="32"/>
          <w:shd w:val="clear" w:color="auto" w:fill="FFFFFF"/>
        </w:rPr>
      </w:pPr>
      <w:r>
        <w:rPr>
          <w:rFonts w:hint="eastAsia" w:ascii="方正仿宋_GB2312" w:hAnsi="方正仿宋_GB2312" w:eastAsia="方正仿宋_GB2312" w:cs="方正仿宋_GB2312"/>
          <w:bCs/>
          <w:sz w:val="24"/>
          <w:szCs w:val="28"/>
        </w:rPr>
        <w:br w:type="page"/>
      </w:r>
      <w:r>
        <w:rPr>
          <w:rFonts w:hint="eastAsia" w:ascii="方正仿宋_GB2312" w:hAnsi="方正仿宋_GB2312" w:eastAsia="方正仿宋_GB2312" w:cs="方正仿宋_GB2312"/>
          <w:bCs/>
          <w:sz w:val="24"/>
          <w:szCs w:val="28"/>
          <w:lang w:val="en-US" w:eastAsia="zh-CN"/>
        </w:rPr>
        <w:t xml:space="preserve">  </w:t>
      </w:r>
      <w:r>
        <w:rPr>
          <w:rFonts w:hint="eastAsia" w:ascii="黑体" w:hAnsi="黑体" w:eastAsia="黑体" w:cs="黑体"/>
          <w:sz w:val="32"/>
          <w:szCs w:val="32"/>
          <w:shd w:val="clear" w:color="auto" w:fill="FFFFFF"/>
        </w:rPr>
        <w:t>第五章 响应文件</w:t>
      </w:r>
    </w:p>
    <w:p>
      <w:pPr>
        <w:numPr>
          <w:ilvl w:val="0"/>
          <w:numId w:val="0"/>
        </w:numPr>
        <w:spacing w:line="400" w:lineRule="exact"/>
        <w:ind w:left="832" w:leftChars="180" w:hanging="454" w:hangingChars="142"/>
        <w:jc w:val="left"/>
        <w:rPr>
          <w:rFonts w:hint="eastAsia" w:ascii="方正仿宋_GB2312" w:hAnsi="方正仿宋_GB2312" w:eastAsia="方正仿宋_GB2312" w:cs="方正仿宋_GB2312"/>
          <w:sz w:val="32"/>
          <w:szCs w:val="32"/>
        </w:rPr>
      </w:pPr>
      <w:bookmarkStart w:id="16" w:name="_Toc13912_WPSOffice_Level1"/>
      <w:r>
        <w:rPr>
          <w:rFonts w:hint="eastAsia" w:ascii="方正仿宋_GB2312" w:hAnsi="方正仿宋_GB2312" w:eastAsia="方正仿宋_GB2312" w:cs="方正仿宋_GB2312"/>
          <w:kern w:val="2"/>
          <w:sz w:val="32"/>
          <w:szCs w:val="32"/>
          <w:lang w:val="en-US" w:eastAsia="zh-CN" w:bidi="ar-SA"/>
        </w:rPr>
        <w:t>一、</w:t>
      </w:r>
      <w:r>
        <w:rPr>
          <w:rFonts w:hint="eastAsia" w:ascii="方正仿宋_GB2312" w:hAnsi="方正仿宋_GB2312" w:eastAsia="方正仿宋_GB2312" w:cs="方正仿宋_GB2312"/>
          <w:sz w:val="32"/>
          <w:szCs w:val="32"/>
        </w:rPr>
        <w:t>营业执照、信用报告等资质文件</w:t>
      </w: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jc w:val="center"/>
        <w:rPr>
          <w:rFonts w:hint="eastAsia" w:ascii="方正仿宋_GB2312" w:hAnsi="方正仿宋_GB2312" w:eastAsia="方正仿宋_GB2312" w:cs="方正仿宋_GB2312"/>
          <w:sz w:val="28"/>
          <w:szCs w:val="28"/>
        </w:rPr>
      </w:pPr>
    </w:p>
    <w:p>
      <w:pPr>
        <w:tabs>
          <w:tab w:val="left" w:pos="720"/>
        </w:tabs>
        <w:spacing w:line="400" w:lineRule="exact"/>
        <w:rPr>
          <w:rFonts w:hint="eastAsia" w:ascii="方正仿宋_GB2312" w:hAnsi="方正仿宋_GB2312" w:eastAsia="方正仿宋_GB2312" w:cs="方正仿宋_GB2312"/>
          <w:sz w:val="28"/>
          <w:szCs w:val="28"/>
        </w:rPr>
      </w:pPr>
    </w:p>
    <w:p>
      <w:pPr>
        <w:numPr>
          <w:ilvl w:val="0"/>
          <w:numId w:val="0"/>
        </w:numPr>
        <w:spacing w:line="400" w:lineRule="exact"/>
        <w:ind w:left="720" w:leftChars="0" w:hanging="720" w:firstLineChars="0"/>
        <w:jc w:val="center"/>
        <w:rPr>
          <w:rFonts w:hint="eastAsia" w:ascii="方正仿宋_GB2312" w:hAnsi="方正仿宋_GB2312" w:eastAsia="方正仿宋_GB2312" w:cs="方正仿宋_GB2312"/>
          <w:b/>
          <w:bCs/>
          <w:kern w:val="2"/>
          <w:sz w:val="30"/>
          <w:szCs w:val="30"/>
          <w:lang w:val="en-US" w:eastAsia="zh-CN" w:bidi="ar-SA"/>
        </w:rPr>
      </w:pPr>
    </w:p>
    <w:p>
      <w:pPr>
        <w:numPr>
          <w:ilvl w:val="0"/>
          <w:numId w:val="0"/>
        </w:numPr>
        <w:spacing w:line="400" w:lineRule="exact"/>
        <w:jc w:val="both"/>
        <w:rPr>
          <w:rFonts w:hint="eastAsia" w:ascii="黑体" w:hAnsi="黑体" w:eastAsia="黑体" w:cs="黑体"/>
          <w:b/>
          <w:bCs/>
          <w:kern w:val="2"/>
          <w:sz w:val="32"/>
          <w:szCs w:val="32"/>
          <w:lang w:val="en-US" w:eastAsia="zh-CN" w:bidi="ar-SA"/>
        </w:rPr>
      </w:pPr>
    </w:p>
    <w:p>
      <w:pPr>
        <w:numPr>
          <w:ilvl w:val="0"/>
          <w:numId w:val="0"/>
        </w:numPr>
        <w:spacing w:line="400" w:lineRule="exact"/>
        <w:jc w:val="both"/>
        <w:rPr>
          <w:rFonts w:hint="eastAsia" w:ascii="黑体" w:hAnsi="黑体" w:eastAsia="黑体" w:cs="黑体"/>
          <w:b/>
          <w:bCs/>
          <w:sz w:val="32"/>
          <w:szCs w:val="32"/>
        </w:rPr>
      </w:pPr>
      <w:r>
        <w:rPr>
          <w:rFonts w:hint="eastAsia" w:ascii="黑体" w:hAnsi="黑体" w:eastAsia="黑体" w:cs="黑体"/>
          <w:b/>
          <w:bCs/>
          <w:kern w:val="2"/>
          <w:sz w:val="32"/>
          <w:szCs w:val="32"/>
          <w:lang w:val="en-US" w:eastAsia="zh-CN" w:bidi="ar-SA"/>
        </w:rPr>
        <w:t>二、</w:t>
      </w:r>
      <w:r>
        <w:rPr>
          <w:rFonts w:hint="eastAsia" w:ascii="黑体" w:hAnsi="黑体" w:eastAsia="黑体" w:cs="黑体"/>
          <w:b/>
          <w:bCs/>
          <w:sz w:val="32"/>
          <w:szCs w:val="32"/>
        </w:rPr>
        <w:t>投标单位的承诺函</w:t>
      </w:r>
      <w:bookmarkEnd w:id="16"/>
    </w:p>
    <w:p>
      <w:pPr>
        <w:pStyle w:val="50"/>
        <w:tabs>
          <w:tab w:val="left" w:pos="600"/>
          <w:tab w:val="clear" w:pos="2160"/>
          <w:tab w:val="clear" w:pos="2520"/>
        </w:tabs>
        <w:adjustRightInd w:val="0"/>
        <w:spacing w:line="520" w:lineRule="exac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napToGrid/>
          <w:kern w:val="2"/>
          <w:sz w:val="32"/>
          <w:szCs w:val="32"/>
          <w:lang w:val="en-US" w:eastAsia="zh-CN"/>
        </w:rPr>
        <w:t>致：</w:t>
      </w:r>
      <w:r>
        <w:rPr>
          <w:rFonts w:hint="eastAsia" w:ascii="方正仿宋_GB2312" w:hAnsi="方正仿宋_GB2312" w:eastAsia="方正仿宋_GB2312" w:cs="方正仿宋_GB2312"/>
          <w:snapToGrid/>
          <w:kern w:val="2"/>
          <w:sz w:val="32"/>
          <w:szCs w:val="32"/>
          <w:lang w:val="en-US" w:eastAsia="zh-CN"/>
        </w:rPr>
        <w:tab/>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我代表</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（投标单位名称），在此作如下承诺： </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1.完全理解和接受招标文件的一切规定和要求。</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2.投标报价为闭口价，即在投标有效期，该投标报价固定不变。</w:t>
      </w:r>
    </w:p>
    <w:p>
      <w:pPr>
        <w:pStyle w:val="4"/>
        <w:spacing w:line="520" w:lineRule="exact"/>
        <w:ind w:left="559" w:leftChars="266" w:firstLine="25" w:firstLineChars="8"/>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3.若中标，我方将按照招标文件及我方投标文件的具体规定签订合同。</w:t>
      </w:r>
    </w:p>
    <w:p>
      <w:pPr>
        <w:pStyle w:val="4"/>
        <w:spacing w:line="520" w:lineRule="exact"/>
        <w:ind w:firstLine="662" w:firstLineChars="20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4.在整个招、投标过程中，我方若有违反以下承诺的行为，贵方</w:t>
      </w:r>
    </w:p>
    <w:p>
      <w:pPr>
        <w:pStyle w:val="4"/>
        <w:spacing w:line="520" w:lineRule="exact"/>
        <w:ind w:firstLine="25" w:firstLineChars="8"/>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可按招标文件之规定给予惩罚，我方完全接受。</w:t>
      </w:r>
    </w:p>
    <w:p>
      <w:pPr>
        <w:spacing w:line="52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A.不与招标人、其他投标人或者招标代理机构串通投标，损害国家利益、社会利益或他人的合法权益。</w:t>
      </w:r>
    </w:p>
    <w:p>
      <w:pPr>
        <w:spacing w:line="52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B.不向招标人或评标委员会成员或相关人员行贿，以牟取中标。</w:t>
      </w:r>
    </w:p>
    <w:p>
      <w:pPr>
        <w:spacing w:line="52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C.不以他人名义投标或者其他方式弄虚作假，骗取中标。</w:t>
      </w:r>
    </w:p>
    <w:p>
      <w:pPr>
        <w:spacing w:line="52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D.不接受任何形式的挂靠，不扰乱招投标市场秩序。</w:t>
      </w:r>
    </w:p>
    <w:p>
      <w:pPr>
        <w:spacing w:line="52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E.不在投标中哄抬价格或恶意压价。</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F.不在招投标活动中虚假投诉。</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5.在整个招、投标过程中及招、投标结束后，未经招标单位书</w:t>
      </w:r>
    </w:p>
    <w:p>
      <w:pPr>
        <w:pStyle w:val="4"/>
        <w:spacing w:line="520" w:lineRule="exact"/>
        <w:ind w:firstLine="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面同意，我方保证不向任何第三方泄露本次招、投标的任何信息、资料及内容。</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6.投标文件中所有关于投标单位资格的文件、证明、陈述均是</w:t>
      </w:r>
    </w:p>
    <w:p>
      <w:pPr>
        <w:pStyle w:val="4"/>
        <w:spacing w:line="520" w:lineRule="exact"/>
        <w:ind w:firstLine="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真实的、准确的。若有违背，我公司承担由此而产生的一切后果。</w:t>
      </w:r>
    </w:p>
    <w:p>
      <w:pPr>
        <w:pStyle w:val="4"/>
        <w:spacing w:line="520" w:lineRule="exact"/>
        <w:ind w:firstLine="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7.本承诺函与合同具有同等的法律效力。</w:t>
      </w:r>
    </w:p>
    <w:p>
      <w:pPr>
        <w:pStyle w:val="4"/>
        <w:spacing w:line="520" w:lineRule="exact"/>
        <w:ind w:firstLine="3724" w:firstLineChars="1164"/>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法人代表：（签字）</w:t>
      </w:r>
    </w:p>
    <w:p>
      <w:pPr>
        <w:pStyle w:val="4"/>
        <w:spacing w:line="520" w:lineRule="exact"/>
        <w:ind w:firstLine="3724" w:firstLineChars="1164"/>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投标单位：（公章）</w:t>
      </w:r>
    </w:p>
    <w:p>
      <w:pPr>
        <w:pStyle w:val="4"/>
        <w:spacing w:line="520" w:lineRule="exact"/>
        <w:ind w:firstLine="3702" w:firstLineChars="1157"/>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日期：       年     月    日</w:t>
      </w:r>
      <w:bookmarkStart w:id="17" w:name="_Toc3814_WPSOffice_Level1"/>
    </w:p>
    <w:p>
      <w:pPr>
        <w:pStyle w:val="4"/>
        <w:spacing w:line="520" w:lineRule="exact"/>
        <w:jc w:val="left"/>
        <w:rPr>
          <w:rFonts w:hint="eastAsia" w:ascii="黑体" w:hAnsi="黑体" w:eastAsia="黑体" w:cs="黑体"/>
          <w:b/>
          <w:sz w:val="32"/>
          <w:szCs w:val="32"/>
        </w:rPr>
      </w:pPr>
      <w:r>
        <w:rPr>
          <w:rFonts w:hint="eastAsia" w:ascii="黑体" w:hAnsi="黑体" w:eastAsia="黑体" w:cs="黑体"/>
          <w:b/>
          <w:sz w:val="32"/>
          <w:szCs w:val="32"/>
        </w:rPr>
        <w:t>三、</w:t>
      </w:r>
      <w:bookmarkEnd w:id="17"/>
      <w:r>
        <w:rPr>
          <w:rFonts w:hint="eastAsia" w:ascii="黑体" w:hAnsi="黑体" w:eastAsia="黑体" w:cs="黑体"/>
          <w:b/>
          <w:sz w:val="32"/>
          <w:szCs w:val="32"/>
        </w:rPr>
        <w:t>法定代表人身份证明书</w:t>
      </w:r>
    </w:p>
    <w:p>
      <w:pPr>
        <w:spacing w:line="560" w:lineRule="exact"/>
        <w:jc w:val="left"/>
        <w:rPr>
          <w:rFonts w:hint="eastAsia" w:ascii="黑体" w:hAnsi="黑体" w:eastAsia="黑体" w:cs="黑体"/>
          <w:b/>
          <w:bCs/>
          <w:sz w:val="32"/>
          <w:szCs w:val="32"/>
        </w:rPr>
      </w:pPr>
      <w:r>
        <w:rPr>
          <w:rFonts w:hint="eastAsia" w:ascii="黑体" w:hAnsi="黑体" w:eastAsia="黑体" w:cs="黑体"/>
          <w:b/>
          <w:bCs/>
          <w:sz w:val="32"/>
          <w:szCs w:val="32"/>
        </w:rPr>
        <w:t>（法定代表人参加投标的，出具此证明书）</w:t>
      </w:r>
    </w:p>
    <w:p>
      <w:pPr>
        <w:spacing w:line="480" w:lineRule="exact"/>
        <w:rPr>
          <w:rFonts w:hint="eastAsia" w:ascii="黑体" w:hAnsi="黑体" w:eastAsia="黑体" w:cs="黑体"/>
          <w:sz w:val="32"/>
          <w:szCs w:val="32"/>
        </w:rPr>
      </w:pPr>
    </w:p>
    <w:p>
      <w:pPr>
        <w:spacing w:line="480" w:lineRule="exact"/>
        <w:ind w:firstLine="720" w:firstLineChars="225"/>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法定代表人姓名 </w:t>
      </w:r>
      <w:r>
        <w:rPr>
          <w:rFonts w:hint="eastAsia" w:ascii="方正仿宋_GB2312" w:hAnsi="方正仿宋_GB2312" w:eastAsia="方正仿宋_GB2312" w:cs="方正仿宋_GB2312"/>
          <w:sz w:val="32"/>
          <w:szCs w:val="32"/>
        </w:rPr>
        <w:t>在我公司（或企业、单位）任（董事长、经理）职务，是我</w:t>
      </w:r>
      <w:r>
        <w:rPr>
          <w:rFonts w:hint="eastAsia" w:ascii="方正仿宋_GB2312" w:hAnsi="方正仿宋_GB2312" w:eastAsia="方正仿宋_GB2312" w:cs="方正仿宋_GB2312"/>
          <w:sz w:val="32"/>
          <w:szCs w:val="32"/>
          <w:u w:val="single"/>
        </w:rPr>
        <w:t xml:space="preserve">     公司全称    </w:t>
      </w:r>
      <w:r>
        <w:rPr>
          <w:rFonts w:hint="eastAsia" w:ascii="方正仿宋_GB2312" w:hAnsi="方正仿宋_GB2312" w:eastAsia="方正仿宋_GB2312" w:cs="方正仿宋_GB2312"/>
          <w:sz w:val="32"/>
          <w:szCs w:val="32"/>
        </w:rPr>
        <w:t>的法定代表人。现就参加</w:t>
      </w:r>
      <w:r>
        <w:rPr>
          <w:rFonts w:hint="eastAsia" w:ascii="方正仿宋_GB2312" w:hAnsi="方正仿宋_GB2312" w:eastAsia="方正仿宋_GB2312" w:cs="方正仿宋_GB2312"/>
          <w:sz w:val="32"/>
          <w:szCs w:val="32"/>
          <w:u w:val="single"/>
        </w:rPr>
        <w:t xml:space="preserve">   采购单位名称   </w:t>
      </w:r>
      <w:r>
        <w:rPr>
          <w:rFonts w:hint="eastAsia" w:ascii="方正仿宋_GB2312" w:hAnsi="方正仿宋_GB2312" w:eastAsia="方正仿宋_GB2312" w:cs="方正仿宋_GB2312"/>
          <w:sz w:val="32"/>
          <w:szCs w:val="32"/>
        </w:rPr>
        <w:t>组织的采购项目</w:t>
      </w:r>
      <w:r>
        <w:rPr>
          <w:rFonts w:hint="eastAsia" w:ascii="方正仿宋_GB2312" w:hAnsi="方正仿宋_GB2312" w:eastAsia="方正仿宋_GB2312" w:cs="方正仿宋_GB2312"/>
          <w:sz w:val="32"/>
          <w:szCs w:val="32"/>
          <w:u w:val="single"/>
        </w:rPr>
        <w:t xml:space="preserve">         采购项目名称         </w:t>
      </w:r>
      <w:r>
        <w:rPr>
          <w:rFonts w:hint="eastAsia" w:ascii="方正仿宋_GB2312" w:hAnsi="方正仿宋_GB2312" w:eastAsia="方正仿宋_GB2312" w:cs="方正仿宋_GB2312"/>
          <w:sz w:val="32"/>
          <w:szCs w:val="32"/>
        </w:rPr>
        <w:t>的投标签署投标文件。</w:t>
      </w:r>
    </w:p>
    <w:p>
      <w:pPr>
        <w:spacing w:line="4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特此证明。</w:t>
      </w:r>
    </w:p>
    <w:p>
      <w:pPr>
        <w:spacing w:line="480" w:lineRule="exact"/>
        <w:jc w:val="center"/>
        <w:rPr>
          <w:rFonts w:hint="eastAsia" w:ascii="方正仿宋_GB2312" w:hAnsi="方正仿宋_GB2312" w:eastAsia="方正仿宋_GB2312" w:cs="方正仿宋_GB2312"/>
          <w:b/>
          <w:sz w:val="32"/>
          <w:szCs w:val="32"/>
        </w:rPr>
      </w:pPr>
    </w:p>
    <w:p>
      <w:pPr>
        <w:spacing w:before="240" w:beforeLines="100" w:after="240" w:afterLines="100" w:line="480" w:lineRule="exact"/>
        <w:jc w:val="center"/>
        <w:rPr>
          <w:rFonts w:hint="eastAsia" w:ascii="方正仿宋_GB2312" w:hAnsi="方正仿宋_GB2312" w:eastAsia="方正仿宋_GB2312" w:cs="方正仿宋_GB2312"/>
          <w:b/>
          <w:sz w:val="32"/>
          <w:szCs w:val="32"/>
        </w:rPr>
      </w:pPr>
    </w:p>
    <w:tbl>
      <w:tblPr>
        <w:tblStyle w:val="17"/>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（※此处请粘贴法定代表人身份证</w:t>
            </w:r>
          </w:p>
          <w:p>
            <w:pPr>
              <w:spacing w:line="480" w:lineRule="exact"/>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复印件※）</w:t>
            </w:r>
          </w:p>
          <w:p>
            <w:pPr>
              <w:spacing w:line="480" w:lineRule="exact"/>
              <w:rPr>
                <w:rFonts w:hint="eastAsia" w:ascii="方正仿宋_GB2312" w:hAnsi="方正仿宋_GB2312" w:eastAsia="方正仿宋_GB2312" w:cs="方正仿宋_GB2312"/>
                <w:sz w:val="32"/>
                <w:szCs w:val="32"/>
              </w:rPr>
            </w:pPr>
          </w:p>
          <w:p>
            <w:pPr>
              <w:spacing w:line="480" w:lineRule="exact"/>
              <w:rPr>
                <w:rFonts w:hint="eastAsia" w:ascii="方正仿宋_GB2312" w:hAnsi="方正仿宋_GB2312" w:eastAsia="方正仿宋_GB2312" w:cs="方正仿宋_GB2312"/>
                <w:sz w:val="32"/>
                <w:szCs w:val="32"/>
              </w:rPr>
            </w:pPr>
          </w:p>
        </w:tc>
      </w:tr>
    </w:tbl>
    <w:p>
      <w:pPr>
        <w:spacing w:before="240" w:beforeLines="100" w:after="240" w:afterLines="100" w:line="480" w:lineRule="exact"/>
        <w:jc w:val="center"/>
        <w:rPr>
          <w:rFonts w:hint="eastAsia" w:ascii="方正仿宋_GB2312" w:hAnsi="方正仿宋_GB2312" w:eastAsia="方正仿宋_GB2312" w:cs="方正仿宋_GB2312"/>
          <w:b/>
          <w:sz w:val="32"/>
          <w:szCs w:val="32"/>
        </w:rPr>
      </w:pPr>
    </w:p>
    <w:p>
      <w:pPr>
        <w:spacing w:before="240" w:beforeLines="100" w:after="240" w:afterLines="100" w:line="480" w:lineRule="exact"/>
        <w:jc w:val="center"/>
        <w:rPr>
          <w:rFonts w:hint="eastAsia" w:ascii="方正仿宋_GB2312" w:hAnsi="方正仿宋_GB2312" w:eastAsia="方正仿宋_GB2312" w:cs="方正仿宋_GB2312"/>
          <w:b/>
          <w:sz w:val="32"/>
          <w:szCs w:val="32"/>
        </w:rPr>
      </w:pPr>
    </w:p>
    <w:p>
      <w:pPr>
        <w:spacing w:before="240" w:beforeLines="100" w:after="240" w:afterLines="100" w:line="480" w:lineRule="exact"/>
        <w:jc w:val="center"/>
        <w:rPr>
          <w:rFonts w:hint="eastAsia" w:ascii="方正仿宋_GB2312" w:hAnsi="方正仿宋_GB2312" w:eastAsia="方正仿宋_GB2312" w:cs="方正仿宋_GB2312"/>
          <w:b/>
          <w:sz w:val="32"/>
          <w:szCs w:val="32"/>
        </w:rPr>
      </w:pPr>
    </w:p>
    <w:p>
      <w:pPr>
        <w:spacing w:line="480" w:lineRule="exact"/>
        <w:jc w:val="right"/>
        <w:rPr>
          <w:rFonts w:hint="eastAsia" w:ascii="方正仿宋_GB2312" w:hAnsi="方正仿宋_GB2312" w:eastAsia="方正仿宋_GB2312" w:cs="方正仿宋_GB2312"/>
          <w:sz w:val="32"/>
          <w:szCs w:val="32"/>
        </w:rPr>
      </w:pPr>
    </w:p>
    <w:p>
      <w:pPr>
        <w:spacing w:line="480" w:lineRule="exact"/>
        <w:jc w:val="right"/>
        <w:rPr>
          <w:rFonts w:hint="eastAsia" w:ascii="方正仿宋_GB2312" w:hAnsi="方正仿宋_GB2312" w:eastAsia="方正仿宋_GB2312" w:cs="方正仿宋_GB2312"/>
          <w:sz w:val="32"/>
          <w:szCs w:val="32"/>
        </w:rPr>
      </w:pPr>
    </w:p>
    <w:p>
      <w:pPr>
        <w:spacing w:line="480" w:lineRule="exact"/>
        <w:ind w:right="240"/>
        <w:jc w:val="right"/>
        <w:rPr>
          <w:rFonts w:hint="eastAsia" w:ascii="方正仿宋_GB2312" w:hAnsi="方正仿宋_GB2312" w:eastAsia="方正仿宋_GB2312" w:cs="方正仿宋_GB2312"/>
          <w:sz w:val="32"/>
          <w:szCs w:val="32"/>
        </w:rPr>
      </w:pPr>
    </w:p>
    <w:p>
      <w:pPr>
        <w:spacing w:line="480" w:lineRule="exact"/>
        <w:ind w:right="240"/>
        <w:jc w:val="right"/>
        <w:rPr>
          <w:rFonts w:hint="eastAsia" w:ascii="方正仿宋_GB2312" w:hAnsi="方正仿宋_GB2312" w:eastAsia="方正仿宋_GB2312" w:cs="方正仿宋_GB2312"/>
          <w:sz w:val="32"/>
          <w:szCs w:val="32"/>
        </w:rPr>
      </w:pPr>
    </w:p>
    <w:p>
      <w:pPr>
        <w:spacing w:line="600" w:lineRule="auto"/>
        <w:ind w:firstLine="5440" w:firstLineChars="1700"/>
        <w:jc w:val="righ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公司名称：</w:t>
      </w:r>
      <w:r>
        <w:rPr>
          <w:rFonts w:hint="eastAsia" w:ascii="方正仿宋_GB2312" w:hAnsi="方正仿宋_GB2312" w:eastAsia="方正仿宋_GB2312" w:cs="方正仿宋_GB2312"/>
          <w:sz w:val="32"/>
          <w:szCs w:val="32"/>
          <w:u w:val="single"/>
        </w:rPr>
        <w:t xml:space="preserve">（加盖公章） </w:t>
      </w:r>
    </w:p>
    <w:p>
      <w:pPr>
        <w:spacing w:line="600" w:lineRule="auto"/>
        <w:ind w:firstLine="5440" w:firstLineChars="170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p>
      <w:pPr>
        <w:spacing w:line="560" w:lineRule="exact"/>
        <w:jc w:val="right"/>
        <w:rPr>
          <w:rFonts w:hint="eastAsia" w:ascii="方正仿宋_GB2312" w:hAnsi="方正仿宋_GB2312" w:eastAsia="方正仿宋_GB2312" w:cs="方正仿宋_GB2312"/>
          <w:b/>
          <w:sz w:val="28"/>
          <w:szCs w:val="28"/>
        </w:rPr>
      </w:pPr>
    </w:p>
    <w:p>
      <w:pPr>
        <w:spacing w:line="560" w:lineRule="exact"/>
        <w:jc w:val="both"/>
        <w:rPr>
          <w:rFonts w:hint="eastAsia" w:ascii="方正仿宋_GB2312" w:hAnsi="方正仿宋_GB2312" w:eastAsia="方正仿宋_GB2312" w:cs="方正仿宋_GB2312"/>
          <w:b/>
          <w:sz w:val="30"/>
          <w:szCs w:val="30"/>
        </w:rPr>
      </w:pPr>
      <w:bookmarkStart w:id="18" w:name="_Toc152045792"/>
      <w:bookmarkStart w:id="19" w:name="_Toc152042581"/>
      <w:bookmarkStart w:id="20" w:name="_Toc144974861"/>
      <w:bookmarkStart w:id="21" w:name="_Toc15168_WPSOffice_Level1"/>
      <w:bookmarkStart w:id="22" w:name="_Toc179632812"/>
    </w:p>
    <w:p>
      <w:pPr>
        <w:spacing w:line="560" w:lineRule="exact"/>
        <w:jc w:val="both"/>
        <w:rPr>
          <w:rFonts w:hint="eastAsia" w:ascii="方正仿宋_GB2312" w:hAnsi="方正仿宋_GB2312" w:eastAsia="方正仿宋_GB2312" w:cs="方正仿宋_GB2312"/>
          <w:b/>
          <w:sz w:val="30"/>
          <w:szCs w:val="30"/>
        </w:rPr>
      </w:pPr>
    </w:p>
    <w:p>
      <w:pPr>
        <w:spacing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四、</w:t>
      </w:r>
      <w:bookmarkEnd w:id="18"/>
      <w:bookmarkEnd w:id="19"/>
      <w:bookmarkEnd w:id="20"/>
      <w:bookmarkEnd w:id="21"/>
      <w:bookmarkEnd w:id="22"/>
      <w:r>
        <w:rPr>
          <w:rFonts w:hint="eastAsia" w:ascii="黑体" w:hAnsi="黑体" w:eastAsia="黑体" w:cs="黑体"/>
          <w:b/>
          <w:sz w:val="32"/>
          <w:szCs w:val="32"/>
        </w:rPr>
        <w:t>法定代表人授权委托书</w:t>
      </w:r>
      <w:r>
        <w:rPr>
          <w:rFonts w:hint="eastAsia" w:ascii="黑体" w:hAnsi="黑体" w:eastAsia="黑体" w:cs="黑体"/>
          <w:b/>
          <w:color w:val="FF0000"/>
          <w:sz w:val="32"/>
          <w:szCs w:val="32"/>
        </w:rPr>
        <w:t>（标的1使用）</w:t>
      </w:r>
    </w:p>
    <w:p>
      <w:pPr>
        <w:spacing w:line="560" w:lineRule="exact"/>
        <w:ind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（授权代表人参加投标的，出具此授权委托书）</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委托单位名称：</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法定代表人：         （签字：       ）     </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身份证号码：                       住所地：</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受委托人：           （签字：       ）      </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身份证号码：</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工作单位：                         住所地：</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联系方式：办公电话</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手机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现委托</w:t>
      </w:r>
      <w:r>
        <w:rPr>
          <w:rFonts w:hint="eastAsia" w:ascii="方正仿宋_GB2312" w:hAnsi="方正仿宋_GB2312" w:eastAsia="方正仿宋_GB2312" w:cs="方正仿宋_GB2312"/>
          <w:sz w:val="32"/>
          <w:szCs w:val="32"/>
          <w:u w:val="single"/>
        </w:rPr>
        <w:t xml:space="preserve">    受委托人    </w:t>
      </w:r>
      <w:r>
        <w:rPr>
          <w:rFonts w:hint="eastAsia" w:ascii="方正仿宋_GB2312" w:hAnsi="方正仿宋_GB2312" w:eastAsia="方正仿宋_GB2312" w:cs="方正仿宋_GB2312"/>
          <w:sz w:val="32"/>
          <w:szCs w:val="32"/>
        </w:rPr>
        <w:t>为本公司的合法代理人，参加你单位组织的招标活动。</w:t>
      </w:r>
    </w:p>
    <w:p>
      <w:pPr>
        <w:spacing w:line="360" w:lineRule="auto"/>
        <w:ind w:firstLine="640" w:firstLineChars="2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委托代理权限如下：代为参加并签署</w:t>
      </w:r>
      <w:r>
        <w:rPr>
          <w:rFonts w:hint="eastAsia" w:ascii="方正仿宋_GB2312" w:hAnsi="方正仿宋_GB2312" w:eastAsia="方正仿宋_GB2312" w:cs="方正仿宋_GB2312"/>
          <w:sz w:val="32"/>
          <w:szCs w:val="32"/>
          <w:u w:val="single"/>
        </w:rPr>
        <w:t xml:space="preserve">           采购项目名称         </w:t>
      </w:r>
    </w:p>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的投标文件；代为承认与我公司签署、实施的与采购文件相关的采购活动及行为。</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本授权于     年     月     日签字生效，无转委托，特此声明。</w:t>
      </w:r>
    </w:p>
    <w:tbl>
      <w:tblPr>
        <w:tblStyle w:val="17"/>
        <w:tblpPr w:leftFromText="180" w:rightFromText="18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（※此处请粘贴授权代表人身份证复印件※）</w:t>
            </w:r>
          </w:p>
        </w:tc>
      </w:tr>
    </w:tbl>
    <w:p>
      <w:pPr>
        <w:spacing w:line="360" w:lineRule="auto"/>
        <w:jc w:val="center"/>
        <w:rPr>
          <w:rFonts w:hint="eastAsia" w:ascii="方正仿宋_GB2312" w:hAnsi="方正仿宋_GB2312" w:eastAsia="方正仿宋_GB2312" w:cs="方正仿宋_GB2312"/>
          <w:sz w:val="32"/>
          <w:szCs w:val="32"/>
        </w:rPr>
      </w:pPr>
    </w:p>
    <w:p>
      <w:pPr>
        <w:spacing w:line="360" w:lineRule="auto"/>
        <w:ind w:firstLine="640" w:firstLineChars="200"/>
        <w:rPr>
          <w:rFonts w:hint="eastAsia" w:ascii="方正仿宋_GB2312" w:hAnsi="方正仿宋_GB2312" w:eastAsia="方正仿宋_GB2312" w:cs="方正仿宋_GB2312"/>
          <w:sz w:val="32"/>
          <w:szCs w:val="32"/>
        </w:rPr>
      </w:pPr>
    </w:p>
    <w:p>
      <w:pPr>
        <w:spacing w:line="360" w:lineRule="auto"/>
        <w:ind w:firstLine="640" w:firstLineChars="200"/>
        <w:rPr>
          <w:rFonts w:hint="eastAsia" w:ascii="方正仿宋_GB2312" w:hAnsi="方正仿宋_GB2312" w:eastAsia="方正仿宋_GB2312" w:cs="方正仿宋_GB2312"/>
          <w:sz w:val="32"/>
          <w:szCs w:val="32"/>
        </w:rPr>
      </w:pPr>
    </w:p>
    <w:p>
      <w:pPr>
        <w:spacing w:line="360" w:lineRule="auto"/>
        <w:ind w:firstLine="640" w:firstLineChars="200"/>
        <w:rPr>
          <w:rFonts w:hint="eastAsia" w:ascii="方正仿宋_GB2312" w:hAnsi="方正仿宋_GB2312" w:eastAsia="方正仿宋_GB2312" w:cs="方正仿宋_GB2312"/>
          <w:sz w:val="32"/>
          <w:szCs w:val="32"/>
        </w:rPr>
      </w:pPr>
    </w:p>
    <w:p>
      <w:pPr>
        <w:spacing w:line="360" w:lineRule="auto"/>
        <w:rPr>
          <w:rFonts w:hint="eastAsia" w:ascii="方正仿宋_GB2312" w:hAnsi="方正仿宋_GB2312" w:eastAsia="方正仿宋_GB2312" w:cs="方正仿宋_GB2312"/>
          <w:sz w:val="32"/>
          <w:szCs w:val="32"/>
        </w:rPr>
      </w:pPr>
    </w:p>
    <w:p>
      <w:pPr>
        <w:spacing w:line="600" w:lineRule="exact"/>
        <w:ind w:right="561" w:firstLine="4800" w:firstLineChars="1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委托单位名称：</w:t>
      </w:r>
      <w:r>
        <w:rPr>
          <w:rFonts w:hint="eastAsia" w:ascii="方正仿宋_GB2312" w:hAnsi="方正仿宋_GB2312" w:eastAsia="方正仿宋_GB2312" w:cs="方正仿宋_GB2312"/>
          <w:sz w:val="32"/>
          <w:szCs w:val="32"/>
          <w:u w:val="single"/>
        </w:rPr>
        <w:t xml:space="preserve">（加盖公章） </w:t>
      </w:r>
    </w:p>
    <w:p>
      <w:pPr>
        <w:spacing w:line="600" w:lineRule="exact"/>
        <w:ind w:right="561" w:firstLine="640" w:firstLineChars="20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w:t>
      </w:r>
    </w:p>
    <w:p>
      <w:pPr>
        <w:spacing w:line="560" w:lineRule="exact"/>
        <w:jc w:val="both"/>
        <w:rPr>
          <w:rFonts w:hint="eastAsia" w:ascii="方正仿宋_GB2312" w:hAnsi="方正仿宋_GB2312" w:eastAsia="方正仿宋_GB2312" w:cs="方正仿宋_GB2312"/>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center"/>
        <w:rPr>
          <w:rFonts w:hint="eastAsia" w:ascii="黑体" w:hAnsi="黑体" w:eastAsia="黑体" w:cs="黑体"/>
          <w:b/>
          <w:sz w:val="32"/>
          <w:szCs w:val="32"/>
        </w:rPr>
      </w:pPr>
    </w:p>
    <w:p>
      <w:pPr>
        <w:spacing w:line="560" w:lineRule="exact"/>
        <w:jc w:val="left"/>
        <w:rPr>
          <w:rFonts w:hint="eastAsia" w:ascii="黑体" w:hAnsi="黑体" w:eastAsia="黑体" w:cs="黑体"/>
          <w:b/>
          <w:color w:val="auto"/>
          <w:sz w:val="32"/>
          <w:szCs w:val="32"/>
        </w:rPr>
      </w:pPr>
      <w:r>
        <w:rPr>
          <w:rFonts w:hint="eastAsia" w:ascii="黑体" w:hAnsi="黑体" w:eastAsia="黑体" w:cs="黑体"/>
          <w:b/>
          <w:color w:val="auto"/>
          <w:sz w:val="32"/>
          <w:szCs w:val="32"/>
        </w:rPr>
        <w:t>法定代表人授权委托书（标的2使用）</w:t>
      </w:r>
    </w:p>
    <w:p>
      <w:pPr>
        <w:spacing w:line="560" w:lineRule="exact"/>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（授权代表人参加投标的，出具此授权委托书）</w:t>
      </w:r>
    </w:p>
    <w:p>
      <w:pPr>
        <w:spacing w:line="4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委托人：</w:t>
      </w:r>
      <w:r>
        <w:rPr>
          <w:rFonts w:hint="eastAsia" w:ascii="方正仿宋_GB2312" w:hAnsi="方正仿宋_GB2312" w:eastAsia="方正仿宋_GB2312" w:cs="方正仿宋_GB2312"/>
          <w:b/>
          <w:sz w:val="32"/>
          <w:szCs w:val="32"/>
        </w:rPr>
        <w:t>XXXXXX公司</w:t>
      </w:r>
    </w:p>
    <w:p>
      <w:pPr>
        <w:spacing w:line="4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住所：</w:t>
      </w:r>
    </w:p>
    <w:p>
      <w:pPr>
        <w:spacing w:line="4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法定代表人（或负责人）：</w:t>
      </w:r>
    </w:p>
    <w:p>
      <w:pPr>
        <w:spacing w:line="4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代理人：</w:t>
      </w:r>
      <w:r>
        <w:rPr>
          <w:rFonts w:hint="eastAsia" w:ascii="方正仿宋_GB2312" w:hAnsi="方正仿宋_GB2312" w:eastAsia="方正仿宋_GB2312" w:cs="方正仿宋_GB2312"/>
          <w:b/>
          <w:sz w:val="32"/>
          <w:szCs w:val="32"/>
        </w:rPr>
        <w:t>XXX</w:t>
      </w:r>
      <w:r>
        <w:rPr>
          <w:rFonts w:hint="eastAsia" w:ascii="方正仿宋_GB2312" w:hAnsi="方正仿宋_GB2312" w:eastAsia="方正仿宋_GB2312" w:cs="方正仿宋_GB2312"/>
          <w:sz w:val="32"/>
          <w:szCs w:val="32"/>
        </w:rPr>
        <w:t>，男或女， 年 月 日出生，身份证号码：</w:t>
      </w:r>
      <w:r>
        <w:rPr>
          <w:rFonts w:hint="eastAsia" w:ascii="方正仿宋_GB2312" w:hAnsi="方正仿宋_GB2312" w:eastAsia="方正仿宋_GB2312" w:cs="方正仿宋_GB2312"/>
          <w:b/>
          <w:sz w:val="32"/>
          <w:szCs w:val="32"/>
        </w:rPr>
        <w:t>XXXXXXXXXXXXXX</w:t>
      </w:r>
      <w:r>
        <w:rPr>
          <w:rFonts w:hint="eastAsia" w:ascii="方正仿宋_GB2312" w:hAnsi="方正仿宋_GB2312" w:eastAsia="方正仿宋_GB2312" w:cs="方正仿宋_GB2312"/>
          <w:sz w:val="32"/>
          <w:szCs w:val="32"/>
        </w:rPr>
        <w:t>,系</w:t>
      </w:r>
      <w:r>
        <w:rPr>
          <w:rFonts w:hint="eastAsia" w:ascii="方正仿宋_GB2312" w:hAnsi="方正仿宋_GB2312" w:eastAsia="方正仿宋_GB2312" w:cs="方正仿宋_GB2312"/>
          <w:b/>
          <w:sz w:val="32"/>
          <w:szCs w:val="32"/>
        </w:rPr>
        <w:t>XXXXX</w:t>
      </w:r>
      <w:r>
        <w:rPr>
          <w:rFonts w:hint="eastAsia" w:ascii="方正仿宋_GB2312" w:hAnsi="方正仿宋_GB2312" w:eastAsia="方正仿宋_GB2312" w:cs="方正仿宋_GB2312"/>
          <w:sz w:val="32"/>
          <w:szCs w:val="32"/>
        </w:rPr>
        <w:t>单位职工，现住</w:t>
      </w:r>
      <w:r>
        <w:rPr>
          <w:rFonts w:hint="eastAsia" w:ascii="方正仿宋_GB2312" w:hAnsi="方正仿宋_GB2312" w:eastAsia="方正仿宋_GB2312" w:cs="方正仿宋_GB2312"/>
          <w:b/>
          <w:sz w:val="32"/>
          <w:szCs w:val="32"/>
        </w:rPr>
        <w:t>XXXXXXX</w:t>
      </w:r>
      <w:r>
        <w:rPr>
          <w:rFonts w:hint="eastAsia" w:ascii="方正仿宋_GB2312" w:hAnsi="方正仿宋_GB2312" w:eastAsia="方正仿宋_GB2312" w:cs="方正仿宋_GB2312"/>
          <w:sz w:val="32"/>
          <w:szCs w:val="32"/>
        </w:rPr>
        <w:t>.</w:t>
      </w:r>
    </w:p>
    <w:p>
      <w:pPr>
        <w:spacing w:line="4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授权事项：</w:t>
      </w:r>
    </w:p>
    <w:p>
      <w:pPr>
        <w:spacing w:line="440" w:lineRule="exact"/>
        <w:ind w:firstLine="627"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1、委托人委托代理人</w:t>
      </w:r>
      <w:r>
        <w:rPr>
          <w:rFonts w:hint="eastAsia" w:ascii="方正仿宋_GB2312" w:hAnsi="方正仿宋_GB2312" w:eastAsia="方正仿宋_GB2312" w:cs="方正仿宋_GB2312"/>
          <w:b/>
          <w:sz w:val="32"/>
          <w:szCs w:val="32"/>
        </w:rPr>
        <w:t>XXX</w:t>
      </w:r>
      <w:r>
        <w:rPr>
          <w:rFonts w:hint="eastAsia" w:ascii="方正仿宋_GB2312" w:hAnsi="方正仿宋_GB2312" w:eastAsia="方正仿宋_GB2312" w:cs="方正仿宋_GB2312"/>
          <w:sz w:val="32"/>
          <w:szCs w:val="32"/>
        </w:rPr>
        <w:t>代表委托人参加</w:t>
      </w:r>
      <w:r>
        <w:rPr>
          <w:rFonts w:hint="eastAsia" w:ascii="方正仿宋_GB2312" w:hAnsi="方正仿宋_GB2312" w:eastAsia="方正仿宋_GB2312" w:cs="方正仿宋_GB2312"/>
          <w:b/>
          <w:sz w:val="32"/>
          <w:szCs w:val="32"/>
        </w:rPr>
        <w:t>中粮糖业及所属各级单位</w:t>
      </w:r>
      <w:r>
        <w:rPr>
          <w:rFonts w:hint="eastAsia" w:ascii="方正仿宋_GB2312" w:hAnsi="方正仿宋_GB2312" w:eastAsia="方正仿宋_GB2312" w:cs="方正仿宋_GB2312"/>
          <w:sz w:val="32"/>
          <w:szCs w:val="32"/>
        </w:rPr>
        <w:t>的招标或议标活动，以委托人的名义全权办理招标或议标过程中的投标、报价、议标谈判等一切与招标或议标相关的事宜。</w:t>
      </w:r>
    </w:p>
    <w:p>
      <w:pPr>
        <w:spacing w:line="440" w:lineRule="exact"/>
        <w:ind w:firstLine="627"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2、如果委托人中标，代理人以委托人的名义与</w:t>
      </w:r>
      <w:r>
        <w:rPr>
          <w:rFonts w:hint="eastAsia" w:ascii="方正仿宋_GB2312" w:hAnsi="方正仿宋_GB2312" w:eastAsia="方正仿宋_GB2312" w:cs="方正仿宋_GB2312"/>
          <w:b/>
          <w:sz w:val="32"/>
          <w:szCs w:val="32"/>
        </w:rPr>
        <w:t>中粮糖业及所属各级单位</w:t>
      </w:r>
      <w:r>
        <w:rPr>
          <w:rFonts w:hint="eastAsia" w:ascii="方正仿宋_GB2312" w:hAnsi="方正仿宋_GB2312" w:eastAsia="方正仿宋_GB2312" w:cs="方正仿宋_GB2312"/>
          <w:sz w:val="32"/>
          <w:szCs w:val="32"/>
        </w:rPr>
        <w:t>签订合同，并办理合同履行过程中的一切相关事宜。</w:t>
      </w:r>
    </w:p>
    <w:p>
      <w:pPr>
        <w:spacing w:line="440" w:lineRule="exact"/>
        <w:ind w:firstLine="627" w:firstLineChars="19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本公司对代理人的上述代理行为均予以认可并承担责任。</w:t>
      </w:r>
    </w:p>
    <w:p>
      <w:pPr>
        <w:spacing w:line="440" w:lineRule="exact"/>
        <w:ind w:right="56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授权期限：本授权委托书自授权之日起生效，有效期</w:t>
      </w:r>
      <w:r>
        <w:rPr>
          <w:rFonts w:hint="eastAsia" w:ascii="方正仿宋_GB2312" w:hAnsi="方正仿宋_GB2312" w:eastAsia="方正仿宋_GB2312" w:cs="方正仿宋_GB2312"/>
          <w:color w:val="FF0000"/>
          <w:sz w:val="32"/>
          <w:szCs w:val="32"/>
          <w:u w:val="single"/>
        </w:rPr>
        <w:t xml:space="preserve">  </w:t>
      </w:r>
      <w:r>
        <w:rPr>
          <w:rFonts w:hint="eastAsia" w:ascii="方正仿宋_GB2312" w:hAnsi="方正仿宋_GB2312" w:eastAsia="方正仿宋_GB2312" w:cs="方正仿宋_GB2312"/>
          <w:sz w:val="32"/>
          <w:szCs w:val="32"/>
        </w:rPr>
        <w:t>年。</w:t>
      </w:r>
    </w:p>
    <w:p>
      <w:pPr>
        <w:spacing w:line="440" w:lineRule="exact"/>
        <w:ind w:right="560"/>
        <w:jc w:val="right"/>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代理人身份证（正、反面）粘贴处：</w:t>
      </w: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rPr>
          <w:rFonts w:hint="eastAsia" w:ascii="方正仿宋_GB2312" w:hAnsi="方正仿宋_GB2312" w:eastAsia="方正仿宋_GB2312" w:cs="方正仿宋_GB2312"/>
          <w:sz w:val="32"/>
          <w:szCs w:val="32"/>
        </w:rPr>
      </w:pPr>
    </w:p>
    <w:p>
      <w:pPr>
        <w:spacing w:line="440" w:lineRule="exact"/>
        <w:ind w:right="560"/>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right="560"/>
        <w:jc w:val="center"/>
        <w:rPr>
          <w:rFonts w:hint="eastAsia" w:ascii="方正仿宋_GB2312" w:hAnsi="方正仿宋_GB2312" w:eastAsia="方正仿宋_GB2312" w:cs="方正仿宋_GB2312"/>
          <w:sz w:val="32"/>
          <w:szCs w:val="32"/>
        </w:rPr>
      </w:pPr>
    </w:p>
    <w:p>
      <w:pPr>
        <w:spacing w:line="440" w:lineRule="exact"/>
        <w:ind w:left="105" w:leftChars="50" w:right="480" w:firstLine="5139" w:firstLineChars="160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委托人：</w:t>
      </w:r>
      <w:r>
        <w:rPr>
          <w:rFonts w:hint="eastAsia" w:ascii="方正仿宋_GB2312" w:hAnsi="方正仿宋_GB2312" w:eastAsia="方正仿宋_GB2312" w:cs="方正仿宋_GB2312"/>
          <w:b/>
          <w:sz w:val="32"/>
          <w:szCs w:val="32"/>
        </w:rPr>
        <w:t>XXXXXX公司</w:t>
      </w:r>
    </w:p>
    <w:p>
      <w:pPr>
        <w:spacing w:line="440" w:lineRule="exact"/>
        <w:ind w:left="105" w:leftChars="50" w:right="480" w:firstLine="5139" w:firstLineChars="160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法定代表人（或负责人）：</w:t>
      </w:r>
    </w:p>
    <w:p>
      <w:pPr>
        <w:spacing w:line="440" w:lineRule="exact"/>
        <w:ind w:left="105" w:leftChars="50" w:right="26" w:firstLine="5139" w:firstLineChars="160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委托授权时间：</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日</w:t>
      </w:r>
    </w:p>
    <w:p>
      <w:pPr>
        <w:jc w:val="center"/>
        <w:rPr>
          <w:rFonts w:hint="eastAsia" w:ascii="方正仿宋_GB2312" w:hAnsi="方正仿宋_GB2312" w:eastAsia="方正仿宋_GB2312" w:cs="方正仿宋_GB2312"/>
          <w:b/>
          <w:sz w:val="28"/>
          <w:szCs w:val="28"/>
        </w:rPr>
      </w:pPr>
    </w:p>
    <w:p>
      <w:pPr>
        <w:jc w:val="center"/>
        <w:rPr>
          <w:rFonts w:hint="eastAsia" w:ascii="方正仿宋_GB2312" w:hAnsi="方正仿宋_GB2312" w:eastAsia="方正仿宋_GB2312" w:cs="方正仿宋_GB2312"/>
          <w:b/>
          <w:sz w:val="30"/>
          <w:szCs w:val="30"/>
        </w:rPr>
      </w:pPr>
    </w:p>
    <w:p>
      <w:pPr>
        <w:jc w:val="left"/>
        <w:rPr>
          <w:rFonts w:hint="eastAsia" w:ascii="黑体" w:hAnsi="黑体" w:eastAsia="黑体" w:cs="黑体"/>
          <w:b/>
          <w:sz w:val="30"/>
          <w:szCs w:val="30"/>
        </w:rPr>
      </w:pPr>
      <w:r>
        <w:rPr>
          <w:rFonts w:hint="eastAsia" w:ascii="黑体" w:hAnsi="黑体" w:eastAsia="黑体" w:cs="黑体"/>
          <w:b/>
          <w:sz w:val="30"/>
          <w:szCs w:val="30"/>
        </w:rPr>
        <w:t>五、参加采购活动前3年内在经营活动</w:t>
      </w:r>
    </w:p>
    <w:p>
      <w:pPr>
        <w:jc w:val="left"/>
        <w:rPr>
          <w:rFonts w:hint="eastAsia" w:ascii="方正仿宋_GB2312" w:hAnsi="方正仿宋_GB2312" w:eastAsia="方正仿宋_GB2312" w:cs="方正仿宋_GB2312"/>
          <w:sz w:val="28"/>
          <w:szCs w:val="28"/>
        </w:rPr>
      </w:pPr>
      <w:r>
        <w:rPr>
          <w:rFonts w:hint="eastAsia" w:ascii="黑体" w:hAnsi="黑体" w:eastAsia="黑体" w:cs="黑体"/>
          <w:b/>
          <w:sz w:val="30"/>
          <w:szCs w:val="30"/>
        </w:rPr>
        <w:t>中没有重大违法记录及具有良好信用信息的声明</w:t>
      </w:r>
      <w:r>
        <w:rPr>
          <w:rFonts w:hint="eastAsia" w:ascii="方正仿宋_GB2312" w:hAnsi="方正仿宋_GB2312" w:eastAsia="方正仿宋_GB2312" w:cs="方正仿宋_GB2312"/>
          <w:sz w:val="28"/>
          <w:szCs w:val="28"/>
        </w:rPr>
        <w:t>：</w:t>
      </w:r>
    </w:p>
    <w:p>
      <w:pPr>
        <w:spacing w:before="120" w:beforeLines="50" w:after="120" w:afterLines="50" w:line="520" w:lineRule="exact"/>
        <w:ind w:right="136" w:rightChars="65"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本项目投标文件截止时间前，我单位参加本次采购活动前3年内在经营活动中没有重大违法记录；通过“信用中国”(网站：www.creditchina.gov.cn/)等渠道查询，我单位未被列入失信被执行人、重大税收违法案件当事人名单。</w:t>
      </w:r>
    </w:p>
    <w:p>
      <w:pPr>
        <w:spacing w:before="120" w:beforeLines="50" w:after="120" w:afterLines="50" w:line="520" w:lineRule="exact"/>
        <w:ind w:right="1050" w:rightChars="50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特此声明。</w:t>
      </w:r>
    </w:p>
    <w:p>
      <w:pPr>
        <w:spacing w:before="120" w:beforeLines="50" w:after="120" w:afterLines="50" w:line="400" w:lineRule="exact"/>
        <w:ind w:right="1050" w:rightChars="500" w:firstLine="640" w:firstLineChars="200"/>
        <w:rPr>
          <w:rFonts w:hint="eastAsia" w:ascii="方正仿宋_GB2312" w:hAnsi="方正仿宋_GB2312" w:eastAsia="方正仿宋_GB2312" w:cs="方正仿宋_GB2312"/>
          <w:sz w:val="32"/>
          <w:szCs w:val="32"/>
        </w:rPr>
      </w:pPr>
    </w:p>
    <w:p>
      <w:pPr>
        <w:spacing w:before="120" w:beforeLines="50" w:after="120" w:afterLines="50" w:line="400" w:lineRule="exact"/>
        <w:ind w:right="1050" w:rightChars="500" w:firstLine="640" w:firstLineChars="200"/>
        <w:rPr>
          <w:rFonts w:hint="eastAsia" w:ascii="方正仿宋_GB2312" w:hAnsi="方正仿宋_GB2312" w:eastAsia="方正仿宋_GB2312" w:cs="方正仿宋_GB2312"/>
          <w:sz w:val="32"/>
          <w:szCs w:val="32"/>
        </w:rPr>
      </w:pPr>
    </w:p>
    <w:p>
      <w:pPr>
        <w:spacing w:before="120" w:beforeLines="50" w:after="120" w:afterLines="50" w:line="400" w:lineRule="exact"/>
        <w:ind w:right="1050" w:rightChars="500" w:firstLine="640" w:firstLineChars="200"/>
        <w:rPr>
          <w:rFonts w:hint="eastAsia" w:ascii="方正仿宋_GB2312" w:hAnsi="方正仿宋_GB2312" w:eastAsia="方正仿宋_GB2312" w:cs="方正仿宋_GB2312"/>
          <w:sz w:val="32"/>
          <w:szCs w:val="32"/>
        </w:rPr>
      </w:pPr>
    </w:p>
    <w:p>
      <w:pPr>
        <w:spacing w:line="360" w:lineRule="exact"/>
        <w:ind w:left="1050" w:leftChars="500" w:right="1050" w:rightChars="500" w:firstLine="640" w:firstLineChars="200"/>
        <w:rPr>
          <w:rFonts w:hint="eastAsia" w:ascii="方正仿宋_GB2312" w:hAnsi="方正仿宋_GB2312" w:eastAsia="方正仿宋_GB2312" w:cs="方正仿宋_GB2312"/>
          <w:sz w:val="32"/>
          <w:szCs w:val="32"/>
        </w:rPr>
      </w:pPr>
    </w:p>
    <w:p>
      <w:pPr>
        <w:spacing w:line="600" w:lineRule="auto"/>
        <w:ind w:right="480" w:firstLine="3840" w:firstLineChars="1200"/>
        <w:rPr>
          <w:rFonts w:hint="eastAsia" w:ascii="方正仿宋_GB2312" w:hAnsi="方正仿宋_GB2312" w:eastAsia="方正仿宋_GB2312" w:cs="方正仿宋_GB2312"/>
          <w:sz w:val="32"/>
          <w:szCs w:val="32"/>
        </w:rPr>
      </w:pPr>
    </w:p>
    <w:p>
      <w:pPr>
        <w:spacing w:line="600" w:lineRule="auto"/>
        <w:ind w:right="480" w:firstLine="3840" w:firstLineChars="1200"/>
        <w:rPr>
          <w:rFonts w:hint="eastAsia" w:ascii="方正仿宋_GB2312" w:hAnsi="方正仿宋_GB2312" w:eastAsia="方正仿宋_GB2312" w:cs="方正仿宋_GB2312"/>
          <w:sz w:val="32"/>
          <w:szCs w:val="32"/>
        </w:rPr>
      </w:pPr>
    </w:p>
    <w:p>
      <w:pPr>
        <w:spacing w:line="600" w:lineRule="auto"/>
        <w:ind w:right="480" w:firstLine="3840" w:firstLineChars="1200"/>
        <w:rPr>
          <w:rFonts w:hint="eastAsia" w:ascii="方正仿宋_GB2312" w:hAnsi="方正仿宋_GB2312" w:eastAsia="方正仿宋_GB2312" w:cs="方正仿宋_GB2312"/>
          <w:sz w:val="32"/>
          <w:szCs w:val="32"/>
        </w:rPr>
      </w:pPr>
    </w:p>
    <w:p>
      <w:pPr>
        <w:spacing w:line="600" w:lineRule="auto"/>
        <w:ind w:right="480" w:firstLine="3840" w:firstLineChars="1200"/>
        <w:rPr>
          <w:rFonts w:hint="eastAsia" w:ascii="方正仿宋_GB2312" w:hAnsi="方正仿宋_GB2312" w:eastAsia="方正仿宋_GB2312" w:cs="方正仿宋_GB2312"/>
          <w:sz w:val="32"/>
          <w:szCs w:val="32"/>
        </w:rPr>
      </w:pPr>
    </w:p>
    <w:p>
      <w:pPr>
        <w:spacing w:line="600" w:lineRule="auto"/>
        <w:ind w:right="480" w:firstLine="3840" w:firstLineChars="1200"/>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投标人名称：</w:t>
      </w:r>
      <w:r>
        <w:rPr>
          <w:rFonts w:hint="eastAsia" w:ascii="方正仿宋_GB2312" w:hAnsi="方正仿宋_GB2312" w:eastAsia="方正仿宋_GB2312" w:cs="方正仿宋_GB2312"/>
          <w:sz w:val="32"/>
          <w:szCs w:val="32"/>
          <w:u w:val="single"/>
        </w:rPr>
        <w:t xml:space="preserve">（加盖公章）           </w:t>
      </w:r>
    </w:p>
    <w:p>
      <w:pPr>
        <w:spacing w:line="600" w:lineRule="auto"/>
        <w:ind w:firstLine="640" w:firstLineChars="200"/>
        <w:jc w:val="righ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法定代表人或其授权代表：</w:t>
      </w:r>
      <w:r>
        <w:rPr>
          <w:rFonts w:hint="eastAsia" w:ascii="方正仿宋_GB2312" w:hAnsi="方正仿宋_GB2312" w:eastAsia="方正仿宋_GB2312" w:cs="方正仿宋_GB2312"/>
          <w:sz w:val="32"/>
          <w:szCs w:val="32"/>
          <w:u w:val="single"/>
        </w:rPr>
        <w:t xml:space="preserve">     (签字)</w:t>
      </w:r>
    </w:p>
    <w:p>
      <w:pPr>
        <w:spacing w:line="600" w:lineRule="auto"/>
        <w:ind w:right="120" w:firstLine="640" w:firstLineChars="200"/>
        <w:jc w:val="righ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签署日期：</w:t>
      </w:r>
      <w:r>
        <w:rPr>
          <w:rFonts w:hint="eastAsia" w:ascii="方正仿宋_GB2312" w:hAnsi="方正仿宋_GB2312" w:eastAsia="方正仿宋_GB2312" w:cs="方正仿宋_GB2312"/>
          <w:sz w:val="32"/>
          <w:szCs w:val="32"/>
          <w:u w:val="single"/>
        </w:rPr>
        <w:t xml:space="preserve">      年      月      日</w:t>
      </w:r>
    </w:p>
    <w:p>
      <w:pPr>
        <w:jc w:val="left"/>
        <w:rPr>
          <w:rFonts w:hint="eastAsia" w:ascii="黑体" w:hAnsi="黑体" w:eastAsia="黑体" w:cs="黑体"/>
          <w:b/>
          <w:bCs/>
          <w:sz w:val="32"/>
          <w:szCs w:val="32"/>
        </w:rPr>
      </w:pPr>
      <w:r>
        <w:rPr>
          <w:rFonts w:hint="eastAsia" w:ascii="方正仿宋_GB2312" w:hAnsi="方正仿宋_GB2312" w:eastAsia="方正仿宋_GB2312" w:cs="方正仿宋_GB2312"/>
          <w:sz w:val="28"/>
          <w:szCs w:val="28"/>
        </w:rPr>
        <w:br w:type="page"/>
      </w:r>
      <w:bookmarkStart w:id="23" w:name="_Toc17297_WPSOffice_Level1"/>
      <w:r>
        <w:rPr>
          <w:rFonts w:hint="eastAsia" w:ascii="方正仿宋_GB2312" w:hAnsi="方正仿宋_GB2312" w:eastAsia="方正仿宋_GB2312" w:cs="方正仿宋_GB2312"/>
          <w:sz w:val="28"/>
          <w:szCs w:val="28"/>
          <w:lang w:val="en-US" w:eastAsia="zh-CN"/>
        </w:rPr>
        <w:t xml:space="preserve">  </w:t>
      </w:r>
      <w:r>
        <w:rPr>
          <w:rFonts w:hint="eastAsia" w:ascii="黑体" w:hAnsi="黑体" w:eastAsia="黑体" w:cs="黑体"/>
          <w:b/>
          <w:bCs/>
          <w:sz w:val="32"/>
          <w:szCs w:val="32"/>
        </w:rPr>
        <w:t>六、谈判响应保证金</w:t>
      </w:r>
    </w:p>
    <w:p>
      <w:pPr>
        <w:pStyle w:val="8"/>
        <w:spacing w:line="50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转账支票对账单、或电汇单、或银行汇票（或其进账单）、或中粮糖业辽宁有限公司、中粮(唐山)糖业有限公司保证金收据的复印件</w:t>
      </w:r>
    </w:p>
    <w:p>
      <w:pPr>
        <w:pStyle w:val="8"/>
        <w:spacing w:line="300" w:lineRule="auto"/>
        <w:rPr>
          <w:rFonts w:hint="eastAsia" w:ascii="方正仿宋_GB2312" w:hAnsi="方正仿宋_GB2312" w:eastAsia="方正仿宋_GB2312" w:cs="方正仿宋_GB2312"/>
          <w:b/>
          <w:color w:val="000000"/>
          <w:sz w:val="32"/>
          <w:szCs w:val="32"/>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8689" w:type="dxa"/>
          </w:tcPr>
          <w:p>
            <w:pPr>
              <w:pStyle w:val="8"/>
              <w:spacing w:line="300" w:lineRule="auto"/>
              <w:rPr>
                <w:rFonts w:hint="eastAsia" w:ascii="方正仿宋_GB2312" w:hAnsi="方正仿宋_GB2312" w:eastAsia="方正仿宋_GB2312" w:cs="方正仿宋_GB2312"/>
                <w:b/>
                <w:color w:val="000000"/>
                <w:sz w:val="32"/>
                <w:szCs w:val="32"/>
              </w:rPr>
            </w:pPr>
          </w:p>
          <w:p>
            <w:pPr>
              <w:pStyle w:val="8"/>
              <w:spacing w:line="500" w:lineRule="exact"/>
              <w:rPr>
                <w:rFonts w:hint="eastAsia" w:ascii="方正仿宋_GB2312" w:hAnsi="方正仿宋_GB2312" w:eastAsia="方正仿宋_GB2312" w:cs="方正仿宋_GB2312"/>
                <w:color w:val="000000"/>
                <w:sz w:val="32"/>
                <w:szCs w:val="32"/>
              </w:rPr>
            </w:pPr>
          </w:p>
          <w:p>
            <w:pPr>
              <w:pStyle w:val="8"/>
              <w:spacing w:line="500" w:lineRule="exact"/>
              <w:rPr>
                <w:rFonts w:hint="eastAsia" w:ascii="方正仿宋_GB2312" w:hAnsi="方正仿宋_GB2312" w:eastAsia="方正仿宋_GB2312" w:cs="方正仿宋_GB2312"/>
                <w:color w:val="000000"/>
                <w:sz w:val="32"/>
                <w:szCs w:val="32"/>
              </w:rPr>
            </w:pPr>
          </w:p>
          <w:p>
            <w:pPr>
              <w:pStyle w:val="8"/>
              <w:spacing w:line="500" w:lineRule="exact"/>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转账支票对账单、或电汇单、或银行汇票（或其进账单）、或中粮(唐山)糖业有限公司保证金收据的复印件</w:t>
            </w:r>
          </w:p>
          <w:p>
            <w:pPr>
              <w:pStyle w:val="8"/>
              <w:spacing w:line="300" w:lineRule="auto"/>
              <w:rPr>
                <w:rFonts w:hint="eastAsia" w:ascii="方正仿宋_GB2312" w:hAnsi="方正仿宋_GB2312" w:eastAsia="方正仿宋_GB2312" w:cs="方正仿宋_GB2312"/>
                <w:b/>
                <w:color w:val="000000"/>
                <w:sz w:val="32"/>
                <w:szCs w:val="32"/>
              </w:rPr>
            </w:pPr>
          </w:p>
        </w:tc>
      </w:tr>
    </w:tbl>
    <w:p>
      <w:pPr>
        <w:jc w:val="center"/>
        <w:rPr>
          <w:rFonts w:hint="eastAsia" w:ascii="方正仿宋_GB2312" w:hAnsi="方正仿宋_GB2312" w:eastAsia="方正仿宋_GB2312" w:cs="方正仿宋_GB2312"/>
          <w:b/>
          <w:bCs/>
          <w:sz w:val="30"/>
          <w:szCs w:val="30"/>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ind w:firstLine="560" w:firstLineChars="200"/>
        <w:jc w:val="center"/>
        <w:rPr>
          <w:rFonts w:hint="eastAsia" w:ascii="方正仿宋_GB2312" w:hAnsi="方正仿宋_GB2312" w:eastAsia="方正仿宋_GB2312" w:cs="方正仿宋_GB2312"/>
          <w:sz w:val="28"/>
          <w:szCs w:val="28"/>
        </w:rPr>
      </w:pPr>
    </w:p>
    <w:p>
      <w:pPr>
        <w:spacing w:line="560" w:lineRule="exact"/>
        <w:jc w:val="both"/>
        <w:rPr>
          <w:rFonts w:hint="eastAsia" w:ascii="方正仿宋_GB2312" w:hAnsi="方正仿宋_GB2312" w:eastAsia="方正仿宋_GB2312" w:cs="方正仿宋_GB2312"/>
          <w:b/>
          <w:bCs/>
          <w:sz w:val="28"/>
          <w:szCs w:val="28"/>
        </w:rPr>
      </w:pPr>
    </w:p>
    <w:p>
      <w:pPr>
        <w:spacing w:line="560" w:lineRule="exact"/>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八、投标函</w:t>
      </w:r>
      <w:bookmarkEnd w:id="23"/>
    </w:p>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采购单位： </w:t>
      </w:r>
    </w:p>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供应商名称 </w:t>
      </w:r>
      <w:r>
        <w:rPr>
          <w:rFonts w:hint="eastAsia" w:ascii="方正仿宋_GB2312" w:hAnsi="方正仿宋_GB2312" w:eastAsia="方正仿宋_GB2312" w:cs="方正仿宋_GB2312"/>
          <w:sz w:val="32"/>
          <w:szCs w:val="32"/>
        </w:rPr>
        <w:t>授权</w:t>
      </w:r>
      <w:r>
        <w:rPr>
          <w:rFonts w:hint="eastAsia" w:ascii="方正仿宋_GB2312" w:hAnsi="方正仿宋_GB2312" w:eastAsia="方正仿宋_GB2312" w:cs="方正仿宋_GB2312"/>
          <w:sz w:val="32"/>
          <w:szCs w:val="32"/>
          <w:u w:val="single"/>
        </w:rPr>
        <w:t xml:space="preserve"> 供应商代表姓名、职务 </w:t>
      </w:r>
      <w:r>
        <w:rPr>
          <w:rFonts w:hint="eastAsia" w:ascii="方正仿宋_GB2312" w:hAnsi="方正仿宋_GB2312" w:eastAsia="方正仿宋_GB2312" w:cs="方正仿宋_GB2312"/>
          <w:sz w:val="32"/>
          <w:szCs w:val="32"/>
        </w:rPr>
        <w:t>为我方代表，参加你单位组织的</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采购项目的有关活动，并对此采购项目进行投标。为此，我方按采购文件规定提供服务的投标报价、投标保证金：</w:t>
      </w:r>
    </w:p>
    <w:tbl>
      <w:tblPr>
        <w:tblStyle w:val="18"/>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5954"/>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序号</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项目名称</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图纸内容</w:t>
            </w:r>
          </w:p>
        </w:tc>
        <w:tc>
          <w:tcPr>
            <w:tcW w:w="141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投标单价（人民币 元）（含税）</w:t>
            </w:r>
          </w:p>
        </w:tc>
        <w:tc>
          <w:tcPr>
            <w:tcW w:w="141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投标总价（人民币 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1</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厂区消防环路</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施工图：8米宽双坡重载道路及路侧排水沟做法，5米宽单坡轻载道路及路侧排水沟做法，150m³初期雨水收集池（地下）结构做法，此收集池位置布置水泵及阀门，及通向厂区污水站的地下管线。</w:t>
            </w:r>
          </w:p>
        </w:tc>
        <w:tc>
          <w:tcPr>
            <w:tcW w:w="1417" w:type="dxa"/>
          </w:tcPr>
          <w:p>
            <w:pPr>
              <w:spacing w:line="360" w:lineRule="auto"/>
              <w:rPr>
                <w:rFonts w:hint="eastAsia" w:ascii="方正仿宋_GB2312" w:hAnsi="方正仿宋_GB2312" w:eastAsia="方正仿宋_GB2312" w:cs="方正仿宋_GB2312"/>
                <w:color w:val="000000"/>
                <w:kern w:val="0"/>
                <w:sz w:val="32"/>
                <w:szCs w:val="32"/>
                <w:lang w:bidi="ar"/>
              </w:rPr>
            </w:pPr>
          </w:p>
        </w:tc>
        <w:tc>
          <w:tcPr>
            <w:tcW w:w="1417" w:type="dxa"/>
            <w:vMerge w:val="restart"/>
          </w:tcPr>
          <w:p>
            <w:pPr>
              <w:spacing w:line="360" w:lineRule="auto"/>
              <w:rPr>
                <w:rFonts w:hint="eastAsia" w:ascii="方正仿宋_GB2312" w:hAnsi="方正仿宋_GB2312" w:eastAsia="方正仿宋_GB2312" w:cs="方正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沉淀池刮泥机</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施工图：新增混凝土浇筑再生池一座，与原有再生池对接，占地长8500mm×宽8500mm×深3600mm＝260.1m³，要求满足承载力相关要求。</w:t>
            </w:r>
          </w:p>
        </w:tc>
        <w:tc>
          <w:tcPr>
            <w:tcW w:w="1417" w:type="dxa"/>
          </w:tcPr>
          <w:p>
            <w:pPr>
              <w:spacing w:line="360" w:lineRule="auto"/>
              <w:rPr>
                <w:rFonts w:hint="eastAsia" w:ascii="方正仿宋_GB2312" w:hAnsi="方正仿宋_GB2312" w:eastAsia="方正仿宋_GB2312" w:cs="方正仿宋_GB2312"/>
                <w:color w:val="000000"/>
                <w:kern w:val="0"/>
                <w:sz w:val="32"/>
                <w:szCs w:val="32"/>
                <w:lang w:bidi="ar"/>
              </w:rPr>
            </w:pPr>
          </w:p>
        </w:tc>
        <w:tc>
          <w:tcPr>
            <w:tcW w:w="1417" w:type="dxa"/>
            <w:vMerge w:val="continue"/>
          </w:tcPr>
          <w:p>
            <w:pPr>
              <w:spacing w:line="360" w:lineRule="auto"/>
              <w:rPr>
                <w:rFonts w:hint="eastAsia" w:ascii="方正仿宋_GB2312" w:hAnsi="方正仿宋_GB2312" w:eastAsia="方正仿宋_GB2312" w:cs="方正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散装糖</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钢结构施工图设计，重载路施工图设计，结合新增设备提资出具设备布置图，并保证皮带机通廊及装车平台钢结构满足承载力相关要求，周转仓南侧重载路面，两个相邻单体墙体开洞连通涉及跨防火分区问题需满足消防、环保、安全等最新相关要求。</w:t>
            </w:r>
          </w:p>
        </w:tc>
        <w:tc>
          <w:tcPr>
            <w:tcW w:w="1417" w:type="dxa"/>
          </w:tcPr>
          <w:p>
            <w:pPr>
              <w:spacing w:line="360" w:lineRule="auto"/>
              <w:rPr>
                <w:rFonts w:hint="eastAsia" w:ascii="方正仿宋_GB2312" w:hAnsi="方正仿宋_GB2312" w:eastAsia="方正仿宋_GB2312" w:cs="方正仿宋_GB2312"/>
                <w:color w:val="000000"/>
                <w:kern w:val="0"/>
                <w:sz w:val="32"/>
                <w:szCs w:val="32"/>
                <w:lang w:bidi="ar"/>
              </w:rPr>
            </w:pPr>
          </w:p>
        </w:tc>
        <w:tc>
          <w:tcPr>
            <w:tcW w:w="1417" w:type="dxa"/>
            <w:vMerge w:val="continue"/>
          </w:tcPr>
          <w:p>
            <w:pPr>
              <w:spacing w:line="360" w:lineRule="auto"/>
              <w:rPr>
                <w:rFonts w:hint="eastAsia" w:ascii="方正仿宋_GB2312" w:hAnsi="方正仿宋_GB2312" w:eastAsia="方正仿宋_GB2312" w:cs="方正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新增分蜜机</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施工图：结合新增设备提资出具设备布置图，保证楼板承重满足承载力相关要求出具结构图和改造方案，保证电负荷满足现车间生产需求</w:t>
            </w:r>
          </w:p>
        </w:tc>
        <w:tc>
          <w:tcPr>
            <w:tcW w:w="1417" w:type="dxa"/>
          </w:tcPr>
          <w:p>
            <w:pPr>
              <w:spacing w:line="360" w:lineRule="auto"/>
              <w:rPr>
                <w:rFonts w:hint="eastAsia" w:ascii="方正仿宋_GB2312" w:hAnsi="方正仿宋_GB2312" w:eastAsia="方正仿宋_GB2312" w:cs="方正仿宋_GB2312"/>
                <w:color w:val="000000"/>
                <w:kern w:val="0"/>
                <w:sz w:val="32"/>
                <w:szCs w:val="32"/>
                <w:lang w:bidi="ar"/>
              </w:rPr>
            </w:pPr>
          </w:p>
        </w:tc>
        <w:tc>
          <w:tcPr>
            <w:tcW w:w="1417" w:type="dxa"/>
            <w:vMerge w:val="continue"/>
          </w:tcPr>
          <w:p>
            <w:pPr>
              <w:spacing w:line="360" w:lineRule="auto"/>
              <w:rPr>
                <w:rFonts w:hint="eastAsia" w:ascii="方正仿宋_GB2312" w:hAnsi="方正仿宋_GB2312" w:eastAsia="方正仿宋_GB2312" w:cs="方正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w:t>
            </w:r>
          </w:p>
        </w:tc>
        <w:tc>
          <w:tcPr>
            <w:tcW w:w="993"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振筛换摇筛</w:t>
            </w:r>
          </w:p>
        </w:tc>
        <w:tc>
          <w:tcPr>
            <w:tcW w:w="5954" w:type="dxa"/>
          </w:tcPr>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lang w:bidi="ar"/>
              </w:rPr>
              <w:t>施工图：结合新增设备提资出具设备布置图及高洁净区改造方案和布置图，为保证楼板承重满足承载力相关要求并出具结构图和改造方案，因可能涉及屋顶加高结合屋顶加高高度出具屋顶加高改造方案及结构图。</w:t>
            </w:r>
          </w:p>
        </w:tc>
        <w:tc>
          <w:tcPr>
            <w:tcW w:w="1417" w:type="dxa"/>
          </w:tcPr>
          <w:p>
            <w:pPr>
              <w:spacing w:line="360" w:lineRule="auto"/>
              <w:rPr>
                <w:rFonts w:hint="eastAsia" w:ascii="方正仿宋_GB2312" w:hAnsi="方正仿宋_GB2312" w:eastAsia="方正仿宋_GB2312" w:cs="方正仿宋_GB2312"/>
                <w:color w:val="000000"/>
                <w:kern w:val="0"/>
                <w:sz w:val="32"/>
                <w:szCs w:val="32"/>
                <w:lang w:bidi="ar"/>
              </w:rPr>
            </w:pPr>
          </w:p>
        </w:tc>
        <w:tc>
          <w:tcPr>
            <w:tcW w:w="1417" w:type="dxa"/>
            <w:vMerge w:val="continue"/>
          </w:tcPr>
          <w:p>
            <w:pPr>
              <w:spacing w:line="360" w:lineRule="auto"/>
              <w:rPr>
                <w:rFonts w:hint="eastAsia" w:ascii="方正仿宋_GB2312" w:hAnsi="方正仿宋_GB2312" w:eastAsia="方正仿宋_GB2312" w:cs="方正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4" w:type="dxa"/>
            <w:gridSpan w:val="3"/>
            <w:vAlign w:val="center"/>
          </w:tcPr>
          <w:p>
            <w:pPr>
              <w:spacing w:line="360" w:lineRule="auto"/>
              <w:rPr>
                <w:rFonts w:hint="eastAsia"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税率</w:t>
            </w:r>
          </w:p>
        </w:tc>
        <w:tc>
          <w:tcPr>
            <w:tcW w:w="2834" w:type="dxa"/>
            <w:gridSpan w:val="2"/>
            <w:vAlign w:val="center"/>
          </w:tcPr>
          <w:p>
            <w:pPr>
              <w:spacing w:line="360" w:lineRule="auto"/>
              <w:rPr>
                <w:rFonts w:hint="eastAsia" w:ascii="方正仿宋_GB2312" w:hAnsi="方正仿宋_GB2312" w:eastAsia="方正仿宋_GB2312" w:cs="方正仿宋_GB2312"/>
                <w:color w:val="000000"/>
                <w:kern w:val="0"/>
                <w:sz w:val="32"/>
                <w:szCs w:val="32"/>
                <w:lang w:bidi="ar"/>
              </w:rPr>
            </w:pPr>
            <w:r>
              <w:rPr>
                <w:rFonts w:hint="eastAsia" w:ascii="方正仿宋_GB2312" w:hAnsi="方正仿宋_GB2312" w:eastAsia="方正仿宋_GB2312" w:cs="方正仿宋_GB2312"/>
                <w:color w:val="000000"/>
                <w:kern w:val="0"/>
                <w:sz w:val="32"/>
                <w:szCs w:val="32"/>
                <w:lang w:bidi="ar"/>
              </w:rPr>
              <w:t>%</w:t>
            </w:r>
          </w:p>
        </w:tc>
      </w:tr>
    </w:tbl>
    <w:p>
      <w:pPr>
        <w:spacing w:line="360" w:lineRule="auto"/>
        <w:rPr>
          <w:rFonts w:hint="eastAsia" w:ascii="方正仿宋_GB2312" w:hAnsi="方正仿宋_GB2312" w:eastAsia="方正仿宋_GB2312" w:cs="方正仿宋_GB2312"/>
          <w:b/>
          <w:color w:val="FF0000"/>
          <w:sz w:val="32"/>
          <w:szCs w:val="32"/>
        </w:rPr>
      </w:pP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一、我方同意在谈判采购文件中规定的开标日起90天内遵守本响应文件中的承诺且在此期限期满之前均具有约束力。</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二、我方保证遵守谈判采购文件的规定，如果本公司违反谈判采购文件要求，我方的投标保证金可以被你单位没收。如果开标后在规定的投标有效期内撤回投标，我方的投标保证金可以被你单位没收。</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我方承诺已经具备谈判采购文件中规定的供应商应当具备的条件。我方愿意向你单位提供任何与本采购项目投标有关的数据、情况和技术资料，并根据需要提供一切承诺的证明材料，并保证其真实、合法、有效。</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四、我方保证尊重评标委员会的评标结果，完全理解本采购项目不一定接受最低报价的投标。</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五、我方承诺接受采购文件中采购合同条款的全部条款且无任何异议。如果我方成交，我们将按采购文件的规定，保证忠实地履行双方所签订的采购合同，并承担采购合同规定的责任和义务。</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我方若有下列情形之一的，接受你单位及相关监督管理部门对我方施以采购金额5‰以上10‰以下的违约处罚，列入不良行为记录名单，在1至3年内禁止参加采购单位组织的采购活动；有违法所得的，提请政府有关行政部门没收违法所得；情节严重的，提请工商行政管理机关吊销营业执照；构成犯罪的，提请司法部门依法追究刑事责任：</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（1）提供虚假材料谋取成交的；</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（2）采取不正当手段诋毁、排挤其它投标人的；</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（3）与采购单位、其它投标人恶意串通的；</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（4）向采购单位行贿或者提供其它不正当利益的；</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（5）拒绝有关部门监督检查或提供虚假情况的。 </w:t>
      </w:r>
    </w:p>
    <w:p>
      <w:pPr>
        <w:spacing w:before="240" w:beforeLines="100" w:after="240" w:afterLines="100" w:line="360" w:lineRule="auto"/>
        <w:jc w:val="center"/>
        <w:rPr>
          <w:rFonts w:hint="eastAsia" w:ascii="方正仿宋_GB2312" w:hAnsi="方正仿宋_GB2312" w:eastAsia="方正仿宋_GB2312" w:cs="方正仿宋_GB2312"/>
          <w:b/>
          <w:sz w:val="32"/>
          <w:szCs w:val="32"/>
        </w:rPr>
      </w:pPr>
    </w:p>
    <w:p>
      <w:pPr>
        <w:spacing w:line="400" w:lineRule="exact"/>
        <w:rPr>
          <w:rFonts w:hint="eastAsia" w:ascii="方正仿宋_GB2312" w:hAnsi="方正仿宋_GB2312" w:eastAsia="方正仿宋_GB2312" w:cs="方正仿宋_GB2312"/>
          <w:sz w:val="32"/>
          <w:szCs w:val="32"/>
        </w:rPr>
      </w:pPr>
    </w:p>
    <w:p>
      <w:pPr>
        <w:spacing w:line="600" w:lineRule="auto"/>
        <w:ind w:right="480" w:firstLine="640" w:firstLineChars="200"/>
        <w:jc w:val="center"/>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投标人名称：</w:t>
      </w:r>
      <w:r>
        <w:rPr>
          <w:rFonts w:hint="eastAsia" w:ascii="方正仿宋_GB2312" w:hAnsi="方正仿宋_GB2312" w:eastAsia="方正仿宋_GB2312" w:cs="方正仿宋_GB2312"/>
          <w:sz w:val="32"/>
          <w:szCs w:val="32"/>
          <w:u w:val="single"/>
        </w:rPr>
        <w:t xml:space="preserve">（加盖公章）           </w:t>
      </w:r>
    </w:p>
    <w:p>
      <w:pPr>
        <w:spacing w:line="600" w:lineRule="auto"/>
        <w:ind w:right="360" w:firstLine="640" w:firstLineChars="200"/>
        <w:jc w:val="righ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法定代表人或其授权代表：</w:t>
      </w:r>
      <w:r>
        <w:rPr>
          <w:rFonts w:hint="eastAsia" w:ascii="方正仿宋_GB2312" w:hAnsi="方正仿宋_GB2312" w:eastAsia="方正仿宋_GB2312" w:cs="方正仿宋_GB2312"/>
          <w:sz w:val="32"/>
          <w:szCs w:val="32"/>
          <w:u w:val="single"/>
        </w:rPr>
        <w:t xml:space="preserve">    (签字)</w:t>
      </w:r>
    </w:p>
    <w:p>
      <w:pPr>
        <w:spacing w:line="360" w:lineRule="auto"/>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签署日期：</w:t>
      </w:r>
      <w:r>
        <w:rPr>
          <w:rFonts w:hint="eastAsia" w:ascii="方正仿宋_GB2312" w:hAnsi="方正仿宋_GB2312" w:eastAsia="方正仿宋_GB2312" w:cs="方正仿宋_GB2312"/>
          <w:sz w:val="32"/>
          <w:szCs w:val="32"/>
          <w:u w:val="single"/>
        </w:rPr>
        <w:t xml:space="preserve">      年      月      日</w:t>
      </w:r>
    </w:p>
    <w:p>
      <w:pPr>
        <w:spacing w:line="460" w:lineRule="exact"/>
        <w:jc w:val="center"/>
        <w:rPr>
          <w:rFonts w:hint="eastAsia" w:ascii="方正仿宋_GB2312" w:hAnsi="方正仿宋_GB2312" w:eastAsia="方正仿宋_GB2312" w:cs="方正仿宋_GB2312"/>
          <w:sz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方正仿宋_GB2312" w:hAnsi="方正仿宋_GB2312" w:eastAsia="方正仿宋_GB2312" w:cs="方正仿宋_GB2312"/>
          <w:sz w:val="28"/>
          <w:szCs w:val="28"/>
        </w:rPr>
      </w:pPr>
    </w:p>
    <w:p>
      <w:pPr>
        <w:spacing w:line="480" w:lineRule="auto"/>
        <w:jc w:val="both"/>
        <w:rPr>
          <w:rFonts w:hint="eastAsia" w:ascii="黑体" w:hAnsi="黑体" w:eastAsia="黑体" w:cs="黑体"/>
          <w:color w:val="auto"/>
          <w:sz w:val="32"/>
          <w:szCs w:val="32"/>
          <w:u w:val="single"/>
        </w:rPr>
      </w:pPr>
      <w:r>
        <w:rPr>
          <w:rFonts w:hint="eastAsia" w:ascii="黑体" w:hAnsi="黑体" w:eastAsia="黑体" w:cs="黑体"/>
          <w:color w:val="auto"/>
          <w:sz w:val="32"/>
          <w:szCs w:val="32"/>
        </w:rPr>
        <w:t>九</w:t>
      </w:r>
      <w:r>
        <w:rPr>
          <w:rFonts w:hint="eastAsia" w:ascii="黑体" w:hAnsi="黑体" w:eastAsia="黑体" w:cs="黑体"/>
          <w:color w:val="auto"/>
          <w:sz w:val="32"/>
          <w:szCs w:val="32"/>
          <w:u w:val="single"/>
        </w:rPr>
        <w:t>、响应方案（请参照谈判文件中评审方法，）</w:t>
      </w:r>
    </w:p>
    <w:p>
      <w:pPr>
        <w:pStyle w:val="2"/>
        <w:rPr>
          <w:rFonts w:hint="eastAsia" w:ascii="方正仿宋_GB2312" w:hAnsi="方正仿宋_GB2312" w:eastAsia="方正仿宋_GB2312" w:cs="方正仿宋_GB2312"/>
          <w:sz w:val="28"/>
          <w:szCs w:val="28"/>
        </w:rPr>
      </w:pPr>
    </w:p>
    <w:p>
      <w:pPr>
        <w:spacing w:line="480" w:lineRule="auto"/>
        <w:ind w:firstLine="560" w:firstLineChars="200"/>
        <w:rPr>
          <w:rFonts w:hint="eastAsia" w:ascii="方正仿宋_GB2312" w:hAnsi="方正仿宋_GB2312" w:eastAsia="方正仿宋_GB2312" w:cs="方正仿宋_GB2312"/>
          <w:sz w:val="28"/>
          <w:szCs w:val="28"/>
        </w:rPr>
      </w:pPr>
    </w:p>
    <w:p>
      <w:pPr>
        <w:spacing w:line="560" w:lineRule="exact"/>
        <w:ind w:firstLine="562" w:firstLineChars="200"/>
        <w:jc w:val="center"/>
        <w:rPr>
          <w:rFonts w:hint="eastAsia" w:ascii="方正仿宋_GB2312" w:hAnsi="方正仿宋_GB2312" w:eastAsia="方正仿宋_GB2312" w:cs="方正仿宋_GB2312"/>
          <w:b/>
          <w:bCs/>
          <w:sz w:val="28"/>
          <w:szCs w:val="28"/>
        </w:rPr>
      </w:pPr>
      <w:bookmarkStart w:id="24" w:name="_Toc28831_WPSOffice_Level1"/>
    </w:p>
    <w:bookmarkEnd w:id="24"/>
    <w:p>
      <w:pPr>
        <w:spacing w:line="360" w:lineRule="auto"/>
        <w:rPr>
          <w:rFonts w:hint="eastAsia" w:ascii="方正仿宋_GB2312" w:hAnsi="方正仿宋_GB2312" w:eastAsia="方正仿宋_GB2312" w:cs="方正仿宋_GB2312"/>
          <w:b/>
          <w:bCs/>
        </w:rPr>
      </w:pPr>
    </w:p>
    <w:p>
      <w:pPr>
        <w:widowControl/>
        <w:spacing w:line="560" w:lineRule="exact"/>
        <w:jc w:val="left"/>
        <w:rPr>
          <w:rFonts w:hint="eastAsia" w:ascii="方正仿宋_GB2312" w:hAnsi="方正仿宋_GB2312" w:eastAsia="方正仿宋_GB2312" w:cs="方正仿宋_GB2312"/>
          <w:bCs/>
          <w:sz w:val="24"/>
          <w:szCs w:val="28"/>
        </w:rPr>
      </w:pPr>
    </w:p>
    <w:sectPr>
      <w:footerReference r:id="rId3" w:type="default"/>
      <w:pgSz w:w="11906" w:h="16838"/>
      <w:pgMar w:top="1418" w:right="1418" w:bottom="1418" w:left="1418" w:header="851" w:footer="743"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70DFF8-F5B0-4209-BDDE-08833580E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全真簡中楷">
    <w:altName w:val="楷体_GB2312"/>
    <w:panose1 w:val="00000000000000000000"/>
    <w:charset w:val="88"/>
    <w:family w:val="modern"/>
    <w:pitch w:val="default"/>
    <w:sig w:usb0="00000000" w:usb1="00000000" w:usb2="00000010" w:usb3="00000000" w:csb0="00100000" w:csb1="00000000"/>
  </w:font>
  <w:font w:name="方正仿宋_GB2312">
    <w:panose1 w:val="02000000000000000000"/>
    <w:charset w:val="86"/>
    <w:family w:val="auto"/>
    <w:pitch w:val="default"/>
    <w:sig w:usb0="A00002BF" w:usb1="184F6CFA" w:usb2="00000012" w:usb3="00000000" w:csb0="00040001" w:csb1="00000000"/>
    <w:embedRegular r:id="rId2" w:fontKey="{532AC760-6B20-4047-A126-160F2DBCB7BF}"/>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2"/>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10023475</wp:posOffset>
              </wp:positionV>
              <wp:extent cx="177800" cy="166370"/>
              <wp:effectExtent l="0" t="0" r="0" b="0"/>
              <wp:wrapNone/>
              <wp:docPr id="10" name="文本框 122"/>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w="9525">
                        <a:noFill/>
                      </a:ln>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12</w:t>
                          </w:r>
                          <w:r>
                            <w:fldChar w:fldCharType="end"/>
                          </w:r>
                        </w:p>
                      </w:txbxContent>
                    </wps:txbx>
                    <wps:bodyPr lIns="0" tIns="0" rIns="0" bIns="0" upright="1"/>
                  </wps:wsp>
                </a:graphicData>
              </a:graphic>
            </wp:anchor>
          </w:drawing>
        </mc:Choice>
        <mc:Fallback>
          <w:pict>
            <v:shape id="文本框 122" o:spid="_x0000_s1026" o:spt="202" type="#_x0000_t202" style="position:absolute;left:0pt;margin-top:789.25pt;height:13.1pt;width:14pt;mso-position-horizontal:center;mso-position-horizontal-relative:margin;mso-position-vertical-relative:page;z-index:251661312;mso-width-relative:page;mso-height-relative:page;" filled="f" stroked="f" coordsize="21600,21600" o:gfxdata="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2dxwNcAAAAJAQAADwAAAAAAAAABACAAAAAiAAAAZHJzL2Rvd25yZXYu&#10;eG1sUEsBAhQAFAAAAAgAh07iQAwegKLDAQAAfQMAAA4AAAAAAAAAAQAgAAAAJgEAAGRycy9lMm9E&#10;b2MueG1sUEsFBgAAAAAGAAYAWQEAAFsFA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A3330"/>
    <w:multiLevelType w:val="singleLevel"/>
    <w:tmpl w:val="CC6A3330"/>
    <w:lvl w:ilvl="0" w:tentative="0">
      <w:start w:val="1"/>
      <w:numFmt w:val="decimal"/>
      <w:suff w:val="nothing"/>
      <w:lvlText w:val="%1、"/>
      <w:lvlJc w:val="left"/>
    </w:lvl>
  </w:abstractNum>
  <w:abstractNum w:abstractNumId="1">
    <w:nsid w:val="D65C98F8"/>
    <w:multiLevelType w:val="multilevel"/>
    <w:tmpl w:val="D65C98F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721724"/>
    <w:multiLevelType w:val="multilevel"/>
    <w:tmpl w:val="017217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64359E"/>
    <w:multiLevelType w:val="multilevel"/>
    <w:tmpl w:val="1D6435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5E6377"/>
    <w:multiLevelType w:val="multilevel"/>
    <w:tmpl w:val="2F5E63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7660D3"/>
    <w:multiLevelType w:val="multilevel"/>
    <w:tmpl w:val="337660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CB7538"/>
    <w:multiLevelType w:val="multilevel"/>
    <w:tmpl w:val="35CB75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3A51CF"/>
    <w:multiLevelType w:val="multilevel"/>
    <w:tmpl w:val="513A51C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6"/>
  </w:num>
  <w:num w:numId="3">
    <w:abstractNumId w:val="2"/>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WU5NTYyYTYwYTE4NTMyZjJhM2I4M2IyNDdmZmQifQ=="/>
  </w:docVars>
  <w:rsids>
    <w:rsidRoot w:val="00172A27"/>
    <w:rsid w:val="00000F0A"/>
    <w:rsid w:val="0000113A"/>
    <w:rsid w:val="00001F92"/>
    <w:rsid w:val="00010EE0"/>
    <w:rsid w:val="000130DC"/>
    <w:rsid w:val="00014168"/>
    <w:rsid w:val="000143F1"/>
    <w:rsid w:val="00016421"/>
    <w:rsid w:val="00021634"/>
    <w:rsid w:val="00022D37"/>
    <w:rsid w:val="000232BC"/>
    <w:rsid w:val="000250A7"/>
    <w:rsid w:val="00026750"/>
    <w:rsid w:val="0002762C"/>
    <w:rsid w:val="00030992"/>
    <w:rsid w:val="00035C9B"/>
    <w:rsid w:val="000370EB"/>
    <w:rsid w:val="00041FB4"/>
    <w:rsid w:val="00043EB1"/>
    <w:rsid w:val="00043FDB"/>
    <w:rsid w:val="000444E2"/>
    <w:rsid w:val="00047ADF"/>
    <w:rsid w:val="00051432"/>
    <w:rsid w:val="000546B2"/>
    <w:rsid w:val="00054713"/>
    <w:rsid w:val="000575FF"/>
    <w:rsid w:val="00062526"/>
    <w:rsid w:val="00063B58"/>
    <w:rsid w:val="000648B6"/>
    <w:rsid w:val="000668F1"/>
    <w:rsid w:val="0007499B"/>
    <w:rsid w:val="00075FBF"/>
    <w:rsid w:val="00077E84"/>
    <w:rsid w:val="00082AF2"/>
    <w:rsid w:val="00085A4F"/>
    <w:rsid w:val="00086997"/>
    <w:rsid w:val="00087775"/>
    <w:rsid w:val="00090735"/>
    <w:rsid w:val="00090B13"/>
    <w:rsid w:val="000913D1"/>
    <w:rsid w:val="00094FF6"/>
    <w:rsid w:val="000A472D"/>
    <w:rsid w:val="000A60CF"/>
    <w:rsid w:val="000A747E"/>
    <w:rsid w:val="000B0C5E"/>
    <w:rsid w:val="000B3420"/>
    <w:rsid w:val="000B583C"/>
    <w:rsid w:val="000C0716"/>
    <w:rsid w:val="000C1C34"/>
    <w:rsid w:val="000C2CAC"/>
    <w:rsid w:val="000C3A13"/>
    <w:rsid w:val="000D3059"/>
    <w:rsid w:val="000D5E63"/>
    <w:rsid w:val="000E33C2"/>
    <w:rsid w:val="000F04B3"/>
    <w:rsid w:val="000F0750"/>
    <w:rsid w:val="000F144C"/>
    <w:rsid w:val="000F171E"/>
    <w:rsid w:val="000F2574"/>
    <w:rsid w:val="000F2F28"/>
    <w:rsid w:val="000F3EC2"/>
    <w:rsid w:val="000F4E3E"/>
    <w:rsid w:val="000F4E6A"/>
    <w:rsid w:val="000F5CAB"/>
    <w:rsid w:val="000F64AA"/>
    <w:rsid w:val="000F6E16"/>
    <w:rsid w:val="00104C83"/>
    <w:rsid w:val="001117B8"/>
    <w:rsid w:val="00113D8F"/>
    <w:rsid w:val="00114D4F"/>
    <w:rsid w:val="00114E7F"/>
    <w:rsid w:val="0011791E"/>
    <w:rsid w:val="00117EA1"/>
    <w:rsid w:val="00126017"/>
    <w:rsid w:val="001260BC"/>
    <w:rsid w:val="0012620C"/>
    <w:rsid w:val="001264FA"/>
    <w:rsid w:val="00126666"/>
    <w:rsid w:val="00127287"/>
    <w:rsid w:val="00132F51"/>
    <w:rsid w:val="00137318"/>
    <w:rsid w:val="001414DA"/>
    <w:rsid w:val="00142F36"/>
    <w:rsid w:val="001434F5"/>
    <w:rsid w:val="00151587"/>
    <w:rsid w:val="00152837"/>
    <w:rsid w:val="00156588"/>
    <w:rsid w:val="0015745D"/>
    <w:rsid w:val="00160B5F"/>
    <w:rsid w:val="0016317C"/>
    <w:rsid w:val="00163772"/>
    <w:rsid w:val="00166AFF"/>
    <w:rsid w:val="00167AFB"/>
    <w:rsid w:val="00172A27"/>
    <w:rsid w:val="00174FF8"/>
    <w:rsid w:val="00176173"/>
    <w:rsid w:val="00177DF9"/>
    <w:rsid w:val="00182B50"/>
    <w:rsid w:val="00184104"/>
    <w:rsid w:val="00187520"/>
    <w:rsid w:val="00190FC5"/>
    <w:rsid w:val="001939BE"/>
    <w:rsid w:val="00195046"/>
    <w:rsid w:val="00196BFD"/>
    <w:rsid w:val="00196D6A"/>
    <w:rsid w:val="001A7776"/>
    <w:rsid w:val="001B06B2"/>
    <w:rsid w:val="001B08D7"/>
    <w:rsid w:val="001B5F32"/>
    <w:rsid w:val="001C1602"/>
    <w:rsid w:val="001C2097"/>
    <w:rsid w:val="001C30AA"/>
    <w:rsid w:val="001C5493"/>
    <w:rsid w:val="001C738E"/>
    <w:rsid w:val="001D0134"/>
    <w:rsid w:val="001D3ADA"/>
    <w:rsid w:val="001E48BD"/>
    <w:rsid w:val="001F005A"/>
    <w:rsid w:val="001F101E"/>
    <w:rsid w:val="001F1E3C"/>
    <w:rsid w:val="001F66E4"/>
    <w:rsid w:val="00200A22"/>
    <w:rsid w:val="00202068"/>
    <w:rsid w:val="00205EE6"/>
    <w:rsid w:val="00211C3D"/>
    <w:rsid w:val="00215D2F"/>
    <w:rsid w:val="00221073"/>
    <w:rsid w:val="002238EA"/>
    <w:rsid w:val="0022423E"/>
    <w:rsid w:val="002261ED"/>
    <w:rsid w:val="0023087B"/>
    <w:rsid w:val="00230F67"/>
    <w:rsid w:val="0023350D"/>
    <w:rsid w:val="00240458"/>
    <w:rsid w:val="002407FA"/>
    <w:rsid w:val="002421E7"/>
    <w:rsid w:val="002430BB"/>
    <w:rsid w:val="00243909"/>
    <w:rsid w:val="00252D3D"/>
    <w:rsid w:val="00254CB6"/>
    <w:rsid w:val="002553C8"/>
    <w:rsid w:val="00255460"/>
    <w:rsid w:val="00273020"/>
    <w:rsid w:val="00274198"/>
    <w:rsid w:val="00280904"/>
    <w:rsid w:val="0028688D"/>
    <w:rsid w:val="002868D7"/>
    <w:rsid w:val="00290C22"/>
    <w:rsid w:val="002910EB"/>
    <w:rsid w:val="00292A1D"/>
    <w:rsid w:val="00293E7A"/>
    <w:rsid w:val="00294798"/>
    <w:rsid w:val="00294EF4"/>
    <w:rsid w:val="00297DAE"/>
    <w:rsid w:val="002A0956"/>
    <w:rsid w:val="002A3DCF"/>
    <w:rsid w:val="002A4B49"/>
    <w:rsid w:val="002B018A"/>
    <w:rsid w:val="002B07C7"/>
    <w:rsid w:val="002B18CF"/>
    <w:rsid w:val="002B2105"/>
    <w:rsid w:val="002B273F"/>
    <w:rsid w:val="002B3D0B"/>
    <w:rsid w:val="002B44BE"/>
    <w:rsid w:val="002C14E5"/>
    <w:rsid w:val="002C4A52"/>
    <w:rsid w:val="002D31D8"/>
    <w:rsid w:val="002E3AB0"/>
    <w:rsid w:val="002E4C7B"/>
    <w:rsid w:val="002E78B9"/>
    <w:rsid w:val="002F1D15"/>
    <w:rsid w:val="002F25EA"/>
    <w:rsid w:val="002F2DE2"/>
    <w:rsid w:val="002F4D4B"/>
    <w:rsid w:val="003001AE"/>
    <w:rsid w:val="00304DFD"/>
    <w:rsid w:val="003062A7"/>
    <w:rsid w:val="00310F4D"/>
    <w:rsid w:val="00312EEB"/>
    <w:rsid w:val="0031351D"/>
    <w:rsid w:val="00313D2C"/>
    <w:rsid w:val="00316507"/>
    <w:rsid w:val="003265E9"/>
    <w:rsid w:val="0032690E"/>
    <w:rsid w:val="003276E5"/>
    <w:rsid w:val="00332A34"/>
    <w:rsid w:val="00335259"/>
    <w:rsid w:val="00336732"/>
    <w:rsid w:val="0034106E"/>
    <w:rsid w:val="00341421"/>
    <w:rsid w:val="00351FED"/>
    <w:rsid w:val="003562AC"/>
    <w:rsid w:val="00356BFC"/>
    <w:rsid w:val="00360D90"/>
    <w:rsid w:val="00363A54"/>
    <w:rsid w:val="003679CB"/>
    <w:rsid w:val="00375999"/>
    <w:rsid w:val="003766C8"/>
    <w:rsid w:val="00376EB8"/>
    <w:rsid w:val="003778DA"/>
    <w:rsid w:val="00377C3B"/>
    <w:rsid w:val="00382E59"/>
    <w:rsid w:val="003840DE"/>
    <w:rsid w:val="003860B6"/>
    <w:rsid w:val="003900AB"/>
    <w:rsid w:val="00395265"/>
    <w:rsid w:val="00396011"/>
    <w:rsid w:val="003A1898"/>
    <w:rsid w:val="003A3F84"/>
    <w:rsid w:val="003A6B7C"/>
    <w:rsid w:val="003A751D"/>
    <w:rsid w:val="003B6F3F"/>
    <w:rsid w:val="003C2919"/>
    <w:rsid w:val="003C3F8C"/>
    <w:rsid w:val="003D10F2"/>
    <w:rsid w:val="003D36EF"/>
    <w:rsid w:val="003D6A88"/>
    <w:rsid w:val="003D6FC4"/>
    <w:rsid w:val="003E6E5D"/>
    <w:rsid w:val="003F4722"/>
    <w:rsid w:val="003F52FB"/>
    <w:rsid w:val="00401F7A"/>
    <w:rsid w:val="00403F2E"/>
    <w:rsid w:val="00406613"/>
    <w:rsid w:val="004073D3"/>
    <w:rsid w:val="00411E0E"/>
    <w:rsid w:val="004218B4"/>
    <w:rsid w:val="00425397"/>
    <w:rsid w:val="00425E42"/>
    <w:rsid w:val="00425F40"/>
    <w:rsid w:val="00427D9D"/>
    <w:rsid w:val="00431C6D"/>
    <w:rsid w:val="0044056E"/>
    <w:rsid w:val="00440612"/>
    <w:rsid w:val="0044108C"/>
    <w:rsid w:val="0044115C"/>
    <w:rsid w:val="00446CCB"/>
    <w:rsid w:val="0044742E"/>
    <w:rsid w:val="00453E52"/>
    <w:rsid w:val="004561AB"/>
    <w:rsid w:val="00456B7D"/>
    <w:rsid w:val="00463241"/>
    <w:rsid w:val="004644B4"/>
    <w:rsid w:val="004648BC"/>
    <w:rsid w:val="00466298"/>
    <w:rsid w:val="00466FBD"/>
    <w:rsid w:val="00467A47"/>
    <w:rsid w:val="00472598"/>
    <w:rsid w:val="0047432F"/>
    <w:rsid w:val="00475A43"/>
    <w:rsid w:val="00475F3C"/>
    <w:rsid w:val="00477DE8"/>
    <w:rsid w:val="00482369"/>
    <w:rsid w:val="00483D69"/>
    <w:rsid w:val="0048599B"/>
    <w:rsid w:val="004929AE"/>
    <w:rsid w:val="00495873"/>
    <w:rsid w:val="00496B24"/>
    <w:rsid w:val="004A34E0"/>
    <w:rsid w:val="004A6107"/>
    <w:rsid w:val="004A65CD"/>
    <w:rsid w:val="004A69B0"/>
    <w:rsid w:val="004B25E7"/>
    <w:rsid w:val="004B511F"/>
    <w:rsid w:val="004C085E"/>
    <w:rsid w:val="004C3213"/>
    <w:rsid w:val="004C5A17"/>
    <w:rsid w:val="004E690C"/>
    <w:rsid w:val="004E7420"/>
    <w:rsid w:val="004F5474"/>
    <w:rsid w:val="00503C7A"/>
    <w:rsid w:val="00506C6D"/>
    <w:rsid w:val="00506E08"/>
    <w:rsid w:val="0051571E"/>
    <w:rsid w:val="00517037"/>
    <w:rsid w:val="00520A6E"/>
    <w:rsid w:val="00523EC0"/>
    <w:rsid w:val="00525A5F"/>
    <w:rsid w:val="00526234"/>
    <w:rsid w:val="0053036D"/>
    <w:rsid w:val="005309C4"/>
    <w:rsid w:val="00533997"/>
    <w:rsid w:val="00535259"/>
    <w:rsid w:val="00542008"/>
    <w:rsid w:val="005432B8"/>
    <w:rsid w:val="00544936"/>
    <w:rsid w:val="005629EF"/>
    <w:rsid w:val="00566753"/>
    <w:rsid w:val="005715A6"/>
    <w:rsid w:val="005741DA"/>
    <w:rsid w:val="00574CE6"/>
    <w:rsid w:val="00575A6D"/>
    <w:rsid w:val="00575AC6"/>
    <w:rsid w:val="005852A7"/>
    <w:rsid w:val="005869BC"/>
    <w:rsid w:val="00586E9F"/>
    <w:rsid w:val="00586EF7"/>
    <w:rsid w:val="005A1D40"/>
    <w:rsid w:val="005A1D64"/>
    <w:rsid w:val="005B19DC"/>
    <w:rsid w:val="005B1DBC"/>
    <w:rsid w:val="005B2B3A"/>
    <w:rsid w:val="005B30A9"/>
    <w:rsid w:val="005B6748"/>
    <w:rsid w:val="005B6EAC"/>
    <w:rsid w:val="005B7258"/>
    <w:rsid w:val="005B753C"/>
    <w:rsid w:val="005C54A4"/>
    <w:rsid w:val="005C6038"/>
    <w:rsid w:val="005D2092"/>
    <w:rsid w:val="005D2682"/>
    <w:rsid w:val="005D3312"/>
    <w:rsid w:val="005D6E84"/>
    <w:rsid w:val="005D7BE1"/>
    <w:rsid w:val="005E3949"/>
    <w:rsid w:val="005E6458"/>
    <w:rsid w:val="005F4F3B"/>
    <w:rsid w:val="005F5A9D"/>
    <w:rsid w:val="005F6AB0"/>
    <w:rsid w:val="006037E2"/>
    <w:rsid w:val="00605DAD"/>
    <w:rsid w:val="0061059C"/>
    <w:rsid w:val="006112E6"/>
    <w:rsid w:val="006216DF"/>
    <w:rsid w:val="006221D9"/>
    <w:rsid w:val="00622FD2"/>
    <w:rsid w:val="006231BC"/>
    <w:rsid w:val="00623297"/>
    <w:rsid w:val="00625F3C"/>
    <w:rsid w:val="00627B25"/>
    <w:rsid w:val="00633A41"/>
    <w:rsid w:val="00634B0B"/>
    <w:rsid w:val="00637EDD"/>
    <w:rsid w:val="00641680"/>
    <w:rsid w:val="00641CC2"/>
    <w:rsid w:val="00646F19"/>
    <w:rsid w:val="00652797"/>
    <w:rsid w:val="00656869"/>
    <w:rsid w:val="00671903"/>
    <w:rsid w:val="0067392C"/>
    <w:rsid w:val="00674B0F"/>
    <w:rsid w:val="006770EB"/>
    <w:rsid w:val="00677327"/>
    <w:rsid w:val="00690423"/>
    <w:rsid w:val="0069328C"/>
    <w:rsid w:val="00693785"/>
    <w:rsid w:val="006937D2"/>
    <w:rsid w:val="006A25F2"/>
    <w:rsid w:val="006A4B5A"/>
    <w:rsid w:val="006B2F7C"/>
    <w:rsid w:val="006B30BD"/>
    <w:rsid w:val="006B39F6"/>
    <w:rsid w:val="006B3E76"/>
    <w:rsid w:val="006B3F75"/>
    <w:rsid w:val="006B41C0"/>
    <w:rsid w:val="006B7BFE"/>
    <w:rsid w:val="006C0472"/>
    <w:rsid w:val="006C131B"/>
    <w:rsid w:val="006C3AA4"/>
    <w:rsid w:val="006C5C2E"/>
    <w:rsid w:val="006D6682"/>
    <w:rsid w:val="006D6A0D"/>
    <w:rsid w:val="006E0CA0"/>
    <w:rsid w:val="006E27F0"/>
    <w:rsid w:val="006E32EF"/>
    <w:rsid w:val="006E33CF"/>
    <w:rsid w:val="006F035A"/>
    <w:rsid w:val="006F75EB"/>
    <w:rsid w:val="007024C5"/>
    <w:rsid w:val="00702927"/>
    <w:rsid w:val="00705CB2"/>
    <w:rsid w:val="0071033E"/>
    <w:rsid w:val="00717080"/>
    <w:rsid w:val="007229DE"/>
    <w:rsid w:val="00722FAE"/>
    <w:rsid w:val="00725357"/>
    <w:rsid w:val="007259CE"/>
    <w:rsid w:val="00726D10"/>
    <w:rsid w:val="00732CB4"/>
    <w:rsid w:val="0073440A"/>
    <w:rsid w:val="00737B71"/>
    <w:rsid w:val="0074124B"/>
    <w:rsid w:val="00741F0F"/>
    <w:rsid w:val="00743533"/>
    <w:rsid w:val="00746B9E"/>
    <w:rsid w:val="00747E22"/>
    <w:rsid w:val="0075108D"/>
    <w:rsid w:val="007514E3"/>
    <w:rsid w:val="00752237"/>
    <w:rsid w:val="007532BB"/>
    <w:rsid w:val="00755456"/>
    <w:rsid w:val="00757AF2"/>
    <w:rsid w:val="007608D0"/>
    <w:rsid w:val="00764E53"/>
    <w:rsid w:val="0076717F"/>
    <w:rsid w:val="00770ABC"/>
    <w:rsid w:val="00772C87"/>
    <w:rsid w:val="00774274"/>
    <w:rsid w:val="00777A18"/>
    <w:rsid w:val="007809C3"/>
    <w:rsid w:val="007823B7"/>
    <w:rsid w:val="00783501"/>
    <w:rsid w:val="0078675E"/>
    <w:rsid w:val="007876B6"/>
    <w:rsid w:val="0079081A"/>
    <w:rsid w:val="0079260F"/>
    <w:rsid w:val="0079398C"/>
    <w:rsid w:val="0079693F"/>
    <w:rsid w:val="007A1B29"/>
    <w:rsid w:val="007A2939"/>
    <w:rsid w:val="007B3424"/>
    <w:rsid w:val="007B7FB0"/>
    <w:rsid w:val="007C2E08"/>
    <w:rsid w:val="007C55F0"/>
    <w:rsid w:val="007C7EEF"/>
    <w:rsid w:val="007D324A"/>
    <w:rsid w:val="007D43BB"/>
    <w:rsid w:val="007D5A37"/>
    <w:rsid w:val="007D5EEA"/>
    <w:rsid w:val="007D65EA"/>
    <w:rsid w:val="007E4BDC"/>
    <w:rsid w:val="007F14E9"/>
    <w:rsid w:val="007F1CB6"/>
    <w:rsid w:val="007F2DEF"/>
    <w:rsid w:val="007F396D"/>
    <w:rsid w:val="007F3E4B"/>
    <w:rsid w:val="007F5D25"/>
    <w:rsid w:val="007F5DEE"/>
    <w:rsid w:val="00800B6F"/>
    <w:rsid w:val="00801945"/>
    <w:rsid w:val="008070C4"/>
    <w:rsid w:val="00807A5C"/>
    <w:rsid w:val="00807B42"/>
    <w:rsid w:val="0082168C"/>
    <w:rsid w:val="0082187E"/>
    <w:rsid w:val="00821CDC"/>
    <w:rsid w:val="00821F49"/>
    <w:rsid w:val="00822D97"/>
    <w:rsid w:val="00825EDB"/>
    <w:rsid w:val="00826362"/>
    <w:rsid w:val="008279CD"/>
    <w:rsid w:val="00833EE9"/>
    <w:rsid w:val="0083673A"/>
    <w:rsid w:val="0084387D"/>
    <w:rsid w:val="00846747"/>
    <w:rsid w:val="00853ED5"/>
    <w:rsid w:val="00854333"/>
    <w:rsid w:val="008546B4"/>
    <w:rsid w:val="008567A1"/>
    <w:rsid w:val="008651A7"/>
    <w:rsid w:val="008670E6"/>
    <w:rsid w:val="00867202"/>
    <w:rsid w:val="0087071F"/>
    <w:rsid w:val="00870A28"/>
    <w:rsid w:val="00870CCF"/>
    <w:rsid w:val="0087149D"/>
    <w:rsid w:val="008751E2"/>
    <w:rsid w:val="008803AE"/>
    <w:rsid w:val="008918A9"/>
    <w:rsid w:val="00891F18"/>
    <w:rsid w:val="008947F8"/>
    <w:rsid w:val="008A0B1C"/>
    <w:rsid w:val="008A175D"/>
    <w:rsid w:val="008A25B0"/>
    <w:rsid w:val="008A4C87"/>
    <w:rsid w:val="008A4E30"/>
    <w:rsid w:val="008A6821"/>
    <w:rsid w:val="008B17EF"/>
    <w:rsid w:val="008C4485"/>
    <w:rsid w:val="008C65EB"/>
    <w:rsid w:val="008D04F6"/>
    <w:rsid w:val="008D5002"/>
    <w:rsid w:val="008D5F87"/>
    <w:rsid w:val="008E0089"/>
    <w:rsid w:val="008E3664"/>
    <w:rsid w:val="008E370D"/>
    <w:rsid w:val="008E46DD"/>
    <w:rsid w:val="008E75DF"/>
    <w:rsid w:val="008F3B77"/>
    <w:rsid w:val="008F6432"/>
    <w:rsid w:val="008F6730"/>
    <w:rsid w:val="008F75F5"/>
    <w:rsid w:val="00900693"/>
    <w:rsid w:val="00904400"/>
    <w:rsid w:val="00905A44"/>
    <w:rsid w:val="00906343"/>
    <w:rsid w:val="00907AD1"/>
    <w:rsid w:val="00912C99"/>
    <w:rsid w:val="009139DA"/>
    <w:rsid w:val="00923E80"/>
    <w:rsid w:val="0092461D"/>
    <w:rsid w:val="009259E3"/>
    <w:rsid w:val="0092626E"/>
    <w:rsid w:val="00930EC7"/>
    <w:rsid w:val="00930F1F"/>
    <w:rsid w:val="00931FC1"/>
    <w:rsid w:val="0093258A"/>
    <w:rsid w:val="00934AAD"/>
    <w:rsid w:val="009354D7"/>
    <w:rsid w:val="00940F88"/>
    <w:rsid w:val="00941748"/>
    <w:rsid w:val="00942CB9"/>
    <w:rsid w:val="00944FEA"/>
    <w:rsid w:val="0094511C"/>
    <w:rsid w:val="009507C4"/>
    <w:rsid w:val="0095340A"/>
    <w:rsid w:val="009625F8"/>
    <w:rsid w:val="0096591B"/>
    <w:rsid w:val="00970706"/>
    <w:rsid w:val="00971A10"/>
    <w:rsid w:val="00973FCD"/>
    <w:rsid w:val="00981A26"/>
    <w:rsid w:val="00983654"/>
    <w:rsid w:val="009944F2"/>
    <w:rsid w:val="009952F5"/>
    <w:rsid w:val="009956E3"/>
    <w:rsid w:val="009959E4"/>
    <w:rsid w:val="00996490"/>
    <w:rsid w:val="009969F6"/>
    <w:rsid w:val="0099702F"/>
    <w:rsid w:val="009A5CEE"/>
    <w:rsid w:val="009A6812"/>
    <w:rsid w:val="009B0E5C"/>
    <w:rsid w:val="009B2798"/>
    <w:rsid w:val="009B4B74"/>
    <w:rsid w:val="009B61D3"/>
    <w:rsid w:val="009B6996"/>
    <w:rsid w:val="009C106A"/>
    <w:rsid w:val="009C13C3"/>
    <w:rsid w:val="009C4891"/>
    <w:rsid w:val="009C58B0"/>
    <w:rsid w:val="009C6DEC"/>
    <w:rsid w:val="009C6EA7"/>
    <w:rsid w:val="009D1361"/>
    <w:rsid w:val="009D3894"/>
    <w:rsid w:val="009D5EF3"/>
    <w:rsid w:val="009E0981"/>
    <w:rsid w:val="009E292A"/>
    <w:rsid w:val="009E40D2"/>
    <w:rsid w:val="009E5ED6"/>
    <w:rsid w:val="009F1AEB"/>
    <w:rsid w:val="009F381B"/>
    <w:rsid w:val="009F3C04"/>
    <w:rsid w:val="009F4365"/>
    <w:rsid w:val="009F6BF3"/>
    <w:rsid w:val="00A01285"/>
    <w:rsid w:val="00A126B1"/>
    <w:rsid w:val="00A15DB5"/>
    <w:rsid w:val="00A16C17"/>
    <w:rsid w:val="00A21EB8"/>
    <w:rsid w:val="00A21EF8"/>
    <w:rsid w:val="00A278A3"/>
    <w:rsid w:val="00A30C40"/>
    <w:rsid w:val="00A30ED6"/>
    <w:rsid w:val="00A3473F"/>
    <w:rsid w:val="00A35129"/>
    <w:rsid w:val="00A37CC6"/>
    <w:rsid w:val="00A406B2"/>
    <w:rsid w:val="00A42810"/>
    <w:rsid w:val="00A473EF"/>
    <w:rsid w:val="00A50C7C"/>
    <w:rsid w:val="00A5311C"/>
    <w:rsid w:val="00A536DB"/>
    <w:rsid w:val="00A573DA"/>
    <w:rsid w:val="00A635CC"/>
    <w:rsid w:val="00A65272"/>
    <w:rsid w:val="00A65ABC"/>
    <w:rsid w:val="00A67D27"/>
    <w:rsid w:val="00A703DE"/>
    <w:rsid w:val="00A753F5"/>
    <w:rsid w:val="00A75564"/>
    <w:rsid w:val="00A76634"/>
    <w:rsid w:val="00A8142E"/>
    <w:rsid w:val="00A83EBF"/>
    <w:rsid w:val="00A8527A"/>
    <w:rsid w:val="00A85B17"/>
    <w:rsid w:val="00A879E9"/>
    <w:rsid w:val="00A900A5"/>
    <w:rsid w:val="00A93915"/>
    <w:rsid w:val="00A97F02"/>
    <w:rsid w:val="00AA36A3"/>
    <w:rsid w:val="00AA537F"/>
    <w:rsid w:val="00AA5C79"/>
    <w:rsid w:val="00AA6D29"/>
    <w:rsid w:val="00AA7F94"/>
    <w:rsid w:val="00AB0034"/>
    <w:rsid w:val="00AB0820"/>
    <w:rsid w:val="00AB0BA4"/>
    <w:rsid w:val="00AB7315"/>
    <w:rsid w:val="00AC275C"/>
    <w:rsid w:val="00AC4DA9"/>
    <w:rsid w:val="00AD10B8"/>
    <w:rsid w:val="00AD7AA4"/>
    <w:rsid w:val="00AE459C"/>
    <w:rsid w:val="00AE7D1F"/>
    <w:rsid w:val="00AE7E72"/>
    <w:rsid w:val="00AF0530"/>
    <w:rsid w:val="00AF10B5"/>
    <w:rsid w:val="00AF202B"/>
    <w:rsid w:val="00AF7135"/>
    <w:rsid w:val="00B02CD9"/>
    <w:rsid w:val="00B05C24"/>
    <w:rsid w:val="00B11514"/>
    <w:rsid w:val="00B123E3"/>
    <w:rsid w:val="00B13070"/>
    <w:rsid w:val="00B15D61"/>
    <w:rsid w:val="00B2364D"/>
    <w:rsid w:val="00B26376"/>
    <w:rsid w:val="00B27F6B"/>
    <w:rsid w:val="00B27F74"/>
    <w:rsid w:val="00B30FD5"/>
    <w:rsid w:val="00B314FA"/>
    <w:rsid w:val="00B34BDF"/>
    <w:rsid w:val="00B4011A"/>
    <w:rsid w:val="00B4446A"/>
    <w:rsid w:val="00B44A06"/>
    <w:rsid w:val="00B459FF"/>
    <w:rsid w:val="00B46BE1"/>
    <w:rsid w:val="00B50336"/>
    <w:rsid w:val="00B536C8"/>
    <w:rsid w:val="00B53B7F"/>
    <w:rsid w:val="00B61030"/>
    <w:rsid w:val="00B62B96"/>
    <w:rsid w:val="00B63D3E"/>
    <w:rsid w:val="00B6484E"/>
    <w:rsid w:val="00B66BBD"/>
    <w:rsid w:val="00B7082A"/>
    <w:rsid w:val="00B775D1"/>
    <w:rsid w:val="00B8118D"/>
    <w:rsid w:val="00B81B12"/>
    <w:rsid w:val="00B821A8"/>
    <w:rsid w:val="00B8750D"/>
    <w:rsid w:val="00B97E34"/>
    <w:rsid w:val="00BA0FBC"/>
    <w:rsid w:val="00BA28FE"/>
    <w:rsid w:val="00BA3D89"/>
    <w:rsid w:val="00BA4781"/>
    <w:rsid w:val="00BB0162"/>
    <w:rsid w:val="00BB31D1"/>
    <w:rsid w:val="00BB48CE"/>
    <w:rsid w:val="00BB5925"/>
    <w:rsid w:val="00BB60C5"/>
    <w:rsid w:val="00BB6897"/>
    <w:rsid w:val="00BC1FF2"/>
    <w:rsid w:val="00BC250C"/>
    <w:rsid w:val="00BC28C0"/>
    <w:rsid w:val="00BD15B8"/>
    <w:rsid w:val="00BD2280"/>
    <w:rsid w:val="00BD3238"/>
    <w:rsid w:val="00BD3DFD"/>
    <w:rsid w:val="00BD3ECB"/>
    <w:rsid w:val="00BD5D39"/>
    <w:rsid w:val="00BE2518"/>
    <w:rsid w:val="00BE3F28"/>
    <w:rsid w:val="00BE5488"/>
    <w:rsid w:val="00BF267F"/>
    <w:rsid w:val="00C034F5"/>
    <w:rsid w:val="00C03E29"/>
    <w:rsid w:val="00C04D4A"/>
    <w:rsid w:val="00C06572"/>
    <w:rsid w:val="00C10052"/>
    <w:rsid w:val="00C11EE2"/>
    <w:rsid w:val="00C369F8"/>
    <w:rsid w:val="00C414F6"/>
    <w:rsid w:val="00C4359A"/>
    <w:rsid w:val="00C519CF"/>
    <w:rsid w:val="00C579DC"/>
    <w:rsid w:val="00C65BA6"/>
    <w:rsid w:val="00C660EC"/>
    <w:rsid w:val="00C72998"/>
    <w:rsid w:val="00C83E37"/>
    <w:rsid w:val="00C86CD7"/>
    <w:rsid w:val="00C876CB"/>
    <w:rsid w:val="00C946AB"/>
    <w:rsid w:val="00C96C17"/>
    <w:rsid w:val="00CA2AD4"/>
    <w:rsid w:val="00CA4F3F"/>
    <w:rsid w:val="00CB36BD"/>
    <w:rsid w:val="00CB3F6E"/>
    <w:rsid w:val="00CB49C3"/>
    <w:rsid w:val="00CC23CB"/>
    <w:rsid w:val="00CC2775"/>
    <w:rsid w:val="00CC3D93"/>
    <w:rsid w:val="00CD0D4C"/>
    <w:rsid w:val="00CD364A"/>
    <w:rsid w:val="00CD4086"/>
    <w:rsid w:val="00CD78FC"/>
    <w:rsid w:val="00CE180B"/>
    <w:rsid w:val="00CF1D7C"/>
    <w:rsid w:val="00CF5BEB"/>
    <w:rsid w:val="00D02048"/>
    <w:rsid w:val="00D03CA6"/>
    <w:rsid w:val="00D167A6"/>
    <w:rsid w:val="00D200D9"/>
    <w:rsid w:val="00D21832"/>
    <w:rsid w:val="00D24424"/>
    <w:rsid w:val="00D24E7F"/>
    <w:rsid w:val="00D37267"/>
    <w:rsid w:val="00D40BCD"/>
    <w:rsid w:val="00D42924"/>
    <w:rsid w:val="00D51391"/>
    <w:rsid w:val="00D53F7B"/>
    <w:rsid w:val="00D61084"/>
    <w:rsid w:val="00D630FD"/>
    <w:rsid w:val="00D65F34"/>
    <w:rsid w:val="00D66276"/>
    <w:rsid w:val="00D74248"/>
    <w:rsid w:val="00D75668"/>
    <w:rsid w:val="00D8064E"/>
    <w:rsid w:val="00D82FE3"/>
    <w:rsid w:val="00D873F6"/>
    <w:rsid w:val="00D9067E"/>
    <w:rsid w:val="00D926DA"/>
    <w:rsid w:val="00DB080B"/>
    <w:rsid w:val="00DB14D2"/>
    <w:rsid w:val="00DB1DE6"/>
    <w:rsid w:val="00DB22F6"/>
    <w:rsid w:val="00DB7D7B"/>
    <w:rsid w:val="00DC1C2F"/>
    <w:rsid w:val="00DC4C46"/>
    <w:rsid w:val="00DC5C8A"/>
    <w:rsid w:val="00DC7F98"/>
    <w:rsid w:val="00DD116B"/>
    <w:rsid w:val="00DD12FA"/>
    <w:rsid w:val="00DD24E5"/>
    <w:rsid w:val="00DD3D66"/>
    <w:rsid w:val="00DD3FD2"/>
    <w:rsid w:val="00DD48E7"/>
    <w:rsid w:val="00DD508E"/>
    <w:rsid w:val="00DE1BF5"/>
    <w:rsid w:val="00DE1C43"/>
    <w:rsid w:val="00DE58C3"/>
    <w:rsid w:val="00DE7C82"/>
    <w:rsid w:val="00DF01E7"/>
    <w:rsid w:val="00DF06A3"/>
    <w:rsid w:val="00DF44CA"/>
    <w:rsid w:val="00DF5FD6"/>
    <w:rsid w:val="00E00657"/>
    <w:rsid w:val="00E03D1A"/>
    <w:rsid w:val="00E05967"/>
    <w:rsid w:val="00E0608F"/>
    <w:rsid w:val="00E123C8"/>
    <w:rsid w:val="00E12427"/>
    <w:rsid w:val="00E14B83"/>
    <w:rsid w:val="00E160C6"/>
    <w:rsid w:val="00E200A3"/>
    <w:rsid w:val="00E2712E"/>
    <w:rsid w:val="00E27D5F"/>
    <w:rsid w:val="00E30D63"/>
    <w:rsid w:val="00E3628C"/>
    <w:rsid w:val="00E41326"/>
    <w:rsid w:val="00E428EE"/>
    <w:rsid w:val="00E446CD"/>
    <w:rsid w:val="00E460C6"/>
    <w:rsid w:val="00E46202"/>
    <w:rsid w:val="00E51E52"/>
    <w:rsid w:val="00E525C6"/>
    <w:rsid w:val="00E53C97"/>
    <w:rsid w:val="00E57E9E"/>
    <w:rsid w:val="00E6158B"/>
    <w:rsid w:val="00E61BC4"/>
    <w:rsid w:val="00E63F05"/>
    <w:rsid w:val="00E6593E"/>
    <w:rsid w:val="00E66282"/>
    <w:rsid w:val="00E72308"/>
    <w:rsid w:val="00E72BF9"/>
    <w:rsid w:val="00E74952"/>
    <w:rsid w:val="00E74D84"/>
    <w:rsid w:val="00E758F6"/>
    <w:rsid w:val="00E842B3"/>
    <w:rsid w:val="00E87132"/>
    <w:rsid w:val="00E87330"/>
    <w:rsid w:val="00E90BED"/>
    <w:rsid w:val="00E92BEB"/>
    <w:rsid w:val="00E93BBC"/>
    <w:rsid w:val="00E95983"/>
    <w:rsid w:val="00EA35AE"/>
    <w:rsid w:val="00EA40E5"/>
    <w:rsid w:val="00EA444D"/>
    <w:rsid w:val="00EB1164"/>
    <w:rsid w:val="00EB260E"/>
    <w:rsid w:val="00EB4082"/>
    <w:rsid w:val="00EC682D"/>
    <w:rsid w:val="00ED1B94"/>
    <w:rsid w:val="00ED45C6"/>
    <w:rsid w:val="00ED5DF5"/>
    <w:rsid w:val="00ED7DFE"/>
    <w:rsid w:val="00EE0997"/>
    <w:rsid w:val="00EE499B"/>
    <w:rsid w:val="00EF713B"/>
    <w:rsid w:val="00F0217A"/>
    <w:rsid w:val="00F02769"/>
    <w:rsid w:val="00F037D1"/>
    <w:rsid w:val="00F0676D"/>
    <w:rsid w:val="00F077AE"/>
    <w:rsid w:val="00F1125C"/>
    <w:rsid w:val="00F15A07"/>
    <w:rsid w:val="00F16206"/>
    <w:rsid w:val="00F207D9"/>
    <w:rsid w:val="00F20D84"/>
    <w:rsid w:val="00F23199"/>
    <w:rsid w:val="00F24A60"/>
    <w:rsid w:val="00F312B3"/>
    <w:rsid w:val="00F312DF"/>
    <w:rsid w:val="00F34A0F"/>
    <w:rsid w:val="00F375CF"/>
    <w:rsid w:val="00F37A7A"/>
    <w:rsid w:val="00F42F69"/>
    <w:rsid w:val="00F50168"/>
    <w:rsid w:val="00F515A8"/>
    <w:rsid w:val="00F53289"/>
    <w:rsid w:val="00F54059"/>
    <w:rsid w:val="00F558D0"/>
    <w:rsid w:val="00F62BA9"/>
    <w:rsid w:val="00F65B5F"/>
    <w:rsid w:val="00F67406"/>
    <w:rsid w:val="00F67CC2"/>
    <w:rsid w:val="00F73062"/>
    <w:rsid w:val="00F7334D"/>
    <w:rsid w:val="00F73826"/>
    <w:rsid w:val="00F73A6B"/>
    <w:rsid w:val="00F74CEF"/>
    <w:rsid w:val="00F75A95"/>
    <w:rsid w:val="00F7706F"/>
    <w:rsid w:val="00F81CC1"/>
    <w:rsid w:val="00F828B1"/>
    <w:rsid w:val="00F842CA"/>
    <w:rsid w:val="00F85953"/>
    <w:rsid w:val="00F92F8C"/>
    <w:rsid w:val="00F96F41"/>
    <w:rsid w:val="00FA0DB6"/>
    <w:rsid w:val="00FA77CC"/>
    <w:rsid w:val="00FB16EE"/>
    <w:rsid w:val="00FB411A"/>
    <w:rsid w:val="00FB4670"/>
    <w:rsid w:val="00FB7408"/>
    <w:rsid w:val="00FC256E"/>
    <w:rsid w:val="00FC4EBD"/>
    <w:rsid w:val="00FC5CBD"/>
    <w:rsid w:val="00FC61D0"/>
    <w:rsid w:val="00FD10AD"/>
    <w:rsid w:val="00FD562B"/>
    <w:rsid w:val="00FD5E52"/>
    <w:rsid w:val="00FD6873"/>
    <w:rsid w:val="00FE09C5"/>
    <w:rsid w:val="00FE3236"/>
    <w:rsid w:val="00FE339B"/>
    <w:rsid w:val="00FE5BAA"/>
    <w:rsid w:val="00FE7095"/>
    <w:rsid w:val="00FF0DDA"/>
    <w:rsid w:val="00FF215E"/>
    <w:rsid w:val="00FF6DD5"/>
    <w:rsid w:val="01D05165"/>
    <w:rsid w:val="01D9415D"/>
    <w:rsid w:val="043E3047"/>
    <w:rsid w:val="048B1696"/>
    <w:rsid w:val="05B10E6F"/>
    <w:rsid w:val="07821BE8"/>
    <w:rsid w:val="0914179B"/>
    <w:rsid w:val="0AD812A7"/>
    <w:rsid w:val="0B7109C2"/>
    <w:rsid w:val="0C746753"/>
    <w:rsid w:val="0D57246F"/>
    <w:rsid w:val="0DB33701"/>
    <w:rsid w:val="0E07080F"/>
    <w:rsid w:val="0F8E5C11"/>
    <w:rsid w:val="10101A7B"/>
    <w:rsid w:val="1435390A"/>
    <w:rsid w:val="171D187D"/>
    <w:rsid w:val="17703571"/>
    <w:rsid w:val="18E97F09"/>
    <w:rsid w:val="1A2F2188"/>
    <w:rsid w:val="1AB214E3"/>
    <w:rsid w:val="1B7A2F0A"/>
    <w:rsid w:val="1B855405"/>
    <w:rsid w:val="1EC02E53"/>
    <w:rsid w:val="1F1F7704"/>
    <w:rsid w:val="1FAF0764"/>
    <w:rsid w:val="200B1262"/>
    <w:rsid w:val="21D64B0B"/>
    <w:rsid w:val="22E23A77"/>
    <w:rsid w:val="242C183B"/>
    <w:rsid w:val="242F00DE"/>
    <w:rsid w:val="243C084F"/>
    <w:rsid w:val="24A92FA3"/>
    <w:rsid w:val="25183942"/>
    <w:rsid w:val="251E0645"/>
    <w:rsid w:val="25CC2FDF"/>
    <w:rsid w:val="299F2F08"/>
    <w:rsid w:val="2BF80676"/>
    <w:rsid w:val="2CA85564"/>
    <w:rsid w:val="2CB2199F"/>
    <w:rsid w:val="2DAB5BAB"/>
    <w:rsid w:val="2E001E8F"/>
    <w:rsid w:val="2E031810"/>
    <w:rsid w:val="2EBD7D52"/>
    <w:rsid w:val="2EE9014E"/>
    <w:rsid w:val="2F832C85"/>
    <w:rsid w:val="2FE447D9"/>
    <w:rsid w:val="315D66B5"/>
    <w:rsid w:val="31B93423"/>
    <w:rsid w:val="32643D9D"/>
    <w:rsid w:val="333C21F4"/>
    <w:rsid w:val="3423200B"/>
    <w:rsid w:val="34803BBB"/>
    <w:rsid w:val="37687528"/>
    <w:rsid w:val="38B50567"/>
    <w:rsid w:val="39F06807"/>
    <w:rsid w:val="3B2472B8"/>
    <w:rsid w:val="3D2D763B"/>
    <w:rsid w:val="41144350"/>
    <w:rsid w:val="42AB3F11"/>
    <w:rsid w:val="43010177"/>
    <w:rsid w:val="44D8126F"/>
    <w:rsid w:val="475C16FB"/>
    <w:rsid w:val="4925029D"/>
    <w:rsid w:val="4C4B54D8"/>
    <w:rsid w:val="4E041130"/>
    <w:rsid w:val="4EE51A05"/>
    <w:rsid w:val="4F034C08"/>
    <w:rsid w:val="4FDF6855"/>
    <w:rsid w:val="51C13FBE"/>
    <w:rsid w:val="52206DAE"/>
    <w:rsid w:val="54811B42"/>
    <w:rsid w:val="55D50815"/>
    <w:rsid w:val="55D6790C"/>
    <w:rsid w:val="56243888"/>
    <w:rsid w:val="5A74394F"/>
    <w:rsid w:val="5C147475"/>
    <w:rsid w:val="5CB92525"/>
    <w:rsid w:val="5DF03C66"/>
    <w:rsid w:val="5F1D4538"/>
    <w:rsid w:val="60904CBB"/>
    <w:rsid w:val="60954120"/>
    <w:rsid w:val="617A2AF9"/>
    <w:rsid w:val="64DC5C1F"/>
    <w:rsid w:val="6718551E"/>
    <w:rsid w:val="680D106A"/>
    <w:rsid w:val="68A35E69"/>
    <w:rsid w:val="69C15B1B"/>
    <w:rsid w:val="6AFF7D08"/>
    <w:rsid w:val="6F264369"/>
    <w:rsid w:val="73724A01"/>
    <w:rsid w:val="73852BD0"/>
    <w:rsid w:val="75083251"/>
    <w:rsid w:val="750D5C8A"/>
    <w:rsid w:val="75615C16"/>
    <w:rsid w:val="75C235CF"/>
    <w:rsid w:val="79BD656A"/>
    <w:rsid w:val="7A902985"/>
    <w:rsid w:val="7D6C1836"/>
    <w:rsid w:val="7DA21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2"/>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9"/>
    <w:qFormat/>
    <w:uiPriority w:val="0"/>
    <w:pPr>
      <w:ind w:firstLine="420" w:firstLineChars="200"/>
    </w:pPr>
    <w:rPr>
      <w:rFonts w:ascii="Times New Roman" w:hAnsi="Times New Roman" w:eastAsia="宋体" w:cs="Times New Roman"/>
      <w:szCs w:val="24"/>
    </w:rPr>
  </w:style>
  <w:style w:type="paragraph" w:styleId="5">
    <w:name w:val="annotation text"/>
    <w:basedOn w:val="1"/>
    <w:link w:val="45"/>
    <w:semiHidden/>
    <w:unhideWhenUsed/>
    <w:qFormat/>
    <w:uiPriority w:val="99"/>
    <w:pPr>
      <w:jc w:val="left"/>
    </w:pPr>
  </w:style>
  <w:style w:type="paragraph" w:styleId="6">
    <w:name w:val="Body Text"/>
    <w:basedOn w:val="1"/>
    <w:link w:val="37"/>
    <w:qFormat/>
    <w:uiPriority w:val="1"/>
    <w:pPr>
      <w:spacing w:after="120"/>
    </w:pPr>
    <w:rPr>
      <w:rFonts w:ascii="Calibri" w:hAnsi="Calibri" w:eastAsia="宋体" w:cs="黑体"/>
      <w:szCs w:val="24"/>
    </w:rPr>
  </w:style>
  <w:style w:type="paragraph" w:styleId="7">
    <w:name w:val="toc 3"/>
    <w:basedOn w:val="1"/>
    <w:next w:val="1"/>
    <w:unhideWhenUsed/>
    <w:qFormat/>
    <w:uiPriority w:val="39"/>
    <w:pPr>
      <w:ind w:left="840" w:leftChars="400"/>
    </w:pPr>
  </w:style>
  <w:style w:type="paragraph" w:styleId="8">
    <w:name w:val="Plain Text"/>
    <w:basedOn w:val="1"/>
    <w:link w:val="48"/>
    <w:qFormat/>
    <w:uiPriority w:val="0"/>
    <w:pPr>
      <w:adjustRightInd w:val="0"/>
      <w:spacing w:line="312" w:lineRule="atLeast"/>
      <w:textAlignment w:val="baseline"/>
    </w:pPr>
    <w:rPr>
      <w:rFonts w:ascii="宋体" w:hAnsi="Courier New" w:eastAsia="宋体" w:cs="Times New Roman"/>
      <w:kern w:val="0"/>
      <w:szCs w:val="21"/>
    </w:rPr>
  </w:style>
  <w:style w:type="paragraph" w:styleId="9">
    <w:name w:val="Balloon Text"/>
    <w:basedOn w:val="1"/>
    <w:link w:val="34"/>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42"/>
    <w:semiHidden/>
    <w:unhideWhenUsed/>
    <w:qFormat/>
    <w:uiPriority w:val="99"/>
    <w:pPr>
      <w:snapToGrid w:val="0"/>
      <w:jc w:val="left"/>
    </w:pPr>
    <w:rPr>
      <w:rFonts w:ascii="Times New Roman" w:hAnsi="Times New Roman" w:eastAsia="宋体" w:cs="Times New Roman"/>
      <w:sz w:val="18"/>
      <w:szCs w:val="18"/>
    </w:rPr>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5"/>
    <w:next w:val="5"/>
    <w:link w:val="46"/>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List Paragraph"/>
    <w:basedOn w:val="1"/>
    <w:qFormat/>
    <w:uiPriority w:val="34"/>
    <w:pPr>
      <w:ind w:firstLine="420" w:firstLineChars="200"/>
    </w:pPr>
  </w:style>
  <w:style w:type="character" w:customStyle="1" w:styleId="26">
    <w:name w:val="页眉 字符"/>
    <w:basedOn w:val="19"/>
    <w:link w:val="11"/>
    <w:qFormat/>
    <w:uiPriority w:val="99"/>
    <w:rPr>
      <w:sz w:val="18"/>
      <w:szCs w:val="18"/>
    </w:rPr>
  </w:style>
  <w:style w:type="character" w:customStyle="1" w:styleId="27">
    <w:name w:val="页脚 字符"/>
    <w:basedOn w:val="19"/>
    <w:link w:val="10"/>
    <w:qFormat/>
    <w:uiPriority w:val="99"/>
    <w:rPr>
      <w:sz w:val="18"/>
      <w:szCs w:val="18"/>
    </w:rPr>
  </w:style>
  <w:style w:type="character" w:customStyle="1" w:styleId="28">
    <w:name w:val="标题 1 字符"/>
    <w:basedOn w:val="19"/>
    <w:link w:val="2"/>
    <w:qFormat/>
    <w:uiPriority w:val="0"/>
    <w:rPr>
      <w:rFonts w:ascii="Times New Roman" w:hAnsi="Times New Roman" w:eastAsia="宋体" w:cs="Times New Roman"/>
      <w:b/>
      <w:bCs/>
      <w:kern w:val="44"/>
      <w:sz w:val="44"/>
      <w:szCs w:val="44"/>
    </w:rPr>
  </w:style>
  <w:style w:type="paragraph" w:customStyle="1" w:styleId="29">
    <w:name w:val="样式 标题 2 + Times New Roman 四号 非加粗 段前: 5 磅 段后: 0 磅 行距: 固定值 20..."/>
    <w:basedOn w:val="3"/>
    <w:qFormat/>
    <w:uiPriority w:val="0"/>
    <w:pPr>
      <w:tabs>
        <w:tab w:val="left" w:pos="1134"/>
      </w:tabs>
      <w:spacing w:before="100" w:after="0" w:line="400" w:lineRule="exact"/>
    </w:pPr>
    <w:rPr>
      <w:rFonts w:ascii="Times New Roman" w:hAnsi="Times New Roman" w:eastAsia="黑体" w:cs="Times New Roman"/>
      <w:b w:val="0"/>
      <w:bCs w:val="0"/>
      <w:sz w:val="28"/>
      <w:szCs w:val="20"/>
    </w:rPr>
  </w:style>
  <w:style w:type="character" w:customStyle="1" w:styleId="30">
    <w:name w:val="日期 Char"/>
    <w:basedOn w:val="19"/>
    <w:link w:val="31"/>
    <w:qFormat/>
    <w:uiPriority w:val="0"/>
    <w:rPr>
      <w:rFonts w:ascii="宋体" w:hAnsi="Times New Roman" w:eastAsia="宋体" w:cs="Times New Roman"/>
      <w:kern w:val="0"/>
      <w:sz w:val="24"/>
      <w:szCs w:val="20"/>
    </w:rPr>
  </w:style>
  <w:style w:type="paragraph" w:customStyle="1" w:styleId="31">
    <w:name w:val="日期1"/>
    <w:basedOn w:val="1"/>
    <w:next w:val="1"/>
    <w:link w:val="30"/>
    <w:qFormat/>
    <w:uiPriority w:val="0"/>
    <w:pPr>
      <w:adjustRightInd w:val="0"/>
      <w:spacing w:line="360" w:lineRule="atLeast"/>
    </w:pPr>
    <w:rPr>
      <w:rFonts w:ascii="宋体" w:hAnsi="Times New Roman" w:eastAsia="宋体" w:cs="Times New Roman"/>
      <w:kern w:val="0"/>
      <w:sz w:val="24"/>
      <w:szCs w:val="20"/>
    </w:rPr>
  </w:style>
  <w:style w:type="character" w:customStyle="1" w:styleId="32">
    <w:name w:val="标题 2 字符"/>
    <w:basedOn w:val="19"/>
    <w:link w:val="3"/>
    <w:qFormat/>
    <w:uiPriority w:val="9"/>
    <w:rPr>
      <w:rFonts w:asciiTheme="majorHAnsi" w:hAnsiTheme="majorHAnsi" w:eastAsiaTheme="majorEastAsia" w:cstheme="majorBidi"/>
      <w:b/>
      <w:bCs/>
      <w:sz w:val="32"/>
      <w:szCs w:val="32"/>
    </w:rPr>
  </w:style>
  <w:style w:type="paragraph" w:customStyle="1" w:styleId="3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9"/>
    <w:link w:val="9"/>
    <w:semiHidden/>
    <w:qFormat/>
    <w:uiPriority w:val="99"/>
    <w:rPr>
      <w:sz w:val="18"/>
      <w:szCs w:val="18"/>
    </w:rPr>
  </w:style>
  <w:style w:type="paragraph" w:customStyle="1" w:styleId="35">
    <w:name w:val="日期2"/>
    <w:basedOn w:val="1"/>
    <w:next w:val="1"/>
    <w:qFormat/>
    <w:uiPriority w:val="0"/>
    <w:pPr>
      <w:ind w:left="100" w:leftChars="2500"/>
    </w:pPr>
    <w:rPr>
      <w:rFonts w:ascii="宋体" w:hAnsi="宋体" w:eastAsia="宋体" w:cs="Times New Roman"/>
      <w:b/>
      <w:kern w:val="0"/>
      <w:sz w:val="28"/>
      <w:szCs w:val="20"/>
      <w:lang w:val="zh-CN"/>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正文文本 字符"/>
    <w:basedOn w:val="19"/>
    <w:link w:val="6"/>
    <w:qFormat/>
    <w:uiPriority w:val="0"/>
    <w:rPr>
      <w:rFonts w:ascii="Calibri" w:hAnsi="Calibri" w:eastAsia="宋体" w:cs="黑体"/>
      <w:kern w:val="2"/>
      <w:sz w:val="21"/>
      <w:szCs w:val="24"/>
    </w:rPr>
  </w:style>
  <w:style w:type="paragraph" w:customStyle="1" w:styleId="3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39">
    <w:name w:val="font01"/>
    <w:basedOn w:val="19"/>
    <w:qFormat/>
    <w:uiPriority w:val="0"/>
    <w:rPr>
      <w:rFonts w:hint="eastAsia" w:ascii="宋体" w:hAnsi="宋体" w:eastAsia="宋体" w:cs="宋体"/>
      <w:color w:val="000000"/>
      <w:sz w:val="32"/>
      <w:szCs w:val="32"/>
      <w:u w:val="none"/>
      <w:vertAlign w:val="subscript"/>
    </w:rPr>
  </w:style>
  <w:style w:type="character" w:customStyle="1" w:styleId="40">
    <w:name w:val="font21"/>
    <w:basedOn w:val="19"/>
    <w:qFormat/>
    <w:uiPriority w:val="0"/>
    <w:rPr>
      <w:rFonts w:hint="eastAsia" w:ascii="宋体" w:hAnsi="宋体" w:eastAsia="宋体" w:cs="宋体"/>
      <w:color w:val="000000"/>
      <w:sz w:val="32"/>
      <w:szCs w:val="32"/>
      <w:u w:val="none"/>
      <w:vertAlign w:val="superscript"/>
    </w:rPr>
  </w:style>
  <w:style w:type="paragraph" w:customStyle="1" w:styleId="41">
    <w:name w:val="Default"/>
    <w:basedOn w:val="1"/>
    <w:next w:val="13"/>
    <w:qFormat/>
    <w:uiPriority w:val="0"/>
    <w:pPr>
      <w:autoSpaceDE w:val="0"/>
      <w:autoSpaceDN w:val="0"/>
      <w:adjustRightInd w:val="0"/>
      <w:jc w:val="left"/>
    </w:pPr>
    <w:rPr>
      <w:rFonts w:hint="eastAsia" w:ascii="宋体" w:hAnsi="Calibri" w:eastAsia="宋体" w:cs="Times New Roman"/>
      <w:color w:val="000000"/>
      <w:kern w:val="0"/>
      <w:sz w:val="24"/>
      <w:szCs w:val="24"/>
    </w:rPr>
  </w:style>
  <w:style w:type="character" w:customStyle="1" w:styleId="42">
    <w:name w:val="脚注文本 字符"/>
    <w:basedOn w:val="19"/>
    <w:link w:val="13"/>
    <w:qFormat/>
    <w:uiPriority w:val="0"/>
    <w:rPr>
      <w:kern w:val="2"/>
      <w:sz w:val="18"/>
      <w:szCs w:val="18"/>
    </w:rPr>
  </w:style>
  <w:style w:type="paragraph" w:customStyle="1" w:styleId="43">
    <w:name w:val="Table Paragraph"/>
    <w:basedOn w:val="1"/>
    <w:qFormat/>
    <w:uiPriority w:val="1"/>
    <w:pPr>
      <w:autoSpaceDE w:val="0"/>
      <w:autoSpaceDN w:val="0"/>
      <w:jc w:val="left"/>
    </w:pPr>
    <w:rPr>
      <w:rFonts w:hint="eastAsia" w:ascii="宋体" w:hAnsi="宋体" w:eastAsia="宋体" w:cs="Times New Roman"/>
      <w:kern w:val="0"/>
      <w:sz w:val="22"/>
    </w:rPr>
  </w:style>
  <w:style w:type="character" w:customStyle="1" w:styleId="44">
    <w:name w:val="未处理的提及1"/>
    <w:basedOn w:val="19"/>
    <w:semiHidden/>
    <w:unhideWhenUsed/>
    <w:qFormat/>
    <w:uiPriority w:val="99"/>
    <w:rPr>
      <w:color w:val="605E5C"/>
      <w:shd w:val="clear" w:color="auto" w:fill="E1DFDD"/>
    </w:rPr>
  </w:style>
  <w:style w:type="character" w:customStyle="1" w:styleId="45">
    <w:name w:val="批注文字 字符"/>
    <w:basedOn w:val="19"/>
    <w:link w:val="5"/>
    <w:semiHidden/>
    <w:qFormat/>
    <w:uiPriority w:val="99"/>
    <w:rPr>
      <w:rFonts w:asciiTheme="minorHAnsi" w:hAnsiTheme="minorHAnsi" w:eastAsiaTheme="minorEastAsia" w:cstheme="minorBidi"/>
      <w:kern w:val="2"/>
      <w:sz w:val="21"/>
      <w:szCs w:val="22"/>
    </w:rPr>
  </w:style>
  <w:style w:type="character" w:customStyle="1" w:styleId="46">
    <w:name w:val="批注主题 字符"/>
    <w:basedOn w:val="45"/>
    <w:link w:val="16"/>
    <w:semiHidden/>
    <w:qFormat/>
    <w:uiPriority w:val="99"/>
    <w:rPr>
      <w:rFonts w:asciiTheme="minorHAnsi" w:hAnsiTheme="minorHAnsi" w:eastAsiaTheme="minorEastAsia" w:cstheme="minorBidi"/>
      <w:b/>
      <w:bCs/>
      <w:kern w:val="2"/>
      <w:sz w:val="21"/>
      <w:szCs w:val="22"/>
    </w:rPr>
  </w:style>
  <w:style w:type="character" w:customStyle="1" w:styleId="47">
    <w:name w:val="未处理的提及2"/>
    <w:basedOn w:val="19"/>
    <w:semiHidden/>
    <w:unhideWhenUsed/>
    <w:qFormat/>
    <w:uiPriority w:val="99"/>
    <w:rPr>
      <w:color w:val="605E5C"/>
      <w:shd w:val="clear" w:color="auto" w:fill="E1DFDD"/>
    </w:rPr>
  </w:style>
  <w:style w:type="character" w:customStyle="1" w:styleId="48">
    <w:name w:val="纯文本 字符"/>
    <w:basedOn w:val="19"/>
    <w:link w:val="8"/>
    <w:qFormat/>
    <w:uiPriority w:val="0"/>
    <w:rPr>
      <w:rFonts w:ascii="宋体" w:hAnsi="Courier New"/>
      <w:sz w:val="21"/>
      <w:szCs w:val="21"/>
    </w:rPr>
  </w:style>
  <w:style w:type="character" w:customStyle="1" w:styleId="49">
    <w:name w:val="正文缩进 字符"/>
    <w:link w:val="4"/>
    <w:qFormat/>
    <w:locked/>
    <w:uiPriority w:val="0"/>
    <w:rPr>
      <w:kern w:val="2"/>
      <w:sz w:val="21"/>
      <w:szCs w:val="24"/>
    </w:rPr>
  </w:style>
  <w:style w:type="paragraph" w:customStyle="1" w:styleId="50">
    <w:name w:val="Particulars Slip"/>
    <w:basedOn w:val="1"/>
    <w:qFormat/>
    <w:uiPriority w:val="0"/>
    <w:pPr>
      <w:tabs>
        <w:tab w:val="left" w:pos="2160"/>
        <w:tab w:val="left" w:pos="2520"/>
        <w:tab w:val="left" w:pos="2880"/>
        <w:tab w:val="left" w:pos="3240"/>
        <w:tab w:val="left" w:pos="3600"/>
        <w:tab w:val="left" w:pos="3960"/>
      </w:tabs>
    </w:pPr>
    <w:rPr>
      <w:rFonts w:ascii="全真簡中楷" w:hAnsi="Times New Roman" w:eastAsia="全真簡中楷" w:cs="Times New Roman"/>
      <w:snapToGrid w:val="0"/>
      <w:kern w:val="0"/>
      <w:sz w:val="28"/>
      <w:szCs w:val="20"/>
      <w:lang w:val="en-GB" w:eastAsia="en-US"/>
    </w:rPr>
  </w:style>
  <w:style w:type="table" w:customStyle="1" w:styleId="5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2">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3">
    <w:name w:val="Table Normal1"/>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E1C5C-A7AF-41A6-96E1-127089D39B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5466</Words>
  <Characters>31161</Characters>
  <Lines>259</Lines>
  <Paragraphs>73</Paragraphs>
  <TotalTime>71</TotalTime>
  <ScaleCrop>false</ScaleCrop>
  <LinksUpToDate>false</LinksUpToDate>
  <CharactersWithSpaces>36554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2022-08-20T14:28:00Z</dcterms:created>
  <dc:creator>COFCO\zhucs</dc:creator>
  <cp:lastModifiedBy>赵东旭</cp:lastModifiedBy>
  <cp:lastPrinted>2023-07-18T01:31:00Z</cp:lastPrinted>
  <dcterms:modified xsi:type="dcterms:W3CDTF">2024-04-26T09:17:02Z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D0DB1D9E76F44681A104AD7D5335DB63</vt:lpwstr>
  </property>
</Properties>
</file>