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黑体"/>
          <w:sz w:val="32"/>
        </w:rPr>
      </w:pPr>
      <w:r>
        <w:rPr>
          <w:rFonts w:eastAsia="黑体"/>
          <w:sz w:val="32"/>
        </w:rPr>
        <w:t>北海糖业</w:t>
      </w:r>
    </w:p>
    <w:tbl>
      <w:tblPr>
        <w:tblStyle w:val="10"/>
        <w:tblW w:w="9743" w:type="dxa"/>
        <w:tblInd w:w="108" w:type="dxa"/>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
      <w:tblGrid>
        <w:gridCol w:w="5063"/>
        <w:gridCol w:w="4680"/>
      </w:tblGrid>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389" w:hRule="atLeast"/>
        </w:trPr>
        <w:tc>
          <w:tcPr>
            <w:tcW w:w="5063" w:type="dxa"/>
            <w:vAlign w:val="center"/>
          </w:tcPr>
          <w:p>
            <w:pPr>
              <w:ind w:right="-376" w:rightChars="-179"/>
              <w:rPr>
                <w:rFonts w:eastAsia="黑体"/>
                <w:color w:val="000000"/>
                <w:sz w:val="24"/>
              </w:rPr>
            </w:pPr>
            <w:r>
              <w:rPr>
                <w:rFonts w:eastAsia="黑体"/>
                <w:sz w:val="24"/>
              </w:rPr>
              <w:t>致To:</w:t>
            </w:r>
          </w:p>
        </w:tc>
        <w:tc>
          <w:tcPr>
            <w:tcW w:w="4680" w:type="dxa"/>
            <w:vAlign w:val="center"/>
          </w:tcPr>
          <w:p>
            <w:pPr>
              <w:rPr>
                <w:rFonts w:eastAsia="黑体"/>
                <w:sz w:val="24"/>
              </w:rPr>
            </w:pPr>
            <w:r>
              <w:rPr>
                <w:rFonts w:eastAsia="黑体"/>
                <w:sz w:val="24"/>
              </w:rPr>
              <w:t xml:space="preserve">发件人From: 甘富文 </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409" w:hRule="atLeast"/>
        </w:trPr>
        <w:tc>
          <w:tcPr>
            <w:tcW w:w="5063" w:type="dxa"/>
            <w:vAlign w:val="center"/>
          </w:tcPr>
          <w:p>
            <w:pPr>
              <w:rPr>
                <w:rFonts w:eastAsia="黑体"/>
                <w:sz w:val="24"/>
              </w:rPr>
            </w:pPr>
            <w:r>
              <w:rPr>
                <w:rFonts w:eastAsia="黑体"/>
                <w:sz w:val="24"/>
              </w:rPr>
              <w:t xml:space="preserve">传真Fax: </w:t>
            </w:r>
          </w:p>
        </w:tc>
        <w:tc>
          <w:tcPr>
            <w:tcW w:w="4680" w:type="dxa"/>
            <w:vAlign w:val="center"/>
          </w:tcPr>
          <w:p>
            <w:pPr>
              <w:rPr>
                <w:rFonts w:eastAsia="黑体"/>
                <w:sz w:val="24"/>
              </w:rPr>
            </w:pPr>
            <w:r>
              <w:rPr>
                <w:rFonts w:eastAsia="黑体"/>
                <w:sz w:val="24"/>
              </w:rPr>
              <w:t>电话Tel: 18276722628</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389" w:hRule="atLeast"/>
        </w:trPr>
        <w:tc>
          <w:tcPr>
            <w:tcW w:w="5063" w:type="dxa"/>
            <w:vAlign w:val="center"/>
          </w:tcPr>
          <w:p>
            <w:pPr>
              <w:rPr>
                <w:rFonts w:eastAsia="黑体"/>
                <w:sz w:val="24"/>
              </w:rPr>
            </w:pPr>
            <w:r>
              <w:rPr>
                <w:rFonts w:eastAsia="黑体"/>
                <w:sz w:val="24"/>
              </w:rPr>
              <w:t xml:space="preserve">呈Attn: </w:t>
            </w:r>
          </w:p>
        </w:tc>
        <w:tc>
          <w:tcPr>
            <w:tcW w:w="4680" w:type="dxa"/>
            <w:vAlign w:val="center"/>
          </w:tcPr>
          <w:p>
            <w:pPr>
              <w:rPr>
                <w:rFonts w:eastAsia="黑体"/>
                <w:sz w:val="24"/>
              </w:rPr>
            </w:pPr>
            <w:r>
              <w:rPr>
                <w:rFonts w:eastAsia="黑体"/>
                <w:sz w:val="24"/>
              </w:rPr>
              <w:t xml:space="preserve">传真Fax: </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389" w:hRule="atLeast"/>
        </w:trPr>
        <w:tc>
          <w:tcPr>
            <w:tcW w:w="5063" w:type="dxa"/>
            <w:vAlign w:val="center"/>
          </w:tcPr>
          <w:p>
            <w:pPr>
              <w:rPr>
                <w:rFonts w:eastAsia="黑体"/>
                <w:sz w:val="24"/>
              </w:rPr>
            </w:pPr>
            <w:r>
              <w:rPr>
                <w:rFonts w:eastAsia="黑体"/>
                <w:sz w:val="24"/>
              </w:rPr>
              <w:t>主题Titel: 询价文件</w:t>
            </w:r>
          </w:p>
        </w:tc>
        <w:tc>
          <w:tcPr>
            <w:tcW w:w="4680" w:type="dxa"/>
            <w:vAlign w:val="center"/>
          </w:tcPr>
          <w:p>
            <w:pPr>
              <w:rPr>
                <w:rFonts w:eastAsia="黑体"/>
                <w:sz w:val="24"/>
              </w:rPr>
            </w:pPr>
            <w:r>
              <w:rPr>
                <w:rFonts w:eastAsia="黑体"/>
                <w:sz w:val="24"/>
              </w:rPr>
              <w:t xml:space="preserve">页数Page: </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409" w:hRule="atLeast"/>
        </w:trPr>
        <w:tc>
          <w:tcPr>
            <w:tcW w:w="5063" w:type="dxa"/>
            <w:vAlign w:val="center"/>
          </w:tcPr>
          <w:p>
            <w:pPr>
              <w:rPr>
                <w:rFonts w:eastAsia="黑体"/>
                <w:sz w:val="24"/>
              </w:rPr>
            </w:pPr>
            <w:r>
              <w:rPr>
                <w:rFonts w:eastAsia="黑体"/>
                <w:sz w:val="24"/>
              </w:rPr>
              <w:t>编号Number:</w:t>
            </w:r>
          </w:p>
        </w:tc>
        <w:tc>
          <w:tcPr>
            <w:tcW w:w="4680" w:type="dxa"/>
            <w:vAlign w:val="center"/>
          </w:tcPr>
          <w:p>
            <w:pPr>
              <w:rPr>
                <w:rFonts w:eastAsia="黑体"/>
                <w:sz w:val="24"/>
              </w:rPr>
            </w:pPr>
            <w:r>
              <w:rPr>
                <w:rFonts w:eastAsia="黑体"/>
                <w:sz w:val="24"/>
              </w:rPr>
              <w:t>日期Date: 202</w:t>
            </w:r>
            <w:r>
              <w:rPr>
                <w:rFonts w:hint="eastAsia" w:eastAsia="黑体"/>
                <w:sz w:val="24"/>
              </w:rPr>
              <w:t>4</w:t>
            </w:r>
            <w:r>
              <w:rPr>
                <w:rFonts w:eastAsia="黑体"/>
                <w:sz w:val="24"/>
              </w:rPr>
              <w:t>年5月3日</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409" w:hRule="atLeast"/>
        </w:trPr>
        <w:tc>
          <w:tcPr>
            <w:tcW w:w="5063" w:type="dxa"/>
            <w:vAlign w:val="center"/>
          </w:tcPr>
          <w:p>
            <w:pPr>
              <w:rPr>
                <w:rFonts w:eastAsia="黑体"/>
                <w:sz w:val="24"/>
              </w:rPr>
            </w:pPr>
            <w:r>
              <w:rPr>
                <w:rFonts w:eastAsia="黑体"/>
                <w:sz w:val="24"/>
              </w:rPr>
              <w:t>内容Special Instruction(ifany):</w:t>
            </w:r>
          </w:p>
        </w:tc>
        <w:tc>
          <w:tcPr>
            <w:tcW w:w="4680" w:type="dxa"/>
            <w:vAlign w:val="center"/>
          </w:tcPr>
          <w:p>
            <w:pPr>
              <w:rPr>
                <w:rFonts w:eastAsia="黑体"/>
                <w:sz w:val="24"/>
              </w:rPr>
            </w:pPr>
          </w:p>
        </w:tc>
      </w:tr>
    </w:tbl>
    <w:p>
      <w:pPr>
        <w:spacing w:line="560" w:lineRule="exact"/>
        <w:ind w:firstLine="640" w:firstLineChars="200"/>
        <w:rPr>
          <w:rFonts w:eastAsia="仿宋"/>
          <w:sz w:val="32"/>
          <w:szCs w:val="32"/>
        </w:rPr>
      </w:pPr>
    </w:p>
    <w:p>
      <w:pPr>
        <w:spacing w:line="560" w:lineRule="exact"/>
        <w:jc w:val="center"/>
        <w:rPr>
          <w:rFonts w:eastAsia="方正小标宋简体"/>
          <w:sz w:val="44"/>
          <w:szCs w:val="44"/>
        </w:rPr>
      </w:pPr>
      <w:r>
        <w:rPr>
          <w:rFonts w:eastAsia="方正小标宋简体"/>
          <w:sz w:val="44"/>
          <w:szCs w:val="44"/>
        </w:rPr>
        <w:t>询价文件</w:t>
      </w:r>
    </w:p>
    <w:p>
      <w:pPr>
        <w:spacing w:line="560" w:lineRule="exact"/>
        <w:jc w:val="left"/>
        <w:rPr>
          <w:rFonts w:eastAsia="仿宋_GB2312"/>
          <w:kern w:val="0"/>
          <w:sz w:val="32"/>
          <w:szCs w:val="32"/>
        </w:rPr>
      </w:pPr>
      <w:r>
        <w:rPr>
          <w:rFonts w:eastAsia="仿宋_GB2312"/>
          <w:kern w:val="0"/>
          <w:sz w:val="32"/>
          <w:szCs w:val="32"/>
        </w:rPr>
        <w:t>各供应商：</w:t>
      </w:r>
    </w:p>
    <w:p>
      <w:pPr>
        <w:spacing w:line="560" w:lineRule="exact"/>
        <w:ind w:firstLine="640" w:firstLineChars="200"/>
        <w:jc w:val="left"/>
        <w:rPr>
          <w:rFonts w:eastAsia="仿宋_GB2312"/>
          <w:kern w:val="0"/>
          <w:sz w:val="32"/>
          <w:szCs w:val="32"/>
        </w:rPr>
      </w:pPr>
      <w:r>
        <w:rPr>
          <w:rFonts w:eastAsia="仿宋_GB2312"/>
          <w:kern w:val="0"/>
          <w:sz w:val="32"/>
          <w:szCs w:val="32"/>
        </w:rPr>
        <w:t>我公司将对2024</w:t>
      </w:r>
      <w:r>
        <w:rPr>
          <w:rFonts w:hint="eastAsia" w:eastAsia="仿宋_GB2312"/>
          <w:kern w:val="0"/>
          <w:sz w:val="32"/>
          <w:szCs w:val="32"/>
        </w:rPr>
        <w:t>年</w:t>
      </w:r>
      <w:r>
        <w:rPr>
          <w:rFonts w:eastAsia="仿宋_GB2312"/>
          <w:kern w:val="0"/>
          <w:sz w:val="32"/>
          <w:szCs w:val="32"/>
        </w:rPr>
        <w:t>中粮北海糖业工厂</w:t>
      </w:r>
      <w:r>
        <w:rPr>
          <w:rFonts w:hint="eastAsia" w:eastAsia="仿宋_GB2312"/>
          <w:kern w:val="0"/>
          <w:sz w:val="32"/>
          <w:szCs w:val="32"/>
        </w:rPr>
        <w:t>硫磺渣</w:t>
      </w:r>
      <w:r>
        <w:rPr>
          <w:rFonts w:eastAsia="仿宋_GB2312"/>
          <w:kern w:val="0"/>
          <w:sz w:val="32"/>
          <w:szCs w:val="32"/>
        </w:rPr>
        <w:t>运输询价项目进行询比采购，请各供应商根据项目要求进行报名报价。具体要求如下：</w:t>
      </w:r>
    </w:p>
    <w:p>
      <w:pPr>
        <w:spacing w:line="560" w:lineRule="exact"/>
        <w:ind w:firstLine="640" w:firstLineChars="200"/>
        <w:rPr>
          <w:rFonts w:eastAsia="黑体"/>
          <w:sz w:val="32"/>
          <w:szCs w:val="32"/>
        </w:rPr>
      </w:pPr>
      <w:r>
        <w:rPr>
          <w:rFonts w:eastAsia="黑体"/>
          <w:sz w:val="32"/>
          <w:szCs w:val="32"/>
        </w:rPr>
        <w:t>一、供应商须知</w:t>
      </w:r>
    </w:p>
    <w:p>
      <w:pPr>
        <w:spacing w:line="560" w:lineRule="exact"/>
        <w:ind w:firstLine="602"/>
        <w:jc w:val="left"/>
        <w:rPr>
          <w:rFonts w:eastAsia="仿宋_GB2312"/>
          <w:kern w:val="0"/>
          <w:sz w:val="32"/>
          <w:szCs w:val="32"/>
        </w:rPr>
      </w:pPr>
      <w:r>
        <w:rPr>
          <w:rFonts w:eastAsia="仿宋_GB2312"/>
          <w:kern w:val="0"/>
          <w:sz w:val="32"/>
          <w:szCs w:val="32"/>
        </w:rPr>
        <w:t>1.</w:t>
      </w:r>
      <w:r>
        <w:rPr>
          <w:rFonts w:hint="eastAsia" w:eastAsia="仿宋_GB2312"/>
          <w:kern w:val="0"/>
          <w:sz w:val="32"/>
          <w:szCs w:val="32"/>
        </w:rPr>
        <w:t>供应商</w:t>
      </w:r>
      <w:r>
        <w:rPr>
          <w:rFonts w:eastAsia="仿宋_GB2312"/>
          <w:kern w:val="0"/>
          <w:sz w:val="32"/>
          <w:szCs w:val="32"/>
        </w:rPr>
        <w:t>应具备独立签订合同能力，为中华人民共和国境内注册的企业法人或其他组织或自然人。</w:t>
      </w:r>
    </w:p>
    <w:p>
      <w:pPr>
        <w:spacing w:line="560" w:lineRule="exact"/>
        <w:ind w:firstLine="602"/>
        <w:jc w:val="left"/>
        <w:rPr>
          <w:rFonts w:eastAsia="仿宋_GB2312"/>
          <w:kern w:val="0"/>
          <w:sz w:val="32"/>
          <w:szCs w:val="32"/>
        </w:rPr>
      </w:pPr>
      <w:r>
        <w:rPr>
          <w:rFonts w:eastAsia="仿宋_GB2312"/>
          <w:kern w:val="0"/>
          <w:sz w:val="32"/>
          <w:szCs w:val="32"/>
        </w:rPr>
        <w:t>2.</w:t>
      </w:r>
      <w:r>
        <w:rPr>
          <w:rFonts w:hint="eastAsia" w:eastAsia="仿宋_GB2312"/>
          <w:kern w:val="0"/>
          <w:sz w:val="32"/>
          <w:szCs w:val="32"/>
        </w:rPr>
        <w:t>供应商</w:t>
      </w:r>
      <w:r>
        <w:rPr>
          <w:rFonts w:eastAsia="仿宋_GB2312"/>
          <w:kern w:val="0"/>
          <w:sz w:val="32"/>
          <w:szCs w:val="32"/>
        </w:rPr>
        <w:t>在信用中国网站查没有被列入严重失信名单和经营异常的情况；在中国政府采购网站查无严重违法失信行为。</w:t>
      </w:r>
    </w:p>
    <w:p>
      <w:pPr>
        <w:spacing w:line="560" w:lineRule="exact"/>
        <w:ind w:firstLine="602"/>
        <w:jc w:val="left"/>
        <w:rPr>
          <w:rFonts w:eastAsia="仿宋_GB2312"/>
          <w:kern w:val="0"/>
          <w:sz w:val="32"/>
          <w:szCs w:val="32"/>
        </w:rPr>
      </w:pPr>
      <w:r>
        <w:rPr>
          <w:rFonts w:eastAsia="仿宋_GB2312"/>
          <w:kern w:val="0"/>
          <w:sz w:val="32"/>
          <w:szCs w:val="32"/>
        </w:rPr>
        <w:t>3.</w:t>
      </w:r>
      <w:r>
        <w:rPr>
          <w:rFonts w:hint="eastAsia" w:eastAsia="仿宋_GB2312"/>
          <w:kern w:val="0"/>
          <w:sz w:val="32"/>
          <w:szCs w:val="32"/>
        </w:rPr>
        <w:t>供应商</w:t>
      </w:r>
      <w:r>
        <w:rPr>
          <w:rFonts w:eastAsia="仿宋_GB2312"/>
          <w:kern w:val="0"/>
          <w:sz w:val="32"/>
          <w:szCs w:val="32"/>
        </w:rPr>
        <w:t>财务况良好，没有处于财产被没收、接管、破产或其他关、停、并 、转状态。</w:t>
      </w:r>
    </w:p>
    <w:p>
      <w:pPr>
        <w:spacing w:line="560" w:lineRule="exact"/>
        <w:ind w:firstLine="602"/>
        <w:jc w:val="left"/>
      </w:pPr>
      <w:r>
        <w:rPr>
          <w:rFonts w:eastAsia="仿宋_GB2312"/>
          <w:kern w:val="0"/>
          <w:sz w:val="32"/>
          <w:szCs w:val="32"/>
        </w:rPr>
        <w:t>4.供应商须登录中粮糖业电子采购平台进行项目招标活动。未注册的供应商务必在项目开标前完成注册并获得投标资格，通过审核的供应商才能够在系统内进行查看公告、报名、报价等业务操作。采购平台注册网址：</w:t>
      </w:r>
      <w:r>
        <w:fldChar w:fldCharType="begin"/>
      </w:r>
      <w:r>
        <w:instrText xml:space="preserve"> HYPERLINK "https://eps.cofcosugar.com/" </w:instrText>
      </w:r>
      <w:r>
        <w:fldChar w:fldCharType="separate"/>
      </w:r>
      <w:r>
        <w:rPr>
          <w:rStyle w:val="12"/>
          <w:rFonts w:eastAsia="仿宋_GB2312"/>
          <w:sz w:val="28"/>
          <w:szCs w:val="28"/>
        </w:rPr>
        <w:t>https://eps.cofcosugar.com/</w:t>
      </w:r>
      <w:r>
        <w:rPr>
          <w:rStyle w:val="12"/>
          <w:rFonts w:eastAsia="仿宋_GB2312"/>
          <w:sz w:val="28"/>
          <w:szCs w:val="28"/>
        </w:rPr>
        <w:fldChar w:fldCharType="end"/>
      </w:r>
      <w:r>
        <w:rPr>
          <w:rFonts w:eastAsia="仿宋_GB2312"/>
          <w:kern w:val="0"/>
          <w:sz w:val="32"/>
          <w:szCs w:val="32"/>
        </w:rPr>
        <w:t>。请有</w:t>
      </w:r>
      <w:r>
        <w:rPr>
          <w:rFonts w:hint="eastAsia" w:eastAsia="仿宋_GB2312"/>
          <w:kern w:val="0"/>
          <w:sz w:val="32"/>
          <w:szCs w:val="32"/>
        </w:rPr>
        <w:t>意向</w:t>
      </w:r>
      <w:r>
        <w:rPr>
          <w:rFonts w:eastAsia="仿宋_GB2312"/>
          <w:kern w:val="0"/>
          <w:sz w:val="32"/>
          <w:szCs w:val="32"/>
        </w:rPr>
        <w:t>报名的供应商主动与项目人员联系，确认平台注册审核结果。</w:t>
      </w:r>
    </w:p>
    <w:p>
      <w:pPr>
        <w:spacing w:line="560" w:lineRule="exact"/>
        <w:ind w:firstLine="640" w:firstLineChars="200"/>
        <w:rPr>
          <w:rFonts w:eastAsia="黑体"/>
          <w:sz w:val="32"/>
          <w:szCs w:val="32"/>
        </w:rPr>
      </w:pPr>
      <w:r>
        <w:rPr>
          <w:rFonts w:eastAsia="黑体"/>
          <w:sz w:val="32"/>
          <w:szCs w:val="32"/>
        </w:rPr>
        <w:t>二、标的：</w:t>
      </w:r>
    </w:p>
    <w:tbl>
      <w:tblPr>
        <w:tblStyle w:val="10"/>
        <w:tblW w:w="106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2121"/>
        <w:gridCol w:w="1766"/>
        <w:gridCol w:w="675"/>
        <w:gridCol w:w="810"/>
        <w:gridCol w:w="1110"/>
        <w:gridCol w:w="855"/>
        <w:gridCol w:w="1200"/>
        <w:gridCol w:w="1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3" w:hRule="atLeast"/>
          <w:jc w:val="center"/>
        </w:trPr>
        <w:tc>
          <w:tcPr>
            <w:tcW w:w="705" w:type="dxa"/>
            <w:vAlign w:val="center"/>
          </w:tcPr>
          <w:p>
            <w:pPr>
              <w:jc w:val="center"/>
              <w:rPr>
                <w:rFonts w:ascii="仿宋_GB2312" w:hAnsi="仿宋_GB2312" w:eastAsia="仿宋_GB2312" w:cs="仿宋_GB2312"/>
                <w:sz w:val="24"/>
                <w:szCs w:val="32"/>
              </w:rPr>
            </w:pPr>
            <w:r>
              <w:rPr>
                <w:rFonts w:hint="eastAsia" w:ascii="仿宋_GB2312" w:hAnsi="仿宋_GB2312" w:eastAsia="仿宋_GB2312" w:cs="仿宋_GB2312"/>
                <w:sz w:val="24"/>
                <w:szCs w:val="32"/>
              </w:rPr>
              <w:t>物资描述</w:t>
            </w:r>
          </w:p>
        </w:tc>
        <w:tc>
          <w:tcPr>
            <w:tcW w:w="2121" w:type="dxa"/>
            <w:vAlign w:val="center"/>
          </w:tcPr>
          <w:p>
            <w:pPr>
              <w:jc w:val="center"/>
              <w:rPr>
                <w:rFonts w:ascii="仿宋_GB2312" w:hAnsi="仿宋_GB2312" w:eastAsia="仿宋_GB2312" w:cs="仿宋_GB2312"/>
                <w:sz w:val="24"/>
                <w:szCs w:val="32"/>
              </w:rPr>
            </w:pPr>
            <w:r>
              <w:rPr>
                <w:rFonts w:hint="eastAsia" w:ascii="仿宋_GB2312" w:hAnsi="仿宋_GB2312" w:eastAsia="仿宋_GB2312" w:cs="仿宋_GB2312"/>
                <w:sz w:val="24"/>
                <w:szCs w:val="32"/>
              </w:rPr>
              <w:t>起始地</w:t>
            </w:r>
          </w:p>
        </w:tc>
        <w:tc>
          <w:tcPr>
            <w:tcW w:w="1766" w:type="dxa"/>
            <w:vAlign w:val="center"/>
          </w:tcPr>
          <w:p>
            <w:pPr>
              <w:jc w:val="center"/>
              <w:rPr>
                <w:rFonts w:ascii="仿宋_GB2312" w:hAnsi="仿宋_GB2312" w:eastAsia="仿宋_GB2312" w:cs="仿宋_GB2312"/>
                <w:sz w:val="24"/>
                <w:szCs w:val="32"/>
              </w:rPr>
            </w:pPr>
            <w:r>
              <w:rPr>
                <w:rFonts w:hint="eastAsia" w:ascii="仿宋_GB2312" w:hAnsi="仿宋_GB2312" w:eastAsia="仿宋_GB2312" w:cs="仿宋_GB2312"/>
                <w:sz w:val="24"/>
                <w:szCs w:val="32"/>
              </w:rPr>
              <w:t>目的地</w:t>
            </w:r>
          </w:p>
        </w:tc>
        <w:tc>
          <w:tcPr>
            <w:tcW w:w="675" w:type="dxa"/>
            <w:vAlign w:val="center"/>
          </w:tcPr>
          <w:p>
            <w:pPr>
              <w:jc w:val="center"/>
              <w:rPr>
                <w:rFonts w:ascii="仿宋_GB2312" w:hAnsi="仿宋_GB2312" w:eastAsia="仿宋_GB2312" w:cs="仿宋_GB2312"/>
                <w:sz w:val="24"/>
                <w:szCs w:val="32"/>
              </w:rPr>
            </w:pPr>
            <w:r>
              <w:rPr>
                <w:rFonts w:hint="eastAsia" w:ascii="仿宋_GB2312" w:hAnsi="仿宋_GB2312" w:eastAsia="仿宋_GB2312" w:cs="仿宋_GB2312"/>
                <w:sz w:val="24"/>
                <w:szCs w:val="32"/>
              </w:rPr>
              <w:t>单位</w:t>
            </w:r>
          </w:p>
        </w:tc>
        <w:tc>
          <w:tcPr>
            <w:tcW w:w="810" w:type="dxa"/>
            <w:vAlign w:val="center"/>
          </w:tcPr>
          <w:p>
            <w:pPr>
              <w:jc w:val="center"/>
              <w:rPr>
                <w:rFonts w:ascii="仿宋_GB2312" w:hAnsi="仿宋_GB2312" w:eastAsia="仿宋_GB2312" w:cs="仿宋_GB2312"/>
                <w:sz w:val="24"/>
                <w:szCs w:val="32"/>
              </w:rPr>
            </w:pPr>
            <w:r>
              <w:rPr>
                <w:rFonts w:hint="eastAsia" w:ascii="仿宋_GB2312" w:hAnsi="仿宋_GB2312" w:eastAsia="仿宋_GB2312" w:cs="仿宋_GB2312"/>
                <w:sz w:val="24"/>
                <w:szCs w:val="32"/>
              </w:rPr>
              <w:t>数量</w:t>
            </w:r>
          </w:p>
        </w:tc>
        <w:tc>
          <w:tcPr>
            <w:tcW w:w="1110" w:type="dxa"/>
            <w:vAlign w:val="center"/>
          </w:tcPr>
          <w:p>
            <w:pPr>
              <w:jc w:val="center"/>
              <w:rPr>
                <w:rFonts w:ascii="仿宋_GB2312" w:hAnsi="仿宋_GB2312" w:eastAsia="仿宋_GB2312" w:cs="仿宋_GB2312"/>
                <w:sz w:val="24"/>
                <w:szCs w:val="32"/>
              </w:rPr>
            </w:pPr>
            <w:r>
              <w:rPr>
                <w:rFonts w:hint="eastAsia" w:ascii="仿宋_GB2312" w:hAnsi="仿宋_GB2312" w:eastAsia="仿宋_GB2312" w:cs="仿宋_GB2312"/>
                <w:sz w:val="24"/>
                <w:szCs w:val="32"/>
              </w:rPr>
              <w:t>增值税专用发票税率</w:t>
            </w:r>
          </w:p>
        </w:tc>
        <w:tc>
          <w:tcPr>
            <w:tcW w:w="855" w:type="dxa"/>
            <w:vAlign w:val="center"/>
          </w:tcPr>
          <w:p>
            <w:pPr>
              <w:jc w:val="center"/>
              <w:rPr>
                <w:rFonts w:ascii="仿宋_GB2312" w:hAnsi="仿宋_GB2312" w:eastAsia="仿宋_GB2312" w:cs="仿宋_GB2312"/>
                <w:sz w:val="24"/>
                <w:szCs w:val="32"/>
              </w:rPr>
            </w:pPr>
            <w:r>
              <w:rPr>
                <w:rFonts w:hint="eastAsia" w:ascii="仿宋_GB2312" w:hAnsi="仿宋_GB2312" w:eastAsia="仿宋_GB2312" w:cs="仿宋_GB2312"/>
                <w:sz w:val="24"/>
                <w:szCs w:val="32"/>
              </w:rPr>
              <w:t>含税单价</w:t>
            </w:r>
          </w:p>
        </w:tc>
        <w:tc>
          <w:tcPr>
            <w:tcW w:w="1200" w:type="dxa"/>
            <w:vAlign w:val="center"/>
          </w:tcPr>
          <w:p>
            <w:pPr>
              <w:jc w:val="center"/>
              <w:rPr>
                <w:rFonts w:ascii="仿宋_GB2312" w:hAnsi="仿宋_GB2312" w:eastAsia="仿宋_GB2312" w:cs="仿宋_GB2312"/>
                <w:sz w:val="24"/>
                <w:szCs w:val="32"/>
              </w:rPr>
            </w:pPr>
            <w:r>
              <w:rPr>
                <w:rFonts w:hint="eastAsia" w:ascii="仿宋_GB2312" w:hAnsi="仿宋_GB2312" w:eastAsia="仿宋_GB2312" w:cs="仿宋_GB2312"/>
                <w:sz w:val="24"/>
                <w:szCs w:val="32"/>
              </w:rPr>
              <w:t>含税金额（元）</w:t>
            </w:r>
          </w:p>
        </w:tc>
        <w:tc>
          <w:tcPr>
            <w:tcW w:w="1366" w:type="dxa"/>
            <w:vAlign w:val="center"/>
          </w:tcPr>
          <w:p>
            <w:pPr>
              <w:jc w:val="center"/>
              <w:rPr>
                <w:rFonts w:ascii="仿宋_GB2312" w:hAnsi="仿宋_GB2312" w:eastAsia="仿宋_GB2312" w:cs="仿宋_GB2312"/>
                <w:sz w:val="24"/>
                <w:szCs w:val="32"/>
              </w:rPr>
            </w:pPr>
            <w:r>
              <w:rPr>
                <w:rFonts w:hint="eastAsia" w:ascii="仿宋_GB2312" w:hAnsi="仿宋_GB2312" w:eastAsia="仿宋_GB2312" w:cs="仿宋_GB2312"/>
                <w:sz w:val="24"/>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widowControl/>
              <w:jc w:val="center"/>
              <w:textAlignment w:val="bottom"/>
              <w:rPr>
                <w:rFonts w:eastAsia="仿宋_GB2312"/>
                <w:sz w:val="24"/>
              </w:rPr>
            </w:pPr>
            <w:r>
              <w:rPr>
                <w:rFonts w:hint="eastAsia" w:eastAsia="仿宋_GB2312"/>
                <w:sz w:val="24"/>
              </w:rPr>
              <w:t>硫磺渣</w:t>
            </w:r>
            <w:r>
              <w:rPr>
                <w:rFonts w:hint="eastAsia" w:eastAsia="仿宋_GB2312"/>
                <w:sz w:val="24"/>
                <w:lang w:val="en-US" w:eastAsia="zh-CN"/>
              </w:rPr>
              <w:t>运输</w:t>
            </w:r>
          </w:p>
        </w:tc>
        <w:tc>
          <w:tcPr>
            <w:tcW w:w="2121" w:type="dxa"/>
            <w:vAlign w:val="center"/>
          </w:tcPr>
          <w:p>
            <w:pPr>
              <w:widowControl/>
              <w:jc w:val="left"/>
              <w:textAlignment w:val="center"/>
              <w:rPr>
                <w:rFonts w:eastAsia="仿宋_GB2312"/>
                <w:sz w:val="24"/>
              </w:rPr>
            </w:pPr>
            <w:r>
              <w:rPr>
                <w:rFonts w:ascii="宋体" w:hAnsi="宋体" w:cs="宋体"/>
                <w:color w:val="000000"/>
                <w:kern w:val="0"/>
                <w:sz w:val="22"/>
                <w:szCs w:val="22"/>
                <w:lang w:bidi="ar"/>
              </w:rPr>
              <w:t>北海市铁山港区南康镇富康路166号</w:t>
            </w:r>
            <w:r>
              <w:rPr>
                <w:rFonts w:hint="eastAsia" w:ascii="宋体" w:hAnsi="宋体" w:cs="宋体"/>
                <w:color w:val="000000"/>
                <w:kern w:val="0"/>
                <w:sz w:val="22"/>
                <w:szCs w:val="22"/>
                <w:lang w:bidi="ar"/>
              </w:rPr>
              <w:t>（中粮北海糖业有限公司工厂内）</w:t>
            </w:r>
          </w:p>
        </w:tc>
        <w:tc>
          <w:tcPr>
            <w:tcW w:w="1766" w:type="dxa"/>
            <w:vAlign w:val="center"/>
          </w:tcPr>
          <w:p>
            <w:pPr>
              <w:widowControl/>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广西隆安县那桐镇富侨大道5号（广西华维食品添加剂有限公司）</w:t>
            </w:r>
          </w:p>
        </w:tc>
        <w:tc>
          <w:tcPr>
            <w:tcW w:w="675" w:type="dxa"/>
          </w:tcPr>
          <w:p>
            <w:pPr>
              <w:widowControl/>
              <w:jc w:val="center"/>
              <w:textAlignment w:val="top"/>
              <w:rPr>
                <w:rFonts w:eastAsia="仿宋_GB2312"/>
                <w:sz w:val="24"/>
              </w:rPr>
            </w:pPr>
            <w:r>
              <w:rPr>
                <w:rFonts w:hint="eastAsia" w:ascii="宋体" w:hAnsi="宋体" w:cs="宋体"/>
                <w:kern w:val="0"/>
                <w:sz w:val="22"/>
                <w:szCs w:val="22"/>
                <w:lang w:bidi="ar"/>
              </w:rPr>
              <w:t>项</w:t>
            </w:r>
          </w:p>
        </w:tc>
        <w:tc>
          <w:tcPr>
            <w:tcW w:w="810" w:type="dxa"/>
          </w:tcPr>
          <w:p>
            <w:pPr>
              <w:widowControl/>
              <w:jc w:val="center"/>
              <w:textAlignment w:val="top"/>
              <w:rPr>
                <w:rFonts w:eastAsia="仿宋_GB2312"/>
                <w:sz w:val="24"/>
              </w:rPr>
            </w:pPr>
            <w:r>
              <w:rPr>
                <w:rFonts w:hint="eastAsia" w:ascii="宋体" w:hAnsi="宋体" w:cs="宋体"/>
                <w:kern w:val="0"/>
                <w:sz w:val="22"/>
                <w:szCs w:val="22"/>
                <w:lang w:bidi="ar"/>
              </w:rPr>
              <w:t>1</w:t>
            </w:r>
          </w:p>
        </w:tc>
        <w:tc>
          <w:tcPr>
            <w:tcW w:w="1110" w:type="dxa"/>
          </w:tcPr>
          <w:p>
            <w:pPr>
              <w:jc w:val="center"/>
              <w:rPr>
                <w:rFonts w:eastAsia="仿宋_GB2312"/>
                <w:sz w:val="24"/>
              </w:rPr>
            </w:pPr>
          </w:p>
        </w:tc>
        <w:tc>
          <w:tcPr>
            <w:tcW w:w="855" w:type="dxa"/>
          </w:tcPr>
          <w:p>
            <w:pPr>
              <w:jc w:val="center"/>
              <w:rPr>
                <w:rFonts w:eastAsia="仿宋_GB2312"/>
                <w:sz w:val="24"/>
              </w:rPr>
            </w:pPr>
          </w:p>
        </w:tc>
        <w:tc>
          <w:tcPr>
            <w:tcW w:w="1200" w:type="dxa"/>
            <w:vAlign w:val="center"/>
          </w:tcPr>
          <w:p>
            <w:pPr>
              <w:jc w:val="right"/>
              <w:rPr>
                <w:rFonts w:eastAsia="仿宋_GB2312"/>
                <w:sz w:val="24"/>
              </w:rPr>
            </w:pPr>
          </w:p>
        </w:tc>
        <w:tc>
          <w:tcPr>
            <w:tcW w:w="1366" w:type="dxa"/>
          </w:tcPr>
          <w:p>
            <w:pPr>
              <w:rPr>
                <w:rFonts w:eastAsia="仿宋_GB2312"/>
                <w:sz w:val="24"/>
              </w:rPr>
            </w:pPr>
            <w:r>
              <w:rPr>
                <w:rFonts w:hint="eastAsia" w:eastAsia="仿宋_GB2312"/>
                <w:sz w:val="24"/>
              </w:rPr>
              <w:t>1.单程运输</w:t>
            </w:r>
          </w:p>
          <w:p>
            <w:pPr>
              <w:rPr>
                <w:rFonts w:eastAsia="仿宋_GB2312"/>
                <w:sz w:val="24"/>
              </w:rPr>
            </w:pPr>
            <w:r>
              <w:rPr>
                <w:rFonts w:hint="eastAsia" w:eastAsia="仿宋_GB2312"/>
                <w:sz w:val="24"/>
              </w:rPr>
              <w:t>2.乙方提供合适运输车辆</w:t>
            </w:r>
          </w:p>
          <w:p>
            <w:pPr>
              <w:rPr>
                <w:rFonts w:eastAsia="仿宋_GB2312"/>
                <w:sz w:val="24"/>
              </w:rPr>
            </w:pPr>
            <w:r>
              <w:rPr>
                <w:rFonts w:hint="eastAsia" w:eastAsia="仿宋_GB2312"/>
                <w:sz w:val="24"/>
              </w:rPr>
              <w:t>3.硫磺渣（升华硫）重量约4吨。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7" w:hRule="atLeast"/>
          <w:jc w:val="center"/>
        </w:trPr>
        <w:tc>
          <w:tcPr>
            <w:tcW w:w="705" w:type="dxa"/>
            <w:vAlign w:val="center"/>
          </w:tcPr>
          <w:p>
            <w:pPr>
              <w:pStyle w:val="7"/>
              <w:spacing w:line="500" w:lineRule="exact"/>
              <w:ind w:firstLine="0" w:firstLineChars="0"/>
              <w:jc w:val="center"/>
              <w:rPr>
                <w:sz w:val="24"/>
              </w:rPr>
            </w:pPr>
            <w:r>
              <w:rPr>
                <w:rFonts w:hint="eastAsia"/>
                <w:sz w:val="24"/>
              </w:rPr>
              <w:t>合计</w:t>
            </w:r>
          </w:p>
        </w:tc>
        <w:tc>
          <w:tcPr>
            <w:tcW w:w="3887" w:type="dxa"/>
            <w:gridSpan w:val="2"/>
            <w:vAlign w:val="center"/>
          </w:tcPr>
          <w:p>
            <w:pPr>
              <w:widowControl/>
              <w:jc w:val="center"/>
              <w:textAlignment w:val="center"/>
              <w:rPr>
                <w:rFonts w:eastAsia="仿宋_GB2312"/>
                <w:sz w:val="24"/>
              </w:rPr>
            </w:pPr>
          </w:p>
        </w:tc>
        <w:tc>
          <w:tcPr>
            <w:tcW w:w="675" w:type="dxa"/>
            <w:vAlign w:val="center"/>
          </w:tcPr>
          <w:p>
            <w:pPr>
              <w:widowControl/>
              <w:jc w:val="center"/>
              <w:textAlignment w:val="center"/>
              <w:rPr>
                <w:rFonts w:eastAsia="仿宋_GB2312"/>
                <w:sz w:val="24"/>
              </w:rPr>
            </w:pPr>
          </w:p>
        </w:tc>
        <w:tc>
          <w:tcPr>
            <w:tcW w:w="810" w:type="dxa"/>
            <w:vAlign w:val="center"/>
          </w:tcPr>
          <w:p>
            <w:pPr>
              <w:widowControl/>
              <w:jc w:val="center"/>
              <w:textAlignment w:val="center"/>
              <w:rPr>
                <w:rFonts w:eastAsia="仿宋_GB2312"/>
                <w:sz w:val="24"/>
              </w:rPr>
            </w:pPr>
          </w:p>
        </w:tc>
        <w:tc>
          <w:tcPr>
            <w:tcW w:w="1110" w:type="dxa"/>
            <w:vAlign w:val="center"/>
          </w:tcPr>
          <w:p>
            <w:pPr>
              <w:widowControl/>
              <w:jc w:val="center"/>
              <w:textAlignment w:val="center"/>
              <w:rPr>
                <w:rFonts w:eastAsia="仿宋_GB2312"/>
                <w:sz w:val="24"/>
              </w:rPr>
            </w:pPr>
          </w:p>
        </w:tc>
        <w:tc>
          <w:tcPr>
            <w:tcW w:w="855" w:type="dxa"/>
            <w:vAlign w:val="center"/>
          </w:tcPr>
          <w:p>
            <w:pPr>
              <w:widowControl/>
              <w:jc w:val="center"/>
              <w:textAlignment w:val="center"/>
              <w:rPr>
                <w:rFonts w:eastAsia="仿宋_GB2312"/>
                <w:sz w:val="24"/>
              </w:rPr>
            </w:pPr>
          </w:p>
        </w:tc>
        <w:tc>
          <w:tcPr>
            <w:tcW w:w="1200" w:type="dxa"/>
            <w:vAlign w:val="center"/>
          </w:tcPr>
          <w:p>
            <w:pPr>
              <w:widowControl/>
              <w:jc w:val="center"/>
              <w:textAlignment w:val="center"/>
              <w:rPr>
                <w:rFonts w:eastAsia="仿宋_GB2312"/>
                <w:sz w:val="24"/>
              </w:rPr>
            </w:pPr>
          </w:p>
        </w:tc>
        <w:tc>
          <w:tcPr>
            <w:tcW w:w="1366" w:type="dxa"/>
          </w:tcPr>
          <w:p>
            <w:pPr>
              <w:widowControl/>
              <w:jc w:val="left"/>
              <w:textAlignment w:val="top"/>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0608" w:type="dxa"/>
            <w:gridSpan w:val="9"/>
            <w:vAlign w:val="center"/>
          </w:tcPr>
          <w:p>
            <w:pPr>
              <w:jc w:val="left"/>
              <w:rPr>
                <w:rFonts w:eastAsia="仿宋_GB2312"/>
                <w:b/>
                <w:bCs/>
                <w:sz w:val="24"/>
              </w:rPr>
            </w:pPr>
            <w:r>
              <w:rPr>
                <w:rFonts w:eastAsia="仿宋_GB2312"/>
                <w:b/>
                <w:bCs/>
                <w:sz w:val="24"/>
              </w:rPr>
              <w:t>合计</w:t>
            </w:r>
            <w:r>
              <w:rPr>
                <w:rFonts w:hint="eastAsia" w:eastAsia="仿宋_GB2312"/>
                <w:b/>
                <w:bCs/>
                <w:sz w:val="24"/>
              </w:rPr>
              <w:t xml:space="preserve">人民币金额（大写） 元整                                          </w:t>
            </w:r>
            <w:r>
              <w:rPr>
                <w:rFonts w:ascii="Arial" w:hAnsi="Arial" w:eastAsia="仿宋_GB2312" w:cs="Arial"/>
                <w:b/>
                <w:bCs/>
                <w:sz w:val="24"/>
              </w:rPr>
              <w:t>¥</w:t>
            </w:r>
            <w:r>
              <w:rPr>
                <w:rFonts w:hint="eastAsia" w:ascii="Arial" w:hAnsi="Arial" w:eastAsia="仿宋_GB2312" w:cs="Arial"/>
                <w:b/>
                <w:bCs/>
                <w:sz w:val="24"/>
              </w:rPr>
              <w:t xml:space="preserve"> 00.00</w:t>
            </w:r>
          </w:p>
        </w:tc>
      </w:tr>
    </w:tbl>
    <w:p>
      <w:pPr>
        <w:pStyle w:val="6"/>
      </w:pPr>
    </w:p>
    <w:p>
      <w:pPr>
        <w:numPr>
          <w:ilvl w:val="0"/>
          <w:numId w:val="1"/>
        </w:numPr>
        <w:spacing w:line="560" w:lineRule="exact"/>
        <w:ind w:firstLine="602"/>
        <w:jc w:val="left"/>
        <w:rPr>
          <w:rFonts w:eastAsia="黑体"/>
          <w:sz w:val="32"/>
          <w:szCs w:val="32"/>
        </w:rPr>
      </w:pPr>
      <w:r>
        <w:rPr>
          <w:rFonts w:eastAsia="黑体"/>
          <w:sz w:val="32"/>
          <w:szCs w:val="32"/>
        </w:rPr>
        <w:t>报价要求：</w:t>
      </w:r>
    </w:p>
    <w:p>
      <w:pPr>
        <w:pStyle w:val="6"/>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运输过程中，必须遵守相关的法规和规章制度</w:t>
      </w:r>
      <w:r>
        <w:rPr>
          <w:rFonts w:hint="eastAsia" w:ascii="Times New Roman" w:hAnsi="Times New Roman" w:eastAsia="仿宋_GB2312"/>
          <w:kern w:val="0"/>
          <w:sz w:val="32"/>
          <w:szCs w:val="32"/>
        </w:rPr>
        <w:t>，</w:t>
      </w:r>
      <w:r>
        <w:rPr>
          <w:rFonts w:ascii="Times New Roman" w:hAnsi="Times New Roman" w:eastAsia="仿宋_GB2312"/>
          <w:kern w:val="0"/>
          <w:sz w:val="32"/>
          <w:szCs w:val="32"/>
        </w:rPr>
        <w:t>遵守运输过程中的安全要求</w:t>
      </w:r>
      <w:r>
        <w:rPr>
          <w:rFonts w:hint="eastAsia" w:ascii="Times New Roman" w:hAnsi="Times New Roman" w:eastAsia="仿宋_GB2312"/>
          <w:kern w:val="0"/>
          <w:sz w:val="32"/>
          <w:szCs w:val="32"/>
        </w:rPr>
        <w:t>。</w:t>
      </w:r>
    </w:p>
    <w:p>
      <w:pPr>
        <w:spacing w:line="560" w:lineRule="exact"/>
        <w:ind w:firstLine="640" w:firstLineChars="200"/>
        <w:rPr>
          <w:rFonts w:eastAsia="仿宋_GB2312"/>
          <w:kern w:val="0"/>
          <w:sz w:val="32"/>
          <w:szCs w:val="32"/>
        </w:rPr>
      </w:pPr>
      <w:r>
        <w:rPr>
          <w:rFonts w:eastAsia="黑体"/>
          <w:sz w:val="32"/>
          <w:szCs w:val="32"/>
        </w:rPr>
        <w:t>四、交货地址：</w:t>
      </w:r>
      <w:r>
        <w:rPr>
          <w:rFonts w:hint="eastAsia" w:eastAsia="仿宋_GB2312"/>
          <w:kern w:val="0"/>
          <w:sz w:val="32"/>
          <w:szCs w:val="32"/>
        </w:rPr>
        <w:t>广西隆安县那桐镇富侨大道5号（广西华维食品添加剂有限公司）</w:t>
      </w:r>
    </w:p>
    <w:p>
      <w:pPr>
        <w:spacing w:line="560" w:lineRule="exact"/>
        <w:ind w:firstLine="640" w:firstLineChars="200"/>
        <w:rPr>
          <w:rFonts w:eastAsia="黑体"/>
          <w:sz w:val="32"/>
          <w:szCs w:val="32"/>
        </w:rPr>
      </w:pPr>
      <w:r>
        <w:rPr>
          <w:rFonts w:eastAsia="黑体"/>
          <w:sz w:val="32"/>
          <w:szCs w:val="32"/>
        </w:rPr>
        <w:t>五、交货时间：2天</w:t>
      </w:r>
    </w:p>
    <w:p>
      <w:pPr>
        <w:spacing w:line="560" w:lineRule="exact"/>
        <w:ind w:firstLine="640" w:firstLineChars="200"/>
        <w:rPr>
          <w:rFonts w:eastAsia="仿宋_GB2312"/>
          <w:kern w:val="0"/>
          <w:sz w:val="32"/>
          <w:szCs w:val="32"/>
        </w:rPr>
      </w:pPr>
      <w:r>
        <w:rPr>
          <w:rFonts w:eastAsia="黑体"/>
          <w:sz w:val="32"/>
          <w:szCs w:val="32"/>
        </w:rPr>
        <w:t>六、评审办法</w:t>
      </w:r>
      <w:r>
        <w:rPr>
          <w:rFonts w:eastAsia="仿宋"/>
          <w:sz w:val="32"/>
          <w:szCs w:val="32"/>
        </w:rPr>
        <w:t>：</w:t>
      </w:r>
      <w:r>
        <w:rPr>
          <w:rFonts w:eastAsia="仿宋_GB2312"/>
          <w:kern w:val="0"/>
          <w:sz w:val="32"/>
          <w:szCs w:val="32"/>
        </w:rPr>
        <w:t>本次采购工作，在满足采购方需求的前提下坚持“同质比价、同价比质、同质同价比服务”。</w:t>
      </w:r>
      <w:r>
        <w:rPr>
          <w:rFonts w:hint="eastAsia" w:eastAsia="仿宋_GB2312"/>
          <w:kern w:val="0"/>
          <w:sz w:val="32"/>
          <w:szCs w:val="32"/>
        </w:rPr>
        <w:t>不含税单价对比报价。</w:t>
      </w:r>
    </w:p>
    <w:p>
      <w:pPr>
        <w:spacing w:line="560" w:lineRule="exact"/>
        <w:ind w:firstLine="640" w:firstLineChars="200"/>
        <w:rPr>
          <w:rFonts w:eastAsia="仿宋"/>
          <w:sz w:val="32"/>
          <w:szCs w:val="32"/>
        </w:rPr>
      </w:pPr>
      <w:r>
        <w:rPr>
          <w:rFonts w:eastAsia="仿宋_GB2312"/>
          <w:kern w:val="0"/>
          <w:sz w:val="32"/>
          <w:szCs w:val="32"/>
        </w:rPr>
        <w:t>低价授标</w:t>
      </w:r>
      <w:r>
        <w:rPr>
          <w:rFonts w:hint="eastAsia" w:eastAsia="仿宋_GB2312"/>
          <w:kern w:val="0"/>
          <w:sz w:val="32"/>
          <w:szCs w:val="32"/>
        </w:rPr>
        <w:t>（供应商报价相同的情况下，不做废标处理，允许采购员</w:t>
      </w:r>
      <w:r>
        <w:rPr>
          <w:rFonts w:eastAsia="仿宋_GB2312"/>
          <w:kern w:val="0"/>
          <w:sz w:val="32"/>
          <w:szCs w:val="32"/>
        </w:rPr>
        <w:t>在所有供应商报价相同的情况下，挑选或随机指定一家作为成交供应商</w:t>
      </w:r>
      <w:r>
        <w:rPr>
          <w:rFonts w:hint="eastAsia" w:eastAsia="仿宋_GB2312"/>
          <w:kern w:val="0"/>
          <w:sz w:val="32"/>
          <w:szCs w:val="32"/>
        </w:rPr>
        <w:t>）</w:t>
      </w:r>
    </w:p>
    <w:p>
      <w:pPr>
        <w:spacing w:line="560" w:lineRule="exact"/>
        <w:ind w:firstLine="640" w:firstLineChars="200"/>
        <w:rPr>
          <w:rFonts w:eastAsia="黑体"/>
          <w:sz w:val="32"/>
          <w:szCs w:val="32"/>
        </w:rPr>
      </w:pPr>
      <w:r>
        <w:rPr>
          <w:rFonts w:eastAsia="黑体"/>
          <w:sz w:val="32"/>
          <w:szCs w:val="32"/>
        </w:rPr>
        <w:t>七、付款方式：</w:t>
      </w:r>
    </w:p>
    <w:p>
      <w:pPr>
        <w:spacing w:line="560" w:lineRule="exact"/>
        <w:ind w:firstLine="640" w:firstLineChars="200"/>
        <w:jc w:val="left"/>
        <w:rPr>
          <w:rFonts w:eastAsia="仿宋"/>
          <w:sz w:val="32"/>
          <w:szCs w:val="32"/>
        </w:rPr>
      </w:pPr>
      <w:r>
        <w:rPr>
          <w:rFonts w:hint="eastAsia" w:ascii="仿宋_GB2312" w:hAnsi="黑体" w:eastAsia="仿宋_GB2312" w:cs="黑体"/>
          <w:color w:val="000000" w:themeColor="text1"/>
          <w:sz w:val="32"/>
          <w:szCs w:val="32"/>
          <w14:textFill>
            <w14:solidFill>
              <w14:schemeClr w14:val="tx1"/>
            </w14:solidFill>
          </w14:textFill>
        </w:rPr>
        <w:t>先</w:t>
      </w:r>
      <w:r>
        <w:rPr>
          <w:rFonts w:hint="eastAsia" w:ascii="仿宋_GB2312" w:hAnsi="黑体" w:eastAsia="仿宋_GB2312" w:cs="黑体"/>
          <w:color w:val="000000" w:themeColor="text1"/>
          <w:sz w:val="32"/>
          <w:szCs w:val="32"/>
          <w:lang w:val="en-US" w:eastAsia="zh-CN"/>
          <w14:textFill>
            <w14:solidFill>
              <w14:schemeClr w14:val="tx1"/>
            </w14:solidFill>
          </w14:textFill>
        </w:rPr>
        <w:t>服务</w:t>
      </w:r>
      <w:r>
        <w:rPr>
          <w:rFonts w:hint="eastAsia" w:ascii="仿宋_GB2312" w:hAnsi="黑体" w:eastAsia="仿宋_GB2312" w:cs="黑体"/>
          <w:color w:val="000000" w:themeColor="text1"/>
          <w:sz w:val="32"/>
          <w:szCs w:val="32"/>
          <w14:textFill>
            <w14:solidFill>
              <w14:schemeClr w14:val="tx1"/>
            </w14:solidFill>
          </w14:textFill>
        </w:rPr>
        <w:t>后款，</w:t>
      </w:r>
      <w:r>
        <w:rPr>
          <w:rFonts w:hint="eastAsia" w:ascii="仿宋_GB2312" w:hAnsi="黑体" w:eastAsia="仿宋_GB2312" w:cs="黑体"/>
          <w:color w:val="000000" w:themeColor="text1"/>
          <w:sz w:val="32"/>
          <w:szCs w:val="32"/>
          <w:lang w:val="en-US" w:eastAsia="zh-CN"/>
          <w14:textFill>
            <w14:solidFill>
              <w14:schemeClr w14:val="tx1"/>
            </w14:solidFill>
          </w14:textFill>
        </w:rPr>
        <w:t>乙方送达目的地</w:t>
      </w:r>
      <w:r>
        <w:rPr>
          <w:rFonts w:hint="eastAsia" w:ascii="仿宋_GB2312" w:hAnsi="黑体" w:eastAsia="仿宋_GB2312" w:cs="黑体"/>
          <w:color w:val="000000" w:themeColor="text1"/>
          <w:sz w:val="32"/>
          <w:szCs w:val="32"/>
          <w14:textFill>
            <w14:solidFill>
              <w14:schemeClr w14:val="tx1"/>
            </w14:solidFill>
          </w14:textFill>
        </w:rPr>
        <w:t>后，</w:t>
      </w:r>
      <w:r>
        <w:rPr>
          <w:rFonts w:hint="eastAsia" w:ascii="仿宋_GB2312" w:hAnsi="黑体" w:eastAsia="仿宋_GB2312" w:cs="黑体"/>
          <w:color w:val="000000" w:themeColor="text1"/>
          <w:sz w:val="32"/>
          <w:szCs w:val="32"/>
          <w:lang w:val="en-US" w:eastAsia="zh-CN"/>
          <w14:textFill>
            <w14:solidFill>
              <w14:schemeClr w14:val="tx1"/>
            </w14:solidFill>
          </w14:textFill>
        </w:rPr>
        <w:t>甲方根据乙方开具的增值税专用发票</w:t>
      </w:r>
      <w:r>
        <w:rPr>
          <w:rFonts w:hint="eastAsia" w:ascii="仿宋_GB2312" w:hAnsi="黑体" w:eastAsia="仿宋_GB2312" w:cs="黑体"/>
          <w:color w:val="000000" w:themeColor="text1"/>
          <w:sz w:val="32"/>
          <w:szCs w:val="32"/>
          <w14:textFill>
            <w14:solidFill>
              <w14:schemeClr w14:val="tx1"/>
            </w14:solidFill>
          </w14:textFill>
        </w:rPr>
        <w:t>按资金支付计划支付货款。</w:t>
      </w:r>
      <w:bookmarkStart w:id="3" w:name="_GoBack"/>
      <w:bookmarkEnd w:id="3"/>
    </w:p>
    <w:p>
      <w:pPr>
        <w:spacing w:line="560" w:lineRule="exact"/>
        <w:ind w:firstLine="640" w:firstLineChars="200"/>
        <w:rPr>
          <w:rFonts w:eastAsia="仿宋"/>
          <w:sz w:val="32"/>
          <w:szCs w:val="32"/>
        </w:rPr>
      </w:pPr>
      <w:r>
        <w:rPr>
          <w:rFonts w:eastAsia="黑体"/>
          <w:sz w:val="32"/>
          <w:szCs w:val="32"/>
        </w:rPr>
        <w:t>八、合同草案</w:t>
      </w:r>
      <w:r>
        <w:rPr>
          <w:rFonts w:eastAsia="仿宋"/>
          <w:sz w:val="32"/>
          <w:szCs w:val="32"/>
        </w:rPr>
        <w:t>（</w:t>
      </w:r>
      <w:r>
        <w:rPr>
          <w:rFonts w:hint="eastAsia" w:eastAsia="仿宋"/>
          <w:sz w:val="32"/>
          <w:szCs w:val="32"/>
        </w:rPr>
        <w:t>成交</w:t>
      </w:r>
      <w:r>
        <w:rPr>
          <w:rFonts w:eastAsia="仿宋_GB2312"/>
          <w:kern w:val="0"/>
          <w:sz w:val="32"/>
          <w:szCs w:val="32"/>
        </w:rPr>
        <w:t>金额≥10000元签订合同</w:t>
      </w:r>
      <w:r>
        <w:rPr>
          <w:rFonts w:hint="eastAsia" w:eastAsia="仿宋_GB2312"/>
          <w:kern w:val="0"/>
          <w:sz w:val="32"/>
          <w:szCs w:val="32"/>
        </w:rPr>
        <w:t>，成交</w:t>
      </w:r>
      <w:r>
        <w:rPr>
          <w:rFonts w:eastAsia="仿宋_GB2312"/>
          <w:kern w:val="0"/>
          <w:sz w:val="32"/>
          <w:szCs w:val="32"/>
        </w:rPr>
        <w:t>金额</w:t>
      </w:r>
      <w:r>
        <w:rPr>
          <w:rFonts w:hint="eastAsia" w:eastAsia="仿宋_GB2312"/>
          <w:kern w:val="0"/>
          <w:sz w:val="32"/>
          <w:szCs w:val="32"/>
        </w:rPr>
        <w:t>＜</w:t>
      </w:r>
      <w:r>
        <w:rPr>
          <w:rFonts w:eastAsia="仿宋_GB2312"/>
          <w:kern w:val="0"/>
          <w:sz w:val="32"/>
          <w:szCs w:val="32"/>
        </w:rPr>
        <w:t>10000元</w:t>
      </w:r>
      <w:r>
        <w:rPr>
          <w:rFonts w:hint="eastAsia" w:eastAsia="仿宋_GB2312"/>
          <w:kern w:val="0"/>
          <w:sz w:val="32"/>
          <w:szCs w:val="32"/>
        </w:rPr>
        <w:t>以采购平台发布中标明细作为订货清单</w:t>
      </w:r>
      <w:r>
        <w:rPr>
          <w:rFonts w:eastAsia="仿宋"/>
          <w:sz w:val="32"/>
          <w:szCs w:val="32"/>
        </w:rPr>
        <w:t>）：</w:t>
      </w:r>
    </w:p>
    <w:p>
      <w:pPr>
        <w:pStyle w:val="2"/>
        <w:jc w:val="center"/>
        <w:rPr>
          <w:rFonts w:eastAsia="宋体"/>
          <w:bCs w:val="0"/>
          <w:color w:val="auto"/>
          <w:sz w:val="48"/>
          <w:szCs w:val="48"/>
        </w:rPr>
      </w:pPr>
    </w:p>
    <w:p>
      <w:pPr>
        <w:spacing w:line="440" w:lineRule="exact"/>
        <w:jc w:val="center"/>
        <w:rPr>
          <w:rFonts w:ascii="方正小标宋简体" w:eastAsia="方正小标宋简体" w:hAnsiTheme="majorEastAsia"/>
          <w:color w:val="000000" w:themeColor="text1"/>
          <w:sz w:val="36"/>
          <w:szCs w:val="36"/>
          <w14:textFill>
            <w14:solidFill>
              <w14:schemeClr w14:val="tx1"/>
            </w14:solidFill>
          </w14:textFill>
        </w:rPr>
      </w:pPr>
      <w:r>
        <w:rPr>
          <w:rFonts w:hint="eastAsia" w:ascii="方正小标宋简体" w:eastAsia="方正小标宋简体" w:hAnsiTheme="majorEastAsia"/>
          <w:color w:val="000000" w:themeColor="text1"/>
          <w:sz w:val="36"/>
          <w:szCs w:val="36"/>
          <w14:textFill>
            <w14:solidFill>
              <w14:schemeClr w14:val="tx1"/>
            </w14:solidFill>
          </w14:textFill>
        </w:rPr>
        <w:t>货物运输协议</w:t>
      </w:r>
    </w:p>
    <w:p>
      <w:pPr>
        <w:spacing w:line="440" w:lineRule="exact"/>
        <w:jc w:val="center"/>
        <w:rPr>
          <w:rFonts w:ascii="方正小标宋简体" w:eastAsia="方正小标宋简体" w:hAnsiTheme="majorEastAsia"/>
          <w:color w:val="000000" w:themeColor="text1"/>
          <w:sz w:val="15"/>
          <w:szCs w:val="36"/>
          <w14:textFill>
            <w14:solidFill>
              <w14:schemeClr w14:val="tx1"/>
            </w14:solidFill>
          </w14:textFill>
        </w:rPr>
      </w:pPr>
    </w:p>
    <w:p>
      <w:pPr>
        <w:wordWrap w:val="0"/>
        <w:spacing w:line="440" w:lineRule="exact"/>
        <w:ind w:right="840"/>
        <w:jc w:val="center"/>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 xml:space="preserve">                                                 </w:t>
      </w:r>
      <w:r>
        <w:rPr>
          <w:rFonts w:hint="eastAsia" w:asciiTheme="majorEastAsia" w:hAnsiTheme="majorEastAsia" w:eastAsiaTheme="majorEastAsia"/>
          <w:b/>
          <w:color w:val="000000" w:themeColor="text1"/>
          <w:sz w:val="28"/>
          <w:szCs w:val="21"/>
          <w14:textFill>
            <w14:solidFill>
              <w14:schemeClr w14:val="tx1"/>
            </w14:solidFill>
          </w14:textFill>
        </w:rPr>
        <w:t>合同编号</w:t>
      </w:r>
      <w:r>
        <w:rPr>
          <w:rFonts w:hint="eastAsia" w:asciiTheme="majorEastAsia" w:hAnsiTheme="majorEastAsia" w:eastAsiaTheme="majorEastAsia"/>
          <w:color w:val="000000" w:themeColor="text1"/>
          <w:sz w:val="28"/>
          <w:szCs w:val="21"/>
          <w14:textFill>
            <w14:solidFill>
              <w14:schemeClr w14:val="tx1"/>
            </w14:solidFill>
          </w14:textFill>
        </w:rPr>
        <w:t>：</w:t>
      </w:r>
      <w:r>
        <w:rPr>
          <w:rFonts w:hint="eastAsia" w:ascii="宋体" w:hAnsi="宋体"/>
          <w:sz w:val="24"/>
          <w:highlight w:val="yellow"/>
        </w:rPr>
        <w:t>[</w:t>
      </w:r>
      <w:bookmarkStart w:id="0" w:name="ContractCodeTitle"/>
      <w:r>
        <w:rPr>
          <w:rFonts w:hint="eastAsia" w:ascii="宋体" w:hAnsi="宋体"/>
          <w:sz w:val="24"/>
          <w:highlight w:val="yellow"/>
        </w:rPr>
        <w:t>--</w:t>
      </w:r>
      <w:bookmarkEnd w:id="0"/>
      <w:r>
        <w:rPr>
          <w:rFonts w:hint="eastAsia" w:ascii="宋体" w:hAnsi="宋体"/>
          <w:sz w:val="24"/>
          <w:highlight w:val="yellow"/>
        </w:rPr>
        <w:t>]</w:t>
      </w:r>
    </w:p>
    <w:p>
      <w:pPr>
        <w:spacing w:line="440" w:lineRule="exact"/>
        <w:jc w:val="center"/>
        <w:rPr>
          <w:rFonts w:asciiTheme="majorEastAsia" w:hAnsiTheme="majorEastAsia" w:eastAsiaTheme="majorEastAsia"/>
          <w:color w:val="000000" w:themeColor="text1"/>
          <w:sz w:val="44"/>
          <w:szCs w:val="44"/>
          <w14:textFill>
            <w14:solidFill>
              <w14:schemeClr w14:val="tx1"/>
            </w14:solidFill>
          </w14:textFill>
        </w:rPr>
      </w:pPr>
    </w:p>
    <w:p>
      <w:pPr>
        <w:spacing w:line="440" w:lineRule="exact"/>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甲方（委托方）：</w:t>
      </w:r>
      <w:r>
        <w:rPr>
          <w:rFonts w:hint="eastAsia" w:ascii="宋体" w:hAnsi="宋体"/>
          <w:sz w:val="24"/>
          <w:highlight w:val="yellow"/>
        </w:rPr>
        <w:t>[</w:t>
      </w:r>
      <w:r>
        <w:rPr>
          <w:rFonts w:hint="eastAsia" w:ascii="宋体" w:hAnsi="宋体"/>
          <w:sz w:val="24"/>
          <w:highlight w:val="yellow"/>
          <w:u w:val="single"/>
        </w:rPr>
        <w:t>----------]</w:t>
      </w:r>
      <w:r>
        <w:rPr>
          <w:rFonts w:hint="eastAsia" w:ascii="仿宋_GB2312" w:eastAsia="仿宋_GB2312" w:hAnsiTheme="minorEastAsia"/>
          <w:color w:val="000000" w:themeColor="text1"/>
          <w:sz w:val="32"/>
          <w:szCs w:val="32"/>
          <w14:textFill>
            <w14:solidFill>
              <w14:schemeClr w14:val="tx1"/>
            </w14:solidFill>
          </w14:textFill>
        </w:rPr>
        <w:t xml:space="preserve"> </w:t>
      </w:r>
    </w:p>
    <w:p>
      <w:pPr>
        <w:spacing w:line="440" w:lineRule="exact"/>
        <w:rPr>
          <w:rFonts w:ascii="仿宋_GB2312" w:eastAsia="仿宋_GB2312" w:hAnsiTheme="minorEastAsia"/>
          <w:color w:val="000000" w:themeColor="text1"/>
          <w:sz w:val="32"/>
          <w:szCs w:val="32"/>
          <w:u w:val="single"/>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乙方（受托方）：</w:t>
      </w:r>
      <w:r>
        <w:rPr>
          <w:rFonts w:hint="eastAsia" w:ascii="宋体" w:hAnsi="宋体"/>
          <w:sz w:val="24"/>
          <w:highlight w:val="yellow"/>
        </w:rPr>
        <w:t>[</w:t>
      </w:r>
      <w:bookmarkStart w:id="1" w:name="SupplierName"/>
      <w:r>
        <w:rPr>
          <w:rFonts w:hint="eastAsia" w:ascii="宋体" w:hAnsi="宋体"/>
          <w:sz w:val="24"/>
          <w:highlight w:val="yellow"/>
          <w:u w:val="single"/>
        </w:rPr>
        <w:t>----------</w:t>
      </w:r>
      <w:bookmarkEnd w:id="1"/>
      <w:r>
        <w:rPr>
          <w:rFonts w:hint="eastAsia" w:ascii="宋体" w:hAnsi="宋体"/>
          <w:sz w:val="24"/>
          <w:highlight w:val="yellow"/>
          <w:u w:val="single"/>
        </w:rPr>
        <w:t>]</w:t>
      </w:r>
    </w:p>
    <w:p>
      <w:pPr>
        <w:spacing w:line="440" w:lineRule="exact"/>
        <w:ind w:firstLine="640" w:firstLineChars="200"/>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为保证</w:t>
      </w:r>
      <w:r>
        <w:rPr>
          <w:rFonts w:hint="eastAsia" w:ascii="宋体" w:hAnsi="宋体"/>
          <w:sz w:val="24"/>
          <w:highlight w:val="yellow"/>
        </w:rPr>
        <w:t>[</w:t>
      </w:r>
      <w:r>
        <w:rPr>
          <w:rFonts w:hint="eastAsia" w:ascii="宋体" w:hAnsi="宋体"/>
          <w:sz w:val="24"/>
          <w:highlight w:val="yellow"/>
          <w:u w:val="single"/>
        </w:rPr>
        <w:t>----------]</w:t>
      </w:r>
      <w:r>
        <w:rPr>
          <w:rFonts w:hint="eastAsia" w:ascii="仿宋_GB2312" w:eastAsia="仿宋_GB2312" w:hAnsiTheme="minorEastAsia"/>
          <w:color w:val="000000" w:themeColor="text1"/>
          <w:sz w:val="32"/>
          <w:szCs w:val="32"/>
          <w14:textFill>
            <w14:solidFill>
              <w14:schemeClr w14:val="tx1"/>
            </w14:solidFill>
          </w14:textFill>
        </w:rPr>
        <w:t>运输质量，明确双方权利、义务和责任，甲乙双方在平等、自愿的原则下协商签订以下协议。</w:t>
      </w:r>
    </w:p>
    <w:p>
      <w:pPr>
        <w:spacing w:line="440" w:lineRule="exact"/>
        <w:ind w:firstLine="640" w:firstLineChars="200"/>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一、甲方委托乙方为</w:t>
      </w:r>
      <w:r>
        <w:rPr>
          <w:rFonts w:hint="eastAsia" w:ascii="宋体" w:hAnsi="宋体"/>
          <w:sz w:val="24"/>
          <w:highlight w:val="yellow"/>
        </w:rPr>
        <w:t>[</w:t>
      </w:r>
      <w:r>
        <w:rPr>
          <w:rFonts w:hint="eastAsia" w:ascii="宋体" w:hAnsi="宋体"/>
          <w:sz w:val="24"/>
          <w:highlight w:val="yellow"/>
          <w:u w:val="single"/>
        </w:rPr>
        <w:t>----------]</w:t>
      </w:r>
      <w:r>
        <w:rPr>
          <w:rFonts w:hint="eastAsia" w:ascii="仿宋_GB2312" w:eastAsia="仿宋_GB2312" w:hAnsiTheme="minorEastAsia"/>
          <w:color w:val="000000" w:themeColor="text1"/>
          <w:sz w:val="32"/>
          <w:szCs w:val="32"/>
          <w14:textFill>
            <w14:solidFill>
              <w14:schemeClr w14:val="tx1"/>
            </w14:solidFill>
          </w14:textFill>
        </w:rPr>
        <w:t>运输货物承运单位，</w:t>
      </w:r>
    </w:p>
    <w:p>
      <w:pPr>
        <w:spacing w:line="440" w:lineRule="exact"/>
        <w:ind w:firstLine="640" w:firstLineChars="200"/>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承运的物品为：</w:t>
      </w:r>
      <w:r>
        <w:rPr>
          <w:rFonts w:hint="eastAsia" w:ascii="宋体" w:hAnsi="宋体"/>
          <w:sz w:val="24"/>
          <w:highlight w:val="yellow"/>
        </w:rPr>
        <w:t>[</w:t>
      </w:r>
      <w:r>
        <w:rPr>
          <w:rFonts w:hint="eastAsia" w:ascii="宋体" w:hAnsi="宋体"/>
          <w:sz w:val="24"/>
          <w:highlight w:val="yellow"/>
          <w:u w:val="single"/>
        </w:rPr>
        <w:t>----------]</w:t>
      </w:r>
      <w:r>
        <w:rPr>
          <w:rFonts w:hint="eastAsia" w:ascii="仿宋_GB2312" w:eastAsia="仿宋_GB2312" w:hAnsiTheme="minorEastAsia"/>
          <w:color w:val="000000" w:themeColor="text1"/>
          <w:sz w:val="32"/>
          <w:szCs w:val="32"/>
          <w14:textFill>
            <w14:solidFill>
              <w14:schemeClr w14:val="tx1"/>
            </w14:solidFill>
          </w14:textFill>
        </w:rPr>
        <w:t>。</w:t>
      </w:r>
    </w:p>
    <w:p>
      <w:pPr>
        <w:spacing w:line="440" w:lineRule="exact"/>
        <w:ind w:firstLine="640" w:firstLineChars="200"/>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二、承运路线、数量、品牌及运费：</w:t>
      </w:r>
    </w:p>
    <w:p>
      <w:pPr>
        <w:spacing w:line="440" w:lineRule="exact"/>
        <w:ind w:firstLine="640" w:firstLineChars="200"/>
        <w:rPr>
          <w:rFonts w:ascii="仿宋_GB2312" w:eastAsia="仿宋_GB2312" w:hAnsiTheme="minorEastAsia"/>
          <w:color w:val="000000" w:themeColor="text1"/>
          <w:sz w:val="32"/>
          <w:szCs w:val="32"/>
          <w:u w:val="single"/>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路线：</w:t>
      </w:r>
      <w:r>
        <w:rPr>
          <w:rFonts w:hint="eastAsia" w:ascii="宋体" w:hAnsi="宋体"/>
          <w:sz w:val="24"/>
          <w:highlight w:val="yellow"/>
        </w:rPr>
        <w:t>[</w:t>
      </w:r>
      <w:r>
        <w:rPr>
          <w:rFonts w:hint="eastAsia" w:ascii="宋体" w:hAnsi="宋体"/>
          <w:sz w:val="24"/>
          <w:highlight w:val="yellow"/>
          <w:u w:val="single"/>
        </w:rPr>
        <w:t>----------]</w:t>
      </w:r>
      <w:r>
        <w:rPr>
          <w:rFonts w:hint="eastAsia" w:ascii="仿宋_GB2312" w:eastAsia="仿宋_GB2312" w:hAnsiTheme="minorEastAsia"/>
          <w:color w:val="000000" w:themeColor="text1"/>
          <w:sz w:val="32"/>
          <w:szCs w:val="32"/>
          <w14:textFill>
            <w14:solidFill>
              <w14:schemeClr w14:val="tx1"/>
            </w14:solidFill>
          </w14:textFill>
        </w:rPr>
        <w:t>至</w:t>
      </w:r>
      <w:r>
        <w:rPr>
          <w:rFonts w:hint="eastAsia" w:ascii="宋体" w:hAnsi="宋体"/>
          <w:sz w:val="24"/>
          <w:highlight w:val="yellow"/>
        </w:rPr>
        <w:t>[</w:t>
      </w:r>
      <w:r>
        <w:rPr>
          <w:rFonts w:hint="eastAsia" w:ascii="宋体" w:hAnsi="宋体"/>
          <w:sz w:val="24"/>
          <w:highlight w:val="yellow"/>
          <w:u w:val="single"/>
        </w:rPr>
        <w:t>----------]</w:t>
      </w:r>
    </w:p>
    <w:p>
      <w:pPr>
        <w:spacing w:line="440" w:lineRule="exact"/>
        <w:ind w:firstLine="640" w:firstLineChars="200"/>
        <w:rPr>
          <w:rFonts w:ascii="仿宋_GB2312" w:eastAsia="仿宋_GB2312" w:hAnsiTheme="minorEastAsia"/>
          <w:color w:val="000000" w:themeColor="text1"/>
          <w:sz w:val="32"/>
          <w:szCs w:val="32"/>
          <w:u w:val="single"/>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品牌（品种）：</w:t>
      </w:r>
      <w:r>
        <w:rPr>
          <w:rFonts w:hint="eastAsia" w:ascii="宋体" w:hAnsi="宋体"/>
          <w:sz w:val="24"/>
          <w:highlight w:val="yellow"/>
        </w:rPr>
        <w:t>[</w:t>
      </w:r>
      <w:r>
        <w:rPr>
          <w:rFonts w:hint="eastAsia" w:ascii="宋体" w:hAnsi="宋体"/>
          <w:sz w:val="24"/>
          <w:highlight w:val="yellow"/>
          <w:u w:val="single"/>
        </w:rPr>
        <w:t>----------]</w:t>
      </w:r>
    </w:p>
    <w:p>
      <w:pPr>
        <w:spacing w:line="440" w:lineRule="exact"/>
        <w:ind w:firstLine="640" w:firstLineChars="200"/>
        <w:rPr>
          <w:rFonts w:ascii="仿宋_GB2312" w:eastAsia="仿宋_GB2312" w:hAnsiTheme="minorEastAsia"/>
          <w:color w:val="000000" w:themeColor="text1"/>
          <w:sz w:val="32"/>
          <w:szCs w:val="32"/>
          <w:u w:val="single"/>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等级：</w:t>
      </w:r>
      <w:r>
        <w:rPr>
          <w:rFonts w:hint="eastAsia" w:ascii="宋体" w:hAnsi="宋体"/>
          <w:sz w:val="24"/>
          <w:highlight w:val="yellow"/>
        </w:rPr>
        <w:t>[</w:t>
      </w:r>
      <w:r>
        <w:rPr>
          <w:rFonts w:hint="eastAsia" w:ascii="宋体" w:hAnsi="宋体"/>
          <w:sz w:val="24"/>
          <w:highlight w:val="yellow"/>
          <w:u w:val="single"/>
        </w:rPr>
        <w:t>----------]</w:t>
      </w:r>
    </w:p>
    <w:p>
      <w:pPr>
        <w:spacing w:line="440" w:lineRule="exact"/>
        <w:ind w:firstLine="640" w:firstLineChars="200"/>
        <w:rPr>
          <w:rFonts w:ascii="仿宋_GB2312" w:eastAsia="仿宋_GB2312" w:hAnsiTheme="minorEastAsia"/>
          <w:color w:val="000000" w:themeColor="text1"/>
          <w:sz w:val="32"/>
          <w:szCs w:val="32"/>
          <w:u w:val="single"/>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货物规格：</w:t>
      </w:r>
    </w:p>
    <w:p>
      <w:pPr>
        <w:spacing w:line="440" w:lineRule="exact"/>
        <w:ind w:firstLine="640" w:firstLineChars="200"/>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数量：（以到达数量为准，同时，甲方有权根据实际需求对运输货物的数量进行调整）</w:t>
      </w:r>
    </w:p>
    <w:p>
      <w:pPr>
        <w:spacing w:line="440" w:lineRule="exact"/>
        <w:ind w:firstLine="640" w:firstLineChars="200"/>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运费：</w:t>
      </w:r>
      <w:r>
        <w:rPr>
          <w:rFonts w:hint="eastAsia" w:ascii="仿宋_GB2312" w:eastAsia="仿宋_GB2312" w:hAnsiTheme="minorEastAsia"/>
          <w:color w:val="000000" w:themeColor="text1"/>
          <w:sz w:val="32"/>
          <w:szCs w:val="32"/>
          <w:highlight w:val="yellow"/>
          <w14:textFill>
            <w14:solidFill>
              <w14:schemeClr w14:val="tx1"/>
            </w14:solidFill>
          </w14:textFill>
        </w:rPr>
        <w:t>[</w:t>
      </w:r>
      <w:r>
        <w:rPr>
          <w:rFonts w:hint="eastAsia" w:ascii="仿宋_GB2312" w:eastAsia="仿宋_GB2312" w:hAnsiTheme="minorEastAsia"/>
          <w:color w:val="000000" w:themeColor="text1"/>
          <w:sz w:val="32"/>
          <w:szCs w:val="32"/>
          <w:highlight w:val="yellow"/>
          <w:u w:val="single"/>
          <w14:textFill>
            <w14:solidFill>
              <w14:schemeClr w14:val="tx1"/>
            </w14:solidFill>
          </w14:textFill>
        </w:rPr>
        <w:t xml:space="preserve">      </w:t>
      </w:r>
      <w:r>
        <w:rPr>
          <w:rFonts w:hint="eastAsia" w:ascii="仿宋_GB2312" w:eastAsia="仿宋_GB2312" w:hAnsiTheme="minorEastAsia"/>
          <w:color w:val="000000" w:themeColor="text1"/>
          <w:sz w:val="32"/>
          <w:szCs w:val="32"/>
          <w:highlight w:val="yellow"/>
          <w14:textFill>
            <w14:solidFill>
              <w14:schemeClr w14:val="tx1"/>
            </w14:solidFill>
          </w14:textFill>
        </w:rPr>
        <w:t>元]</w:t>
      </w:r>
      <w:r>
        <w:rPr>
          <w:rFonts w:hint="eastAsia" w:ascii="仿宋_GB2312" w:eastAsia="仿宋_GB2312" w:hAnsiTheme="minorEastAsia"/>
          <w:color w:val="000000" w:themeColor="text1"/>
          <w:sz w:val="32"/>
          <w:szCs w:val="32"/>
          <w14:textFill>
            <w14:solidFill>
              <w14:schemeClr w14:val="tx1"/>
            </w14:solidFill>
          </w14:textFill>
        </w:rPr>
        <w:t xml:space="preserve">       </w:t>
      </w:r>
    </w:p>
    <w:p>
      <w:pPr>
        <w:spacing w:line="440" w:lineRule="exact"/>
        <w:ind w:firstLine="640" w:firstLineChars="200"/>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提货人：</w:t>
      </w:r>
      <w:r>
        <w:rPr>
          <w:rFonts w:hint="eastAsia" w:ascii="宋体" w:hAnsi="宋体"/>
          <w:sz w:val="24"/>
          <w:highlight w:val="yellow"/>
        </w:rPr>
        <w:t>[</w:t>
      </w:r>
      <w:r>
        <w:rPr>
          <w:rFonts w:hint="eastAsia" w:ascii="宋体" w:hAnsi="宋体"/>
          <w:sz w:val="24"/>
          <w:highlight w:val="yellow"/>
          <w:u w:val="single"/>
        </w:rPr>
        <w:t>----------]</w:t>
      </w:r>
    </w:p>
    <w:p>
      <w:pPr>
        <w:spacing w:line="440" w:lineRule="exact"/>
        <w:ind w:firstLine="640" w:firstLineChars="200"/>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收货人：</w:t>
      </w:r>
      <w:r>
        <w:rPr>
          <w:rFonts w:hint="eastAsia" w:ascii="宋体" w:hAnsi="宋体"/>
          <w:sz w:val="24"/>
          <w:highlight w:val="yellow"/>
        </w:rPr>
        <w:t>[</w:t>
      </w:r>
      <w:r>
        <w:rPr>
          <w:rFonts w:hint="eastAsia" w:ascii="宋体" w:hAnsi="宋体"/>
          <w:sz w:val="24"/>
          <w:highlight w:val="yellow"/>
          <w:u w:val="single"/>
        </w:rPr>
        <w:t>----------]</w:t>
      </w:r>
    </w:p>
    <w:p>
      <w:pPr>
        <w:spacing w:line="440" w:lineRule="exact"/>
        <w:ind w:firstLine="640" w:firstLineChars="200"/>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三、甲方应尽的责任和义务：</w:t>
      </w:r>
    </w:p>
    <w:p>
      <w:pPr>
        <w:pStyle w:val="18"/>
        <w:spacing w:line="440" w:lineRule="exact"/>
        <w:ind w:firstLine="640"/>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1、甲方将发运计划以书面形式告知乙方后，如在申报计划过程中，出现发错站，装错货物等事件，由对应出错方承担责任。</w:t>
      </w:r>
    </w:p>
    <w:p>
      <w:pPr>
        <w:pStyle w:val="18"/>
        <w:spacing w:line="440" w:lineRule="exact"/>
        <w:ind w:firstLine="640"/>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2、甲方不能交付禁运品及货物内夹带危险品给乙方，否则甲方承担一切责任。</w:t>
      </w:r>
    </w:p>
    <w:p>
      <w:pPr>
        <w:spacing w:line="440" w:lineRule="exact"/>
        <w:ind w:firstLine="640" w:firstLineChars="200"/>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四、乙方应尽的责任与义务：</w:t>
      </w:r>
    </w:p>
    <w:p>
      <w:pPr>
        <w:pStyle w:val="18"/>
        <w:spacing w:line="440" w:lineRule="exact"/>
        <w:ind w:firstLine="640"/>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1、乙方应甲方要求及时、安全、准确地派车将物资送到指定地址卸货</w:t>
      </w:r>
      <w:r>
        <w:rPr>
          <w:rFonts w:hint="eastAsia" w:ascii="仿宋_GB2312" w:eastAsia="仿宋_GB2312"/>
          <w:color w:val="000000" w:themeColor="text1"/>
          <w:sz w:val="32"/>
          <w:szCs w:val="32"/>
          <w14:textFill>
            <w14:solidFill>
              <w14:schemeClr w14:val="tx1"/>
            </w14:solidFill>
          </w14:textFill>
        </w:rPr>
        <w:t>。</w:t>
      </w:r>
    </w:p>
    <w:p>
      <w:pPr>
        <w:pStyle w:val="18"/>
        <w:spacing w:line="440" w:lineRule="exact"/>
        <w:ind w:firstLine="640"/>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2、乙方须提供车况良好、手续齐全的车辆运输甲方货物，并且办理正规运输手续证明，驾驶人员具有合法、真实、有效的相应资质证件。在运输途中，如发生交通事故造成甲方货物受损、灭失、丢失或者第三人人身损害等情形的，所有损失均由乙方承担并负责赔偿，甲方不承担任何责任。</w:t>
      </w:r>
    </w:p>
    <w:p>
      <w:pPr>
        <w:pStyle w:val="18"/>
        <w:spacing w:line="440" w:lineRule="exact"/>
        <w:ind w:firstLine="640"/>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3、在运输过程中，如因乙方及车辆自身原因被第三方管制车辆，乙方应当及时通知甲方，此期间造成甲方的一切损失均由乙方承担。如甲方货物丢失，乙方必须按照当时市场价格全额赔偿甲方。</w:t>
      </w:r>
    </w:p>
    <w:p>
      <w:pPr>
        <w:pStyle w:val="18"/>
        <w:spacing w:line="440" w:lineRule="exact"/>
        <w:ind w:firstLine="640"/>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4、乙方驾驶员不得在未经甲方允许的情况下私自开箱破封，如发现偷盗行为成立，乙方应立即通知甲方并报予当地公安机关进行处理，若因此给甲方造成损失的，乙方应承担全部赔偿责任。</w:t>
      </w:r>
    </w:p>
    <w:p>
      <w:pPr>
        <w:pStyle w:val="18"/>
        <w:spacing w:line="440" w:lineRule="exact"/>
        <w:ind w:firstLine="640"/>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5、货到目的站无破封开箱，出现货物短少、破包等问题，乙方做好记录并对问题包单独存放及时通知甲方。</w:t>
      </w:r>
    </w:p>
    <w:p>
      <w:pPr>
        <w:pStyle w:val="18"/>
        <w:spacing w:line="440" w:lineRule="exact"/>
        <w:ind w:firstLine="640"/>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6、乙方货物发出后，应将箱号及时反馈给甲方，将领货凭证及时寄往甲方指定收件人。</w:t>
      </w:r>
    </w:p>
    <w:p>
      <w:pPr>
        <w:pStyle w:val="18"/>
        <w:spacing w:line="440" w:lineRule="exact"/>
        <w:ind w:firstLine="640"/>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7、甲方有权派人员到卸货点监卸。</w:t>
      </w:r>
    </w:p>
    <w:p>
      <w:pPr>
        <w:pStyle w:val="18"/>
        <w:spacing w:line="440" w:lineRule="exact"/>
        <w:ind w:firstLine="640"/>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五、结算方式：</w:t>
      </w:r>
    </w:p>
    <w:p>
      <w:pPr>
        <w:spacing w:line="44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货物按约送达后，乙方出具结算清单给甲方，待甲方审核确认并签字后，乙方再开具</w:t>
      </w:r>
      <w:r>
        <w:rPr>
          <w:rFonts w:hint="eastAsia" w:ascii="仿宋_GB2312" w:eastAsia="仿宋_GB2312"/>
          <w:color w:val="000000" w:themeColor="text1"/>
          <w:sz w:val="32"/>
          <w:szCs w:val="32"/>
          <w14:textFill>
            <w14:solidFill>
              <w14:schemeClr w14:val="tx1"/>
            </w14:solidFill>
          </w14:textFill>
        </w:rPr>
        <w:t>税率为</w:t>
      </w:r>
      <w:r>
        <w:rPr>
          <w:rFonts w:hint="eastAsia" w:ascii="仿宋_GB2312" w:eastAsia="仿宋_GB2312"/>
          <w:color w:val="000000" w:themeColor="text1"/>
          <w:sz w:val="32"/>
          <w:szCs w:val="32"/>
          <w:highlight w:val="yellow"/>
          <w14:textFill>
            <w14:solidFill>
              <w14:schemeClr w14:val="tx1"/>
            </w14:solidFill>
          </w14:textFill>
        </w:rPr>
        <w:t>[ %]</w:t>
      </w:r>
      <w:r>
        <w:rPr>
          <w:rFonts w:hint="eastAsia" w:ascii="仿宋_GB2312" w:eastAsia="仿宋_GB2312"/>
          <w:color w:val="000000" w:themeColor="text1"/>
          <w:sz w:val="32"/>
          <w:szCs w:val="32"/>
          <w14:textFill>
            <w14:solidFill>
              <w14:schemeClr w14:val="tx1"/>
            </w14:solidFill>
          </w14:textFill>
        </w:rPr>
        <w:t>增值税专用发票给甲方，甲方收到发票后20个工作日内应把相关费用付清。乙方未提供发票的，甲方有权拒绝支付或延迟支付任何费用亦不构成违约。</w:t>
      </w:r>
    </w:p>
    <w:p>
      <w:pPr>
        <w:spacing w:line="440" w:lineRule="exact"/>
        <w:ind w:firstLine="480"/>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运输费用按条款二中规定执行。</w:t>
      </w:r>
    </w:p>
    <w:p>
      <w:pPr>
        <w:spacing w:line="440" w:lineRule="exact"/>
        <w:ind w:firstLine="640" w:firstLineChars="200"/>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六、违约责任：</w:t>
      </w:r>
    </w:p>
    <w:p>
      <w:pPr>
        <w:spacing w:line="440" w:lineRule="exact"/>
        <w:ind w:firstLine="640" w:firstLineChars="200"/>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1、乙方接到到站通知信息后应及时安排送货，如因延期送货产生的铁路延期费用由乙方承担，同时，甲方有权单方解除合同，乙方需支付给甲方</w:t>
      </w:r>
      <w:r>
        <w:rPr>
          <w:rFonts w:hint="eastAsia" w:ascii="仿宋_GB2312" w:eastAsia="仿宋_GB2312" w:hAnsiTheme="minorEastAsia"/>
          <w:color w:val="000000" w:themeColor="text1"/>
          <w:sz w:val="32"/>
          <w:szCs w:val="32"/>
          <w:highlight w:val="yellow"/>
          <w14:textFill>
            <w14:solidFill>
              <w14:schemeClr w14:val="tx1"/>
            </w14:solidFill>
          </w14:textFill>
        </w:rPr>
        <w:t>[</w:t>
      </w:r>
      <w:r>
        <w:rPr>
          <w:rFonts w:hint="eastAsia" w:ascii="仿宋_GB2312" w:eastAsia="仿宋_GB2312" w:hAnsiTheme="minorEastAsia"/>
          <w:color w:val="000000" w:themeColor="text1"/>
          <w:sz w:val="32"/>
          <w:szCs w:val="32"/>
          <w:highlight w:val="yellow"/>
          <w:u w:val="single"/>
          <w14:textFill>
            <w14:solidFill>
              <w14:schemeClr w14:val="tx1"/>
            </w14:solidFill>
          </w14:textFill>
        </w:rPr>
        <w:t xml:space="preserve">      </w:t>
      </w:r>
      <w:r>
        <w:rPr>
          <w:rFonts w:hint="eastAsia" w:ascii="仿宋_GB2312" w:eastAsia="仿宋_GB2312" w:hAnsiTheme="minorEastAsia"/>
          <w:color w:val="000000" w:themeColor="text1"/>
          <w:sz w:val="32"/>
          <w:szCs w:val="32"/>
          <w:highlight w:val="yellow"/>
          <w14:textFill>
            <w14:solidFill>
              <w14:schemeClr w14:val="tx1"/>
            </w14:solidFill>
          </w14:textFill>
        </w:rPr>
        <w:t>元]</w:t>
      </w:r>
      <w:r>
        <w:rPr>
          <w:rFonts w:hint="eastAsia" w:ascii="仿宋_GB2312" w:eastAsia="仿宋_GB2312" w:hAnsiTheme="minorEastAsia"/>
          <w:color w:val="000000" w:themeColor="text1"/>
          <w:sz w:val="32"/>
          <w:szCs w:val="32"/>
          <w14:textFill>
            <w14:solidFill>
              <w14:schemeClr w14:val="tx1"/>
            </w14:solidFill>
          </w14:textFill>
        </w:rPr>
        <w:t>的违约金，若因此给甲方造成其他损失的，乙方应承担全部赔偿责任。</w:t>
      </w:r>
    </w:p>
    <w:p>
      <w:pPr>
        <w:spacing w:line="440" w:lineRule="exact"/>
        <w:ind w:firstLine="640" w:firstLineChars="200"/>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2、乙方在运输过程中如果发现甲方所提供的收货人联系电话、地址有误，必须及时与甲方联系寻求解决办法。否则由此造成的一切损失由乙方负责承担并赔偿甲方因此所遭受的一切损失。</w:t>
      </w:r>
    </w:p>
    <w:p>
      <w:pPr>
        <w:spacing w:line="440" w:lineRule="exact"/>
        <w:ind w:firstLine="640" w:firstLineChars="200"/>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七、本合同执行中发生的争议双方应协商解决。协商未能解决的，应向甲方所在地有管辖权人民法院起诉解决。由此引发的律师费等相关费用由违约方承担。</w:t>
      </w:r>
    </w:p>
    <w:p>
      <w:pPr>
        <w:spacing w:line="440" w:lineRule="exact"/>
        <w:ind w:firstLine="640" w:firstLineChars="200"/>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八、合同签订地：</w:t>
      </w:r>
      <w:r>
        <w:rPr>
          <w:rFonts w:hint="eastAsia" w:ascii="宋体" w:hAnsi="宋体"/>
          <w:sz w:val="24"/>
          <w:highlight w:val="yellow"/>
        </w:rPr>
        <w:t>[</w:t>
      </w:r>
      <w:r>
        <w:rPr>
          <w:rFonts w:hint="eastAsia" w:ascii="宋体" w:hAnsi="宋体"/>
          <w:sz w:val="24"/>
          <w:highlight w:val="yellow"/>
          <w:u w:val="single"/>
        </w:rPr>
        <w:t>----------]。</w:t>
      </w:r>
    </w:p>
    <w:p>
      <w:pPr>
        <w:spacing w:line="440" w:lineRule="exact"/>
        <w:ind w:firstLine="640" w:firstLineChars="200"/>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九、本合同一式两份，甲乙双方各执一份，具有同等法律效力。由双方盖章签字确认后生效。传真件、扫描件与原件具有同等法律效力。</w:t>
      </w:r>
    </w:p>
    <w:p>
      <w:pPr>
        <w:spacing w:line="440" w:lineRule="exact"/>
        <w:ind w:left="640" w:hanging="640" w:hangingChars="200"/>
        <w:rPr>
          <w:rFonts w:ascii="仿宋_GB2312" w:eastAsia="仿宋_GB2312" w:hAnsiTheme="minorEastAsia"/>
          <w:color w:val="000000" w:themeColor="text1"/>
          <w:sz w:val="32"/>
          <w:szCs w:val="32"/>
          <w14:textFill>
            <w14:solidFill>
              <w14:schemeClr w14:val="tx1"/>
            </w14:solidFill>
          </w14:textFill>
        </w:rPr>
      </w:pPr>
    </w:p>
    <w:p>
      <w:pPr>
        <w:spacing w:line="440" w:lineRule="exact"/>
        <w:rPr>
          <w:rFonts w:ascii="仿宋_GB2312" w:eastAsia="仿宋_GB2312" w:hAnsiTheme="minorEastAsia"/>
          <w:color w:val="000000" w:themeColor="text1"/>
          <w:sz w:val="32"/>
          <w:highlight w:val="yellow"/>
          <w14:textFill>
            <w14:solidFill>
              <w14:schemeClr w14:val="tx1"/>
            </w14:solidFill>
          </w14:textFill>
        </w:rPr>
      </w:pPr>
      <w:r>
        <w:rPr>
          <w:rFonts w:hint="eastAsia" w:ascii="仿宋_GB2312" w:eastAsia="仿宋_GB2312" w:hAnsiTheme="minorEastAsia"/>
          <w:color w:val="000000" w:themeColor="text1"/>
          <w:sz w:val="32"/>
          <w:highlight w:val="yellow"/>
          <w14:textFill>
            <w14:solidFill>
              <w14:schemeClr w14:val="tx1"/>
            </w14:solidFill>
          </w14:textFill>
        </w:rPr>
        <w:t>[甲方（盖章）：</w:t>
      </w:r>
      <w:bookmarkStart w:id="2" w:name="CompanyNameTitle"/>
      <w:r>
        <w:rPr>
          <w:rFonts w:hint="eastAsia" w:ascii="仿宋_GB2312" w:eastAsia="仿宋_GB2312" w:hAnsiTheme="minorEastAsia"/>
          <w:color w:val="000000" w:themeColor="text1"/>
          <w:sz w:val="32"/>
          <w:highlight w:val="yellow"/>
          <w14:textFill>
            <w14:solidFill>
              <w14:schemeClr w14:val="tx1"/>
            </w14:solidFill>
          </w14:textFill>
        </w:rPr>
        <w:t xml:space="preserve">           </w:t>
      </w:r>
      <w:bookmarkEnd w:id="2"/>
      <w:r>
        <w:rPr>
          <w:rFonts w:hint="eastAsia" w:ascii="仿宋_GB2312" w:eastAsia="仿宋_GB2312" w:hAnsiTheme="minorEastAsia"/>
          <w:color w:val="000000" w:themeColor="text1"/>
          <w:sz w:val="32"/>
          <w:highlight w:val="yellow"/>
          <w14:textFill>
            <w14:solidFill>
              <w14:schemeClr w14:val="tx1"/>
            </w14:solidFill>
          </w14:textFill>
        </w:rPr>
        <w:t xml:space="preserve">    乙方（盖章）：</w:t>
      </w:r>
    </w:p>
    <w:p>
      <w:pPr>
        <w:spacing w:line="440" w:lineRule="exact"/>
        <w:rPr>
          <w:rFonts w:ascii="仿宋_GB2312" w:eastAsia="仿宋_GB2312" w:hAnsiTheme="minorEastAsia"/>
          <w:color w:val="000000" w:themeColor="text1"/>
          <w:sz w:val="32"/>
          <w:highlight w:val="yellow"/>
          <w:u w:val="single"/>
          <w14:textFill>
            <w14:solidFill>
              <w14:schemeClr w14:val="tx1"/>
            </w14:solidFill>
          </w14:textFill>
        </w:rPr>
      </w:pPr>
    </w:p>
    <w:p>
      <w:pPr>
        <w:spacing w:line="360" w:lineRule="auto"/>
        <w:rPr>
          <w:rFonts w:ascii="仿宋_GB2312" w:eastAsia="仿宋_GB2312" w:hAnsiTheme="minorEastAsia"/>
          <w:color w:val="000000" w:themeColor="text1"/>
          <w:sz w:val="32"/>
          <w:highlight w:val="yellow"/>
          <w14:textFill>
            <w14:solidFill>
              <w14:schemeClr w14:val="tx1"/>
            </w14:solidFill>
          </w14:textFill>
        </w:rPr>
      </w:pPr>
      <w:r>
        <w:rPr>
          <w:rFonts w:hint="eastAsia" w:ascii="仿宋_GB2312" w:eastAsia="仿宋_GB2312" w:hAnsiTheme="minorEastAsia"/>
          <w:color w:val="000000" w:themeColor="text1"/>
          <w:sz w:val="32"/>
          <w:highlight w:val="yellow"/>
          <w14:textFill>
            <w14:solidFill>
              <w14:schemeClr w14:val="tx1"/>
            </w14:solidFill>
          </w14:textFill>
        </w:rPr>
        <w:t>法定代表人（代理人）：       法定代表人（代理人）：</w:t>
      </w:r>
    </w:p>
    <w:p>
      <w:pPr>
        <w:spacing w:line="360" w:lineRule="auto"/>
        <w:rPr>
          <w:rFonts w:ascii="仿宋_GB2312" w:eastAsia="仿宋_GB2312" w:hAnsiTheme="minorEastAsia"/>
          <w:color w:val="000000" w:themeColor="text1"/>
          <w:sz w:val="32"/>
          <w:highlight w:val="yellow"/>
          <w14:textFill>
            <w14:solidFill>
              <w14:schemeClr w14:val="tx1"/>
            </w14:solidFill>
          </w14:textFill>
        </w:rPr>
      </w:pPr>
    </w:p>
    <w:p>
      <w:pPr>
        <w:spacing w:line="360" w:lineRule="auto"/>
        <w:rPr>
          <w:rFonts w:ascii="仿宋_GB2312" w:eastAsia="仿宋_GB2312" w:hAnsiTheme="minorEastAsia"/>
          <w:color w:val="000000" w:themeColor="text1"/>
          <w:sz w:val="32"/>
          <w:highlight w:val="yellow"/>
          <w14:textFill>
            <w14:solidFill>
              <w14:schemeClr w14:val="tx1"/>
            </w14:solidFill>
          </w14:textFill>
        </w:rPr>
      </w:pPr>
      <w:r>
        <w:rPr>
          <w:rFonts w:hint="eastAsia" w:ascii="仿宋_GB2312" w:eastAsia="仿宋_GB2312" w:hAnsiTheme="minorEastAsia"/>
          <w:color w:val="000000" w:themeColor="text1"/>
          <w:sz w:val="32"/>
          <w:highlight w:val="yellow"/>
          <w14:textFill>
            <w14:solidFill>
              <w14:schemeClr w14:val="tx1"/>
            </w14:solidFill>
          </w14:textFill>
        </w:rPr>
        <w:t>电  话：                    电  话：</w:t>
      </w:r>
    </w:p>
    <w:p>
      <w:pPr>
        <w:spacing w:line="360" w:lineRule="auto"/>
        <w:rPr>
          <w:rFonts w:ascii="仿宋_GB2312" w:eastAsia="仿宋_GB2312" w:hAnsiTheme="minorEastAsia"/>
          <w:color w:val="000000" w:themeColor="text1"/>
          <w:sz w:val="32"/>
          <w:highlight w:val="yellow"/>
          <w14:textFill>
            <w14:solidFill>
              <w14:schemeClr w14:val="tx1"/>
            </w14:solidFill>
          </w14:textFill>
        </w:rPr>
      </w:pPr>
      <w:r>
        <w:rPr>
          <w:rFonts w:hint="eastAsia" w:ascii="仿宋_GB2312" w:eastAsia="仿宋_GB2312" w:hAnsiTheme="minorEastAsia"/>
          <w:color w:val="000000" w:themeColor="text1"/>
          <w:sz w:val="32"/>
          <w:highlight w:val="yellow"/>
          <w14:textFill>
            <w14:solidFill>
              <w14:schemeClr w14:val="tx1"/>
            </w14:solidFill>
          </w14:textFill>
        </w:rPr>
        <w:t>传  真：                    传  真：</w:t>
      </w:r>
    </w:p>
    <w:p>
      <w:pPr>
        <w:spacing w:line="360" w:lineRule="auto"/>
        <w:rPr>
          <w:rFonts w:ascii="仿宋_GB2312" w:eastAsia="仿宋_GB2312"/>
          <w:color w:val="000000" w:themeColor="text1"/>
          <w:sz w:val="24"/>
          <w:highlight w:val="yellow"/>
          <w14:textFill>
            <w14:solidFill>
              <w14:schemeClr w14:val="tx1"/>
            </w14:solidFill>
          </w14:textFill>
        </w:rPr>
      </w:pPr>
      <w:r>
        <w:rPr>
          <w:rFonts w:hint="eastAsia" w:ascii="仿宋_GB2312" w:eastAsia="仿宋_GB2312" w:hAnsiTheme="minorEastAsia"/>
          <w:color w:val="000000" w:themeColor="text1"/>
          <w:sz w:val="32"/>
          <w:highlight w:val="yellow"/>
          <w14:textFill>
            <w14:solidFill>
              <w14:schemeClr w14:val="tx1"/>
            </w14:solidFill>
          </w14:textFill>
        </w:rPr>
        <w:t>日  期：                    日  期：]</w:t>
      </w:r>
    </w:p>
    <w:p>
      <w:pPr>
        <w:spacing w:line="560" w:lineRule="exact"/>
        <w:ind w:firstLine="640" w:firstLineChars="200"/>
        <w:rPr>
          <w:rFonts w:eastAsia="仿宋"/>
          <w:sz w:val="32"/>
          <w:szCs w:val="32"/>
        </w:rPr>
      </w:pPr>
    </w:p>
    <w:p>
      <w:pPr>
        <w:spacing w:line="560" w:lineRule="exact"/>
        <w:ind w:firstLine="640" w:firstLineChars="200"/>
        <w:rPr>
          <w:rFonts w:eastAsia="仿宋"/>
          <w:sz w:val="32"/>
          <w:szCs w:val="32"/>
        </w:rPr>
      </w:pPr>
    </w:p>
    <w:p>
      <w:pPr>
        <w:spacing w:line="560" w:lineRule="exact"/>
        <w:ind w:firstLine="640" w:firstLineChars="200"/>
        <w:rPr>
          <w:rFonts w:eastAsia="仿宋"/>
          <w:sz w:val="32"/>
          <w:szCs w:val="32"/>
        </w:rPr>
      </w:pPr>
    </w:p>
    <w:p>
      <w:pPr>
        <w:spacing w:line="560" w:lineRule="exact"/>
        <w:ind w:firstLine="640" w:firstLineChars="200"/>
        <w:rPr>
          <w:rFonts w:eastAsia="黑体"/>
          <w:sz w:val="32"/>
          <w:szCs w:val="32"/>
        </w:rPr>
      </w:pPr>
      <w:r>
        <w:rPr>
          <w:rFonts w:eastAsia="黑体"/>
          <w:sz w:val="32"/>
          <w:szCs w:val="32"/>
        </w:rPr>
        <w:t>九、廉洁承诺书：</w:t>
      </w:r>
    </w:p>
    <w:p>
      <w:pPr>
        <w:pStyle w:val="3"/>
        <w:spacing w:line="560" w:lineRule="exact"/>
        <w:jc w:val="center"/>
        <w:rPr>
          <w:rFonts w:eastAsia="仿宋"/>
          <w:b/>
          <w:bCs/>
          <w:snapToGrid w:val="0"/>
          <w:sz w:val="32"/>
          <w:szCs w:val="32"/>
        </w:rPr>
      </w:pPr>
      <w:r>
        <w:rPr>
          <w:rFonts w:eastAsia="仿宋"/>
          <w:bCs/>
          <w:snapToGrid w:val="0"/>
          <w:sz w:val="36"/>
          <w:szCs w:val="36"/>
        </w:rPr>
        <w:t>廉洁承诺书</w:t>
      </w:r>
    </w:p>
    <w:p>
      <w:pPr>
        <w:spacing w:line="560" w:lineRule="exact"/>
        <w:rPr>
          <w:rFonts w:eastAsia="仿宋"/>
        </w:rPr>
      </w:pPr>
    </w:p>
    <w:p>
      <w:pPr>
        <w:adjustRightInd w:val="0"/>
        <w:spacing w:before="240" w:line="560" w:lineRule="exact"/>
        <w:rPr>
          <w:rFonts w:eastAsia="仿宋"/>
          <w:sz w:val="30"/>
          <w:szCs w:val="30"/>
        </w:rPr>
      </w:pPr>
      <w:r>
        <w:rPr>
          <w:rFonts w:hint="eastAsia" w:eastAsia="仿宋_GB2312"/>
          <w:kern w:val="0"/>
          <w:sz w:val="32"/>
          <w:szCs w:val="32"/>
        </w:rPr>
        <w:t>中粮北海糖业有限公司</w:t>
      </w:r>
      <w:r>
        <w:rPr>
          <w:rFonts w:eastAsia="仿宋_GB2312"/>
          <w:kern w:val="0"/>
          <w:sz w:val="32"/>
          <w:szCs w:val="32"/>
        </w:rPr>
        <w:t>：</w:t>
      </w:r>
    </w:p>
    <w:p>
      <w:pPr>
        <w:spacing w:line="560" w:lineRule="exact"/>
        <w:ind w:firstLine="602"/>
        <w:jc w:val="left"/>
        <w:rPr>
          <w:rFonts w:eastAsia="仿宋_GB2312"/>
          <w:kern w:val="0"/>
          <w:sz w:val="32"/>
          <w:szCs w:val="32"/>
        </w:rPr>
      </w:pPr>
      <w:r>
        <w:rPr>
          <w:rFonts w:eastAsia="仿宋_GB2312"/>
          <w:kern w:val="0"/>
          <w:sz w:val="32"/>
          <w:szCs w:val="32"/>
        </w:rPr>
        <w:t>为积极配合贵公司进行的项目招标工作，有效遏制不公平竞争和违规违纪问题的发生，确保招标工作的公平、公正、公开，我们特向贵公司承诺如下事项：</w:t>
      </w:r>
    </w:p>
    <w:p>
      <w:pPr>
        <w:spacing w:line="560" w:lineRule="exact"/>
        <w:ind w:firstLine="602"/>
        <w:jc w:val="left"/>
        <w:rPr>
          <w:rFonts w:eastAsia="仿宋_GB2312"/>
          <w:kern w:val="0"/>
          <w:sz w:val="32"/>
          <w:szCs w:val="32"/>
        </w:rPr>
      </w:pPr>
      <w:r>
        <w:rPr>
          <w:rFonts w:eastAsia="仿宋_GB2312"/>
          <w:kern w:val="0"/>
          <w:sz w:val="32"/>
          <w:szCs w:val="32"/>
        </w:rPr>
        <w:t>1.自觉遵守国家法律法规及中粮糖业公司有关廉政建设制度。</w:t>
      </w:r>
    </w:p>
    <w:p>
      <w:pPr>
        <w:spacing w:line="560" w:lineRule="exact"/>
        <w:ind w:firstLine="602"/>
        <w:jc w:val="left"/>
        <w:rPr>
          <w:rFonts w:eastAsia="仿宋_GB2312"/>
          <w:kern w:val="0"/>
          <w:sz w:val="32"/>
          <w:szCs w:val="32"/>
        </w:rPr>
      </w:pPr>
      <w:r>
        <w:rPr>
          <w:rFonts w:eastAsia="仿宋_GB2312"/>
          <w:kern w:val="0"/>
          <w:sz w:val="32"/>
          <w:szCs w:val="32"/>
        </w:rPr>
        <w:t>2.不使用不正当手段妨碍、排挤其它投标单位或串通投标。</w:t>
      </w:r>
    </w:p>
    <w:p>
      <w:pPr>
        <w:spacing w:line="560" w:lineRule="exact"/>
        <w:ind w:firstLine="602"/>
        <w:jc w:val="left"/>
        <w:rPr>
          <w:rFonts w:eastAsia="仿宋_GB2312"/>
          <w:kern w:val="0"/>
          <w:sz w:val="32"/>
          <w:szCs w:val="32"/>
        </w:rPr>
      </w:pPr>
      <w:r>
        <w:rPr>
          <w:rFonts w:eastAsia="仿宋_GB2312"/>
          <w:kern w:val="0"/>
          <w:sz w:val="32"/>
          <w:szCs w:val="32"/>
        </w:rPr>
        <w:t>3.按照招标文件规定的方式进行投标，不隐瞒本单位投标资质的真实情况，投标资质符合规定；保证不会以其他人名义投标或者以其他方式弄虚作假，骗取中标。</w:t>
      </w:r>
    </w:p>
    <w:p>
      <w:pPr>
        <w:spacing w:line="560" w:lineRule="exact"/>
        <w:ind w:firstLine="602"/>
        <w:jc w:val="left"/>
        <w:rPr>
          <w:rFonts w:eastAsia="仿宋_GB2312"/>
          <w:kern w:val="0"/>
          <w:sz w:val="32"/>
          <w:szCs w:val="32"/>
        </w:rPr>
      </w:pPr>
      <w:r>
        <w:rPr>
          <w:rFonts w:eastAsia="仿宋_GB2312"/>
          <w:kern w:val="0"/>
          <w:sz w:val="32"/>
          <w:szCs w:val="32"/>
        </w:rPr>
        <w:t>4.不将主体、关键性工作进行分包（包括贴牌生产、转包等）。</w:t>
      </w:r>
    </w:p>
    <w:p>
      <w:pPr>
        <w:spacing w:line="560" w:lineRule="exact"/>
        <w:ind w:firstLine="602"/>
        <w:jc w:val="left"/>
        <w:rPr>
          <w:rFonts w:eastAsia="仿宋_GB2312"/>
          <w:kern w:val="0"/>
          <w:sz w:val="32"/>
          <w:szCs w:val="32"/>
        </w:rPr>
      </w:pPr>
      <w:r>
        <w:rPr>
          <w:rFonts w:eastAsia="仿宋_GB2312"/>
          <w:kern w:val="0"/>
          <w:sz w:val="32"/>
          <w:szCs w:val="32"/>
        </w:rPr>
        <w:t>5.不以任何方式向招标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pPr>
        <w:spacing w:line="560" w:lineRule="exact"/>
        <w:ind w:firstLine="602"/>
        <w:jc w:val="left"/>
        <w:rPr>
          <w:rFonts w:eastAsia="仿宋_GB2312"/>
          <w:kern w:val="0"/>
          <w:sz w:val="32"/>
          <w:szCs w:val="32"/>
        </w:rPr>
      </w:pPr>
      <w:r>
        <w:rPr>
          <w:rFonts w:eastAsia="仿宋_GB2312"/>
          <w:kern w:val="0"/>
          <w:sz w:val="32"/>
          <w:szCs w:val="32"/>
        </w:rPr>
        <w:t>6.不向贵公司涉及招标的部门及个人支付好处费、介绍费；购置或提供通讯工具、交通工具、电脑等。</w:t>
      </w:r>
    </w:p>
    <w:p>
      <w:pPr>
        <w:spacing w:line="560" w:lineRule="exact"/>
        <w:ind w:firstLine="602"/>
        <w:jc w:val="left"/>
        <w:rPr>
          <w:rFonts w:eastAsia="仿宋_GB2312"/>
          <w:kern w:val="0"/>
          <w:sz w:val="32"/>
          <w:szCs w:val="32"/>
        </w:rPr>
      </w:pPr>
      <w:r>
        <w:rPr>
          <w:rFonts w:eastAsia="仿宋_GB2312"/>
          <w:kern w:val="0"/>
          <w:sz w:val="32"/>
          <w:szCs w:val="32"/>
        </w:rPr>
        <w:t>7.一旦发现相关人员在招标过程中有索要财物等不廉洁行为，坚决予以抵制，并及时向贵公司纪检监察部举报。</w:t>
      </w:r>
    </w:p>
    <w:p>
      <w:pPr>
        <w:spacing w:line="560" w:lineRule="exact"/>
        <w:ind w:firstLine="602"/>
        <w:jc w:val="left"/>
        <w:rPr>
          <w:rFonts w:eastAsia="仿宋_GB2312"/>
          <w:kern w:val="0"/>
          <w:sz w:val="32"/>
          <w:szCs w:val="32"/>
        </w:rPr>
      </w:pPr>
      <w:r>
        <w:rPr>
          <w:rFonts w:eastAsia="仿宋_GB2312"/>
          <w:kern w:val="0"/>
          <w:sz w:val="32"/>
          <w:szCs w:val="32"/>
        </w:rPr>
        <w:t>8.我方自愿将本承诺书作为投标文件及合同的附件，具有同等的法律效力。</w:t>
      </w:r>
    </w:p>
    <w:p>
      <w:pPr>
        <w:spacing w:line="560" w:lineRule="exact"/>
        <w:ind w:firstLine="602"/>
        <w:jc w:val="left"/>
        <w:rPr>
          <w:rFonts w:eastAsia="仿宋_GB2312"/>
          <w:kern w:val="0"/>
          <w:sz w:val="32"/>
          <w:szCs w:val="32"/>
        </w:rPr>
      </w:pPr>
      <w:r>
        <w:rPr>
          <w:rFonts w:eastAsia="仿宋_GB2312"/>
          <w:kern w:val="0"/>
          <w:sz w:val="32"/>
          <w:szCs w:val="32"/>
        </w:rPr>
        <w:t>9.若违反上述承诺或违反有关法律法规及贵公司有关规定，我方自愿永久放弃参与贵公司的所有业务往来，并承担贵公司制度规定的一切法律责任。</w:t>
      </w:r>
    </w:p>
    <w:p>
      <w:pPr>
        <w:spacing w:line="560" w:lineRule="exact"/>
        <w:ind w:firstLine="602"/>
        <w:jc w:val="left"/>
        <w:rPr>
          <w:rFonts w:eastAsia="仿宋_GB2312"/>
          <w:kern w:val="0"/>
          <w:sz w:val="32"/>
          <w:szCs w:val="32"/>
        </w:rPr>
      </w:pPr>
      <w:r>
        <w:rPr>
          <w:rFonts w:eastAsia="仿宋_GB2312"/>
          <w:kern w:val="0"/>
          <w:sz w:val="32"/>
          <w:szCs w:val="32"/>
        </w:rPr>
        <w:t>10.本承诺书自签署之日起生效。</w:t>
      </w:r>
    </w:p>
    <w:p>
      <w:pPr>
        <w:spacing w:line="560" w:lineRule="exact"/>
        <w:ind w:firstLine="602"/>
        <w:jc w:val="left"/>
        <w:rPr>
          <w:rFonts w:eastAsia="仿宋_GB2312"/>
          <w:kern w:val="0"/>
          <w:sz w:val="32"/>
          <w:szCs w:val="32"/>
        </w:rPr>
      </w:pPr>
    </w:p>
    <w:p>
      <w:pPr>
        <w:spacing w:line="560" w:lineRule="exact"/>
        <w:ind w:firstLine="602"/>
        <w:jc w:val="left"/>
        <w:rPr>
          <w:rFonts w:eastAsia="仿宋_GB2312"/>
          <w:kern w:val="0"/>
          <w:sz w:val="32"/>
          <w:szCs w:val="32"/>
        </w:rPr>
      </w:pPr>
      <w:r>
        <w:rPr>
          <w:rFonts w:eastAsia="仿宋_GB2312"/>
          <w:kern w:val="0"/>
          <w:sz w:val="32"/>
          <w:szCs w:val="32"/>
        </w:rPr>
        <w:t>投标单位（公章）：</w:t>
      </w:r>
    </w:p>
    <w:p>
      <w:pPr>
        <w:spacing w:line="560" w:lineRule="exact"/>
        <w:ind w:firstLine="602"/>
        <w:jc w:val="left"/>
        <w:rPr>
          <w:rFonts w:eastAsia="仿宋_GB2312"/>
          <w:kern w:val="0"/>
          <w:sz w:val="32"/>
          <w:szCs w:val="32"/>
        </w:rPr>
      </w:pPr>
      <w:r>
        <w:rPr>
          <w:rFonts w:eastAsia="仿宋_GB2312"/>
          <w:kern w:val="0"/>
          <w:sz w:val="32"/>
          <w:szCs w:val="32"/>
        </w:rPr>
        <w:t>法定代表人或授权代理人（签名）：</w:t>
      </w:r>
    </w:p>
    <w:p>
      <w:pPr>
        <w:spacing w:line="560" w:lineRule="exact"/>
        <w:ind w:firstLine="602"/>
        <w:jc w:val="left"/>
        <w:rPr>
          <w:rFonts w:eastAsia="仿宋_GB2312"/>
          <w:kern w:val="0"/>
          <w:sz w:val="32"/>
          <w:szCs w:val="32"/>
        </w:rPr>
      </w:pPr>
    </w:p>
    <w:p>
      <w:pPr>
        <w:spacing w:line="560" w:lineRule="exact"/>
        <w:ind w:firstLine="602"/>
        <w:jc w:val="left"/>
        <w:rPr>
          <w:rFonts w:eastAsia="仿宋_GB2312"/>
          <w:kern w:val="0"/>
          <w:sz w:val="32"/>
          <w:szCs w:val="32"/>
          <w:lang w:val="zh-CN"/>
        </w:rPr>
      </w:pPr>
      <w:r>
        <w:rPr>
          <w:rFonts w:eastAsia="仿宋_GB2312"/>
          <w:kern w:val="0"/>
          <w:sz w:val="32"/>
          <w:szCs w:val="32"/>
          <w:lang w:val="zh-CN"/>
        </w:rPr>
        <w:t>日期：   年  月  日</w:t>
      </w:r>
    </w:p>
    <w:p>
      <w:pPr>
        <w:spacing w:line="560" w:lineRule="exact"/>
        <w:ind w:firstLine="602"/>
        <w:jc w:val="left"/>
        <w:rPr>
          <w:rFonts w:eastAsia="仿宋_GB2312"/>
          <w:kern w:val="0"/>
          <w:sz w:val="32"/>
          <w:szCs w:val="32"/>
          <w:lang w:val="zh-CN"/>
        </w:rPr>
      </w:pPr>
      <w:r>
        <w:rPr>
          <w:rFonts w:hint="eastAsia" w:ascii="黑体" w:hAnsi="黑体" w:eastAsia="黑体" w:cs="黑体"/>
          <w:kern w:val="0"/>
          <w:sz w:val="32"/>
          <w:szCs w:val="32"/>
        </w:rPr>
        <w:t>十、</w:t>
      </w:r>
      <w:r>
        <w:rPr>
          <w:rFonts w:hint="eastAsia" w:ascii="黑体" w:hAnsi="黑体" w:eastAsia="黑体" w:cs="黑体"/>
          <w:kern w:val="0"/>
          <w:sz w:val="32"/>
          <w:szCs w:val="32"/>
          <w:lang w:val="zh-CN"/>
        </w:rPr>
        <w:t>监督联络方式</w:t>
      </w:r>
      <w:r>
        <w:rPr>
          <w:rFonts w:eastAsia="仿宋_GB2312"/>
          <w:kern w:val="0"/>
          <w:sz w:val="32"/>
          <w:szCs w:val="32"/>
          <w:lang w:val="zh-CN"/>
        </w:rPr>
        <w:t>：</w:t>
      </w:r>
    </w:p>
    <w:p>
      <w:pPr>
        <w:spacing w:line="560" w:lineRule="exact"/>
        <w:ind w:firstLine="602"/>
        <w:jc w:val="left"/>
        <w:rPr>
          <w:rFonts w:eastAsia="仿宋_GB2312"/>
          <w:kern w:val="0"/>
          <w:sz w:val="32"/>
          <w:szCs w:val="32"/>
        </w:rPr>
      </w:pPr>
      <w:r>
        <w:rPr>
          <w:rFonts w:eastAsia="仿宋_GB2312"/>
          <w:kern w:val="0"/>
          <w:sz w:val="32"/>
          <w:szCs w:val="32"/>
        </w:rPr>
        <w:t>中粮糖业纪委联系方式：办公电话  010-85017235</w:t>
      </w:r>
    </w:p>
    <w:p>
      <w:pPr>
        <w:spacing w:line="560" w:lineRule="exact"/>
        <w:ind w:firstLine="602"/>
        <w:jc w:val="left"/>
        <w:rPr>
          <w:rFonts w:eastAsia="仿宋_GB2312"/>
          <w:kern w:val="0"/>
          <w:sz w:val="32"/>
          <w:szCs w:val="32"/>
        </w:rPr>
      </w:pPr>
      <w:r>
        <w:rPr>
          <w:rFonts w:eastAsia="仿宋_GB2312"/>
          <w:kern w:val="0"/>
          <w:sz w:val="32"/>
          <w:szCs w:val="32"/>
        </w:rPr>
        <w:t>通信地址：北京市朝阳区朝阳门南大街8号中粮福临门大厦9层905房间，中粮糖业纪委办公室收，邮编100020。</w:t>
      </w:r>
    </w:p>
    <w:p>
      <w:pPr>
        <w:spacing w:line="560" w:lineRule="exact"/>
        <w:ind w:firstLine="640" w:firstLineChars="200"/>
        <w:rPr>
          <w:rFonts w:eastAsia="仿宋"/>
          <w:sz w:val="32"/>
          <w:szCs w:val="32"/>
        </w:rPr>
      </w:pPr>
    </w:p>
    <w:p>
      <w:pPr>
        <w:spacing w:line="560" w:lineRule="exact"/>
        <w:ind w:firstLine="602"/>
        <w:jc w:val="left"/>
        <w:rPr>
          <w:rFonts w:ascii="黑体" w:hAnsi="黑体" w:eastAsia="黑体" w:cs="黑体"/>
          <w:kern w:val="0"/>
          <w:sz w:val="32"/>
          <w:szCs w:val="32"/>
        </w:rPr>
      </w:pPr>
      <w:r>
        <w:rPr>
          <w:rFonts w:hint="eastAsia" w:ascii="黑体" w:hAnsi="黑体" w:eastAsia="黑体" w:cs="黑体"/>
          <w:kern w:val="0"/>
          <w:sz w:val="32"/>
          <w:szCs w:val="32"/>
        </w:rPr>
        <w:t>十一、报价说明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eastAsia="仿宋"/>
          <w:sz w:val="32"/>
          <w:szCs w:val="32"/>
          <w:lang w:val="en-US" w:eastAsia="zh-CN"/>
        </w:rPr>
      </w:pPr>
      <w:r>
        <w:rPr>
          <w:rFonts w:hint="eastAsia" w:eastAsia="仿宋"/>
          <w:sz w:val="32"/>
          <w:szCs w:val="32"/>
        </w:rPr>
        <w:t>1.报价单程运输</w:t>
      </w:r>
      <w:r>
        <w:rPr>
          <w:rFonts w:hint="eastAsia" w:eastAsia="仿宋"/>
          <w:sz w:val="32"/>
          <w:szCs w:val="32"/>
          <w:lang w:eastAsia="zh-CN"/>
        </w:rPr>
        <w:t>，</w:t>
      </w:r>
      <w:r>
        <w:rPr>
          <w:rFonts w:hint="eastAsia" w:eastAsia="仿宋" w:cs="Times New Roman"/>
          <w:sz w:val="32"/>
          <w:szCs w:val="32"/>
          <w:lang w:val="en-US" w:eastAsia="zh-CN"/>
        </w:rPr>
        <w:t>报价请选择正确的开票税率。</w:t>
      </w:r>
    </w:p>
    <w:p>
      <w:pPr>
        <w:spacing w:line="560" w:lineRule="exact"/>
        <w:ind w:firstLine="640" w:firstLineChars="200"/>
        <w:rPr>
          <w:rFonts w:eastAsia="仿宋"/>
          <w:sz w:val="32"/>
          <w:szCs w:val="32"/>
        </w:rPr>
      </w:pPr>
      <w:r>
        <w:rPr>
          <w:rFonts w:hint="eastAsia" w:eastAsia="仿宋"/>
          <w:sz w:val="32"/>
          <w:szCs w:val="32"/>
        </w:rPr>
        <w:t>2.</w:t>
      </w:r>
      <w:r>
        <w:rPr>
          <w:rFonts w:eastAsia="仿宋"/>
          <w:sz w:val="32"/>
          <w:szCs w:val="32"/>
        </w:rPr>
        <w:t>联系人：</w:t>
      </w:r>
      <w:r>
        <w:rPr>
          <w:rFonts w:hint="eastAsia" w:eastAsia="仿宋"/>
          <w:sz w:val="32"/>
          <w:szCs w:val="32"/>
        </w:rPr>
        <w:t>甘富文</w:t>
      </w:r>
      <w:r>
        <w:rPr>
          <w:rFonts w:eastAsia="仿宋"/>
          <w:sz w:val="32"/>
          <w:szCs w:val="32"/>
        </w:rPr>
        <w:t xml:space="preserve">         联系电话 ：</w:t>
      </w:r>
      <w:r>
        <w:rPr>
          <w:rFonts w:hint="eastAsia" w:eastAsia="仿宋"/>
          <w:sz w:val="32"/>
          <w:szCs w:val="32"/>
        </w:rPr>
        <w:t>18276722628</w:t>
      </w:r>
    </w:p>
    <w:p>
      <w:pPr>
        <w:spacing w:line="560" w:lineRule="exact"/>
        <w:ind w:firstLine="640" w:firstLineChars="200"/>
        <w:rPr>
          <w:rFonts w:eastAsia="仿宋"/>
          <w:sz w:val="32"/>
          <w:szCs w:val="32"/>
        </w:rPr>
      </w:pPr>
    </w:p>
    <w:p>
      <w:pPr>
        <w:spacing w:line="560" w:lineRule="exact"/>
        <w:ind w:firstLine="640" w:firstLineChars="200"/>
        <w:rPr>
          <w:rFonts w:eastAsia="仿宋"/>
          <w:sz w:val="32"/>
          <w:szCs w:val="32"/>
        </w:rPr>
      </w:pPr>
      <w:r>
        <w:rPr>
          <w:rFonts w:eastAsia="仿宋"/>
          <w:sz w:val="32"/>
          <w:szCs w:val="32"/>
        </w:rPr>
        <w:t>望予以最优惠报价为盼。</w:t>
      </w:r>
    </w:p>
    <w:p>
      <w:pPr>
        <w:spacing w:line="560" w:lineRule="exact"/>
        <w:ind w:firstLine="640" w:firstLineChars="200"/>
        <w:rPr>
          <w:rFonts w:eastAsia="仿宋"/>
          <w:sz w:val="32"/>
          <w:szCs w:val="32"/>
        </w:rPr>
      </w:pPr>
      <w:r>
        <w:rPr>
          <w:rFonts w:eastAsia="仿宋"/>
          <w:sz w:val="32"/>
          <w:szCs w:val="32"/>
        </w:rPr>
        <w:t>顺祝</w:t>
      </w:r>
      <w:r>
        <w:rPr>
          <w:rFonts w:hint="eastAsia" w:eastAsia="仿宋"/>
          <w:sz w:val="32"/>
          <w:szCs w:val="32"/>
        </w:rPr>
        <w:t>商祺</w:t>
      </w:r>
      <w:r>
        <w:rPr>
          <w:rFonts w:eastAsia="仿宋"/>
          <w:sz w:val="32"/>
          <w:szCs w:val="32"/>
        </w:rPr>
        <w:t xml:space="preserve">！ </w:t>
      </w:r>
    </w:p>
    <w:p>
      <w:pPr>
        <w:pStyle w:val="6"/>
        <w:rPr>
          <w:rFonts w:ascii="Times New Roman" w:hAnsi="Times New Roman" w:eastAsia="仿宋"/>
          <w:sz w:val="32"/>
          <w:szCs w:val="32"/>
        </w:rPr>
      </w:pPr>
    </w:p>
    <w:p>
      <w:pPr>
        <w:pStyle w:val="4"/>
        <w:rPr>
          <w:rFonts w:ascii="Times New Roman" w:hAnsi="Times New Roman" w:eastAsia="仿宋"/>
          <w:sz w:val="32"/>
          <w:szCs w:val="32"/>
        </w:rPr>
      </w:pPr>
    </w:p>
    <w:p/>
    <w:p>
      <w:pPr>
        <w:spacing w:line="560" w:lineRule="exact"/>
        <w:ind w:firstLine="4419" w:firstLineChars="1381"/>
        <w:jc w:val="center"/>
        <w:rPr>
          <w:rFonts w:eastAsia="仿宋"/>
          <w:sz w:val="32"/>
          <w:szCs w:val="32"/>
        </w:rPr>
      </w:pPr>
      <w:r>
        <w:rPr>
          <w:rFonts w:hint="eastAsia" w:eastAsia="仿宋"/>
          <w:sz w:val="32"/>
          <w:szCs w:val="32"/>
        </w:rPr>
        <w:t>中粮北海糖业有限公司</w:t>
      </w:r>
    </w:p>
    <w:p>
      <w:pPr>
        <w:spacing w:line="560" w:lineRule="exact"/>
        <w:ind w:firstLine="4419" w:firstLineChars="1381"/>
        <w:jc w:val="center"/>
        <w:rPr>
          <w:rFonts w:eastAsia="仿宋"/>
          <w:sz w:val="32"/>
          <w:szCs w:val="32"/>
        </w:rPr>
      </w:pPr>
      <w:r>
        <w:rPr>
          <w:rFonts w:eastAsia="仿宋"/>
          <w:sz w:val="32"/>
          <w:szCs w:val="32"/>
        </w:rPr>
        <w:t>202</w:t>
      </w:r>
      <w:r>
        <w:rPr>
          <w:rFonts w:hint="eastAsia" w:eastAsia="仿宋"/>
          <w:sz w:val="32"/>
          <w:szCs w:val="32"/>
        </w:rPr>
        <w:t>4</w:t>
      </w:r>
      <w:r>
        <w:rPr>
          <w:rFonts w:eastAsia="仿宋"/>
          <w:sz w:val="32"/>
          <w:szCs w:val="32"/>
        </w:rPr>
        <w:t>年5月</w:t>
      </w:r>
      <w:r>
        <w:rPr>
          <w:rFonts w:hint="eastAsia" w:eastAsia="仿宋"/>
          <w:sz w:val="32"/>
          <w:szCs w:val="32"/>
          <w:lang w:val="en-US" w:eastAsia="zh-CN"/>
        </w:rPr>
        <w:t>4</w:t>
      </w:r>
      <w:r>
        <w:rPr>
          <w:rFonts w:eastAsia="仿宋"/>
          <w:sz w:val="32"/>
          <w:szCs w:val="32"/>
        </w:rPr>
        <w:t>日</w:t>
      </w:r>
    </w:p>
    <w:sectPr>
      <w:footerReference r:id="rId3" w:type="default"/>
      <w:pgSz w:w="11906" w:h="16838"/>
      <w:pgMar w:top="651" w:right="1304" w:bottom="1134" w:left="1304" w:header="6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eastAsia="仿宋_GB2312"/>
        <w:sz w:val="24"/>
      </w:rPr>
    </w:pPr>
    <w:r>
      <w:rPr>
        <w:rFonts w:hint="eastAsia" w:eastAsia="仿宋_GB2312"/>
        <w:kern w:val="0"/>
        <w:sz w:val="24"/>
        <w:szCs w:val="21"/>
      </w:rPr>
      <w:t xml:space="preserve">第 </w:t>
    </w:r>
    <w:r>
      <w:rPr>
        <w:rFonts w:eastAsia="仿宋_GB2312"/>
        <w:kern w:val="0"/>
        <w:sz w:val="24"/>
        <w:szCs w:val="21"/>
      </w:rPr>
      <w:fldChar w:fldCharType="begin"/>
    </w:r>
    <w:r>
      <w:rPr>
        <w:rFonts w:eastAsia="仿宋_GB2312"/>
        <w:kern w:val="0"/>
        <w:sz w:val="24"/>
        <w:szCs w:val="21"/>
      </w:rPr>
      <w:instrText xml:space="preserve"> PAGE </w:instrText>
    </w:r>
    <w:r>
      <w:rPr>
        <w:rFonts w:eastAsia="仿宋_GB2312"/>
        <w:kern w:val="0"/>
        <w:sz w:val="24"/>
        <w:szCs w:val="21"/>
      </w:rPr>
      <w:fldChar w:fldCharType="separate"/>
    </w:r>
    <w:r>
      <w:rPr>
        <w:rFonts w:eastAsia="仿宋_GB2312"/>
        <w:kern w:val="0"/>
        <w:sz w:val="24"/>
        <w:szCs w:val="21"/>
      </w:rPr>
      <w:t>6</w:t>
    </w:r>
    <w:r>
      <w:rPr>
        <w:rFonts w:eastAsia="仿宋_GB2312"/>
        <w:kern w:val="0"/>
        <w:sz w:val="24"/>
        <w:szCs w:val="21"/>
      </w:rPr>
      <w:fldChar w:fldCharType="end"/>
    </w:r>
    <w:r>
      <w:rPr>
        <w:rFonts w:hint="eastAsia" w:eastAsia="仿宋_GB2312"/>
        <w:kern w:val="0"/>
        <w:sz w:val="24"/>
        <w:szCs w:val="21"/>
      </w:rPr>
      <w:t xml:space="preserve"> 页，共 </w:t>
    </w:r>
    <w:r>
      <w:rPr>
        <w:rFonts w:eastAsia="仿宋_GB2312"/>
        <w:kern w:val="0"/>
        <w:sz w:val="24"/>
        <w:szCs w:val="21"/>
      </w:rPr>
      <w:fldChar w:fldCharType="begin"/>
    </w:r>
    <w:r>
      <w:rPr>
        <w:rFonts w:eastAsia="仿宋_GB2312"/>
        <w:kern w:val="0"/>
        <w:sz w:val="24"/>
        <w:szCs w:val="21"/>
      </w:rPr>
      <w:instrText xml:space="preserve"> NUMPAGES </w:instrText>
    </w:r>
    <w:r>
      <w:rPr>
        <w:rFonts w:eastAsia="仿宋_GB2312"/>
        <w:kern w:val="0"/>
        <w:sz w:val="24"/>
        <w:szCs w:val="21"/>
      </w:rPr>
      <w:fldChar w:fldCharType="separate"/>
    </w:r>
    <w:r>
      <w:rPr>
        <w:rFonts w:eastAsia="仿宋_GB2312"/>
        <w:kern w:val="0"/>
        <w:sz w:val="24"/>
        <w:szCs w:val="21"/>
      </w:rPr>
      <w:t>7</w:t>
    </w:r>
    <w:r>
      <w:rPr>
        <w:rFonts w:eastAsia="仿宋_GB2312"/>
        <w:kern w:val="0"/>
        <w:sz w:val="24"/>
        <w:szCs w:val="21"/>
      </w:rPr>
      <w:fldChar w:fldCharType="end"/>
    </w:r>
    <w:r>
      <w:rPr>
        <w:rFonts w:hint="eastAsia" w:eastAsia="仿宋_GB2312"/>
        <w:kern w:val="0"/>
        <w:sz w:val="24"/>
        <w:szCs w:val="21"/>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8DC49C"/>
    <w:multiLevelType w:val="singleLevel"/>
    <w:tmpl w:val="378DC49C"/>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AD2"/>
    <w:rsid w:val="000A51AE"/>
    <w:rsid w:val="00153AD2"/>
    <w:rsid w:val="003B04C2"/>
    <w:rsid w:val="008E2147"/>
    <w:rsid w:val="00AC1C53"/>
    <w:rsid w:val="00AF2974"/>
    <w:rsid w:val="00DF130C"/>
    <w:rsid w:val="04707130"/>
    <w:rsid w:val="05CE05D4"/>
    <w:rsid w:val="07490A87"/>
    <w:rsid w:val="09E24C3F"/>
    <w:rsid w:val="0ADC62C2"/>
    <w:rsid w:val="0AF64BA5"/>
    <w:rsid w:val="0B7F6ABC"/>
    <w:rsid w:val="0EC242F9"/>
    <w:rsid w:val="121824D2"/>
    <w:rsid w:val="131633EC"/>
    <w:rsid w:val="1729758F"/>
    <w:rsid w:val="192B53BE"/>
    <w:rsid w:val="1D840293"/>
    <w:rsid w:val="21E93BF5"/>
    <w:rsid w:val="224B26BD"/>
    <w:rsid w:val="2414051A"/>
    <w:rsid w:val="283A4FE5"/>
    <w:rsid w:val="2B440665"/>
    <w:rsid w:val="2D7F2736"/>
    <w:rsid w:val="2DA03510"/>
    <w:rsid w:val="30054781"/>
    <w:rsid w:val="337D16F1"/>
    <w:rsid w:val="3583388D"/>
    <w:rsid w:val="35B77E4C"/>
    <w:rsid w:val="3A8712C9"/>
    <w:rsid w:val="3B327FF8"/>
    <w:rsid w:val="3B3E5B03"/>
    <w:rsid w:val="3C28396E"/>
    <w:rsid w:val="3CDB4C00"/>
    <w:rsid w:val="3D0D75C3"/>
    <w:rsid w:val="3DED6EDC"/>
    <w:rsid w:val="41846E65"/>
    <w:rsid w:val="457B5608"/>
    <w:rsid w:val="45D7765F"/>
    <w:rsid w:val="46CF6A18"/>
    <w:rsid w:val="46FC0E56"/>
    <w:rsid w:val="4A05591A"/>
    <w:rsid w:val="4A825D0C"/>
    <w:rsid w:val="4C7E3571"/>
    <w:rsid w:val="4D4858A4"/>
    <w:rsid w:val="4F1D11E9"/>
    <w:rsid w:val="53894E10"/>
    <w:rsid w:val="55831158"/>
    <w:rsid w:val="55DB05F7"/>
    <w:rsid w:val="56590DEF"/>
    <w:rsid w:val="581026D2"/>
    <w:rsid w:val="5C1E037E"/>
    <w:rsid w:val="5C9E2CAD"/>
    <w:rsid w:val="61170350"/>
    <w:rsid w:val="61322FC8"/>
    <w:rsid w:val="614B24F8"/>
    <w:rsid w:val="617B7F67"/>
    <w:rsid w:val="61D22176"/>
    <w:rsid w:val="63802CF2"/>
    <w:rsid w:val="63FA084A"/>
    <w:rsid w:val="640A13EC"/>
    <w:rsid w:val="64471C00"/>
    <w:rsid w:val="646D3ACF"/>
    <w:rsid w:val="66533321"/>
    <w:rsid w:val="6743204E"/>
    <w:rsid w:val="6AF01DF0"/>
    <w:rsid w:val="70A24793"/>
    <w:rsid w:val="72C90324"/>
    <w:rsid w:val="76044D20"/>
    <w:rsid w:val="7A88024A"/>
    <w:rsid w:val="7C195D8E"/>
    <w:rsid w:val="7C5B6713"/>
    <w:rsid w:val="7CF6302F"/>
    <w:rsid w:val="7FD355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unhideWhenUsed/>
    <w:qFormat/>
    <w:uiPriority w:val="0"/>
    <w:pPr>
      <w:outlineLvl w:val="1"/>
    </w:pPr>
    <w:rPr>
      <w:sz w:val="40"/>
      <w:szCs w:val="40"/>
    </w:rPr>
  </w:style>
  <w:style w:type="paragraph" w:styleId="4">
    <w:name w:val="heading 4"/>
    <w:basedOn w:val="1"/>
    <w:next w:val="1"/>
    <w:qFormat/>
    <w:uiPriority w:val="9"/>
    <w:pPr>
      <w:keepNext/>
      <w:keepLines/>
      <w:spacing w:before="280" w:after="290" w:line="376" w:lineRule="auto"/>
      <w:outlineLvl w:val="3"/>
    </w:pPr>
    <w:rPr>
      <w:rFonts w:ascii="Cambria" w:hAnsi="Cambria"/>
      <w:b/>
      <w:bCs/>
      <w:sz w:val="28"/>
      <w:szCs w:val="28"/>
    </w:rPr>
  </w:style>
  <w:style w:type="character" w:default="1" w:styleId="11">
    <w:name w:val="Default Paragraph Font"/>
    <w:semiHidden/>
    <w:unhideWhenUsed/>
    <w:uiPriority w:val="1"/>
  </w:style>
  <w:style w:type="table" w:default="1" w:styleId="10">
    <w:name w:val="Normal Table"/>
    <w:semiHidden/>
    <w:unhideWhenUsed/>
    <w:uiPriority w:val="99"/>
    <w:tblPr>
      <w:tblLayout w:type="fixed"/>
      <w:tblCellMar>
        <w:top w:w="0" w:type="dxa"/>
        <w:left w:w="108" w:type="dxa"/>
        <w:bottom w:w="0" w:type="dxa"/>
        <w:right w:w="108" w:type="dxa"/>
      </w:tblCellMar>
    </w:tblPr>
  </w:style>
  <w:style w:type="paragraph" w:styleId="2">
    <w:name w:val="Body Text"/>
    <w:basedOn w:val="1"/>
    <w:qFormat/>
    <w:uiPriority w:val="0"/>
    <w:pPr>
      <w:autoSpaceDE w:val="0"/>
      <w:autoSpaceDN w:val="0"/>
      <w:adjustRightInd w:val="0"/>
    </w:pPr>
    <w:rPr>
      <w:rFonts w:eastAsia="仿宋_GB2312"/>
      <w:b/>
      <w:bCs/>
      <w:color w:val="FF3300"/>
      <w:sz w:val="40"/>
      <w:szCs w:val="40"/>
      <w:lang w:val="zh-CN"/>
    </w:rPr>
  </w:style>
  <w:style w:type="paragraph" w:styleId="5">
    <w:name w:val="Body Text Indent"/>
    <w:basedOn w:val="1"/>
    <w:qFormat/>
    <w:uiPriority w:val="0"/>
    <w:pPr>
      <w:spacing w:line="500" w:lineRule="exact"/>
      <w:ind w:firstLine="640" w:firstLineChars="200"/>
    </w:pPr>
    <w:rPr>
      <w:rFonts w:eastAsia="仿宋_GB2312"/>
      <w:sz w:val="32"/>
    </w:rPr>
  </w:style>
  <w:style w:type="paragraph" w:styleId="6">
    <w:name w:val="Plain Text"/>
    <w:basedOn w:val="1"/>
    <w:next w:val="4"/>
    <w:qFormat/>
    <w:uiPriority w:val="0"/>
    <w:rPr>
      <w:rFonts w:ascii="宋体" w:hAnsi="Courier New"/>
      <w:sz w:val="24"/>
    </w:rPr>
  </w:style>
  <w:style w:type="paragraph" w:styleId="7">
    <w:name w:val="Body Text Indent 2"/>
    <w:basedOn w:val="1"/>
    <w:qFormat/>
    <w:uiPriority w:val="0"/>
    <w:pPr>
      <w:spacing w:line="460" w:lineRule="exact"/>
      <w:ind w:firstLine="600" w:firstLineChars="200"/>
    </w:pPr>
    <w:rPr>
      <w:rFonts w:eastAsia="仿宋_GB2312"/>
      <w:sz w:val="30"/>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12">
    <w:name w:val="Hyperlink"/>
    <w:basedOn w:val="11"/>
    <w:qFormat/>
    <w:uiPriority w:val="0"/>
    <w:rPr>
      <w:color w:val="0000FF"/>
      <w:u w:val="single"/>
    </w:rPr>
  </w:style>
  <w:style w:type="character" w:customStyle="1" w:styleId="13">
    <w:name w:val="font11"/>
    <w:basedOn w:val="11"/>
    <w:qFormat/>
    <w:uiPriority w:val="0"/>
    <w:rPr>
      <w:rFonts w:hint="default" w:ascii="Arial" w:hAnsi="Arial" w:cs="Arial"/>
      <w:color w:val="000000"/>
      <w:sz w:val="20"/>
      <w:szCs w:val="20"/>
      <w:u w:val="none"/>
    </w:rPr>
  </w:style>
  <w:style w:type="character" w:customStyle="1" w:styleId="14">
    <w:name w:val="font21"/>
    <w:basedOn w:val="11"/>
    <w:qFormat/>
    <w:uiPriority w:val="0"/>
    <w:rPr>
      <w:rFonts w:hint="eastAsia" w:ascii="宋体" w:hAnsi="宋体" w:eastAsia="宋体" w:cs="宋体"/>
      <w:color w:val="000000"/>
      <w:sz w:val="20"/>
      <w:szCs w:val="20"/>
      <w:u w:val="none"/>
    </w:rPr>
  </w:style>
  <w:style w:type="character" w:customStyle="1" w:styleId="15">
    <w:name w:val="font01"/>
    <w:basedOn w:val="11"/>
    <w:qFormat/>
    <w:uiPriority w:val="0"/>
    <w:rPr>
      <w:rFonts w:hint="eastAsia" w:ascii="宋体" w:hAnsi="宋体" w:eastAsia="宋体" w:cs="宋体"/>
      <w:color w:val="000000"/>
      <w:sz w:val="20"/>
      <w:szCs w:val="20"/>
      <w:u w:val="none"/>
    </w:rPr>
  </w:style>
  <w:style w:type="character" w:customStyle="1" w:styleId="16">
    <w:name w:val="font41"/>
    <w:basedOn w:val="11"/>
    <w:qFormat/>
    <w:uiPriority w:val="0"/>
    <w:rPr>
      <w:rFonts w:hint="eastAsia" w:ascii="仿宋_GB2312" w:eastAsia="仿宋_GB2312" w:cs="仿宋_GB2312"/>
      <w:color w:val="0D0D0D"/>
      <w:sz w:val="24"/>
      <w:szCs w:val="24"/>
      <w:u w:val="none"/>
    </w:rPr>
  </w:style>
  <w:style w:type="character" w:customStyle="1" w:styleId="17">
    <w:name w:val="font31"/>
    <w:basedOn w:val="11"/>
    <w:qFormat/>
    <w:uiPriority w:val="0"/>
    <w:rPr>
      <w:rFonts w:hint="eastAsia" w:ascii="仿宋_GB2312" w:eastAsia="仿宋_GB2312" w:cs="仿宋_GB2312"/>
      <w:color w:val="0D0D0D"/>
      <w:sz w:val="24"/>
      <w:szCs w:val="24"/>
      <w:u w:val="none"/>
    </w:rPr>
  </w:style>
  <w:style w:type="paragraph" w:customStyle="1" w:styleId="18">
    <w:name w:val="列表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562</Words>
  <Characters>3208</Characters>
  <Lines>26</Lines>
  <Paragraphs>7</Paragraphs>
  <TotalTime>18</TotalTime>
  <ScaleCrop>false</ScaleCrop>
  <LinksUpToDate>false</LinksUpToDate>
  <CharactersWithSpaces>3763</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2023-07-30T15:51:00Z</dcterms:created>
  <dc:creator>Administrator</dc:creator>
  <cp:lastModifiedBy>Administrator</cp:lastModifiedBy>
  <dcterms:modified xsi:type="dcterms:W3CDTF">2024-05-04T01:46:08Z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