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rPr>
      </w:pPr>
      <w:r>
        <w:rPr>
          <w:rFonts w:hint="eastAsia" w:ascii="方正小标宋_GBK" w:hAnsi="方正小标宋_GBK" w:eastAsia="方正小标宋_GBK" w:cs="方正小标宋_GBK"/>
          <w:b/>
          <w:color w:val="000000" w:themeColor="text1"/>
          <w:sz w:val="48"/>
          <w:szCs w:val="48"/>
        </w:rPr>
        <w:t>中粮屯河</w:t>
      </w:r>
      <w:r>
        <w:rPr>
          <w:rFonts w:hint="eastAsia" w:ascii="方正小标宋_GBK" w:hAnsi="方正小标宋_GBK" w:eastAsia="方正小标宋_GBK" w:cs="方正小标宋_GBK"/>
          <w:b/>
          <w:color w:val="000000" w:themeColor="text1"/>
          <w:sz w:val="48"/>
          <w:szCs w:val="48"/>
          <w:lang w:val="en-US" w:eastAsia="zh-CN"/>
        </w:rPr>
        <w:t>临河番茄制品有限</w:t>
      </w:r>
      <w:r>
        <w:rPr>
          <w:rFonts w:hint="eastAsia" w:ascii="方正小标宋_GBK" w:hAnsi="方正小标宋_GBK" w:eastAsia="方正小标宋_GBK" w:cs="方正小标宋_GBK"/>
          <w:b/>
          <w:color w:val="000000" w:themeColor="text1"/>
          <w:sz w:val="48"/>
          <w:szCs w:val="48"/>
        </w:rPr>
        <w:t>公司</w:t>
      </w:r>
    </w:p>
    <w:p>
      <w:pPr>
        <w:tabs>
          <w:tab w:val="left" w:pos="3839"/>
        </w:tabs>
        <w:spacing w:before="174" w:line="880" w:lineRule="exact"/>
        <w:ind w:left="308" w:right="22" w:hanging="308"/>
        <w:jc w:val="center"/>
        <w:rPr>
          <w:rFonts w:hint="eastAsia" w:ascii="方正小标宋_GBK" w:hAnsi="方正小标宋_GBK" w:eastAsia="方正小标宋_GBK" w:cs="方正小标宋_GBK"/>
          <w:b/>
          <w:color w:val="000000" w:themeColor="text1"/>
          <w:sz w:val="48"/>
          <w:szCs w:val="48"/>
          <w:lang w:val="en-US" w:eastAsia="zh-CN"/>
        </w:rPr>
      </w:pPr>
      <w:r>
        <w:rPr>
          <w:rFonts w:hint="eastAsia" w:ascii="方正小标宋_GBK" w:hAnsi="方正小标宋_GBK" w:eastAsia="方正小标宋_GBK" w:cs="方正小标宋_GBK"/>
          <w:b/>
          <w:bCs w:val="0"/>
          <w:color w:val="000000" w:themeColor="text1"/>
          <w:sz w:val="48"/>
          <w:szCs w:val="48"/>
          <w:lang w:val="en-US" w:eastAsia="zh-CN"/>
        </w:rPr>
        <w:t>色选平台改造</w:t>
      </w:r>
      <w:r>
        <w:rPr>
          <w:rFonts w:hint="eastAsia" w:ascii="方正小标宋_GBK" w:hAnsi="方正小标宋_GBK" w:eastAsia="方正小标宋_GBK" w:cs="方正小标宋_GBK"/>
          <w:b/>
          <w:color w:val="000000" w:themeColor="text1"/>
          <w:sz w:val="48"/>
          <w:szCs w:val="48"/>
          <w:lang w:val="en-US" w:eastAsia="zh-CN"/>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rPr>
      </w:pPr>
      <w:r>
        <w:rPr>
          <w:rFonts w:hint="eastAsia" w:ascii="方正小标宋_GBK" w:hAnsi="方正小标宋_GBK" w:eastAsia="方正小标宋_GBK" w:cs="方正小标宋_GBK"/>
          <w:b/>
          <w:color w:val="000000" w:themeColor="text1"/>
          <w:sz w:val="48"/>
          <w:szCs w:val="48"/>
        </w:rPr>
        <w:t>询</w:t>
      </w:r>
      <w:r>
        <w:rPr>
          <w:rFonts w:hint="eastAsia" w:ascii="方正小标宋_GBK" w:hAnsi="方正小标宋_GBK" w:eastAsia="方正小标宋_GBK" w:cs="方正小标宋_GBK"/>
          <w:b/>
          <w:color w:val="000000" w:themeColor="text1"/>
          <w:sz w:val="48"/>
          <w:szCs w:val="48"/>
          <w:lang w:eastAsia="zh-CN"/>
        </w:rPr>
        <w:t>比</w:t>
      </w:r>
      <w:r>
        <w:rPr>
          <w:rFonts w:hint="eastAsia" w:ascii="方正小标宋_GBK" w:hAnsi="方正小标宋_GBK" w:eastAsia="方正小标宋_GBK" w:cs="方正小标宋_GBK"/>
          <w:b/>
          <w:color w:val="000000" w:themeColor="text1"/>
          <w:sz w:val="48"/>
          <w:szCs w:val="48"/>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w:t>
      </w:r>
      <w:r>
        <w:rPr>
          <w:rFonts w:hint="eastAsia" w:ascii="方正小标宋_GBK" w:hAnsi="方正小标宋_GBK" w:eastAsia="方正小标宋_GBK" w:cs="方正小标宋_GBK"/>
          <w:color w:val="000000" w:themeColor="text1"/>
          <w:sz w:val="32"/>
          <w:szCs w:val="32"/>
          <w:lang w:val="en-US" w:eastAsia="zh-CN"/>
        </w:rPr>
        <w:t>屯河临河番茄制品有限</w:t>
      </w:r>
      <w:r>
        <w:rPr>
          <w:rFonts w:hint="eastAsia" w:ascii="方正小标宋_GBK" w:hAnsi="方正小标宋_GBK" w:eastAsia="方正小标宋_GBK" w:cs="方正小标宋_GBK"/>
          <w:color w:val="000000" w:themeColor="text1"/>
          <w:sz w:val="32"/>
          <w:szCs w:val="32"/>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5</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8DB3E2" w:themeColor="text2" w:themeTint="66"/>
          <w:sz w:val="44"/>
          <w:szCs w:val="44"/>
        </w:rPr>
      </w:pPr>
    </w:p>
    <w:p>
      <w:pPr>
        <w:spacing w:line="360" w:lineRule="auto"/>
        <w:rPr>
          <w:rFonts w:ascii="仿宋" w:hAnsi="仿宋" w:eastAsia="仿宋" w:cs="宋体"/>
          <w:b/>
          <w:color w:val="8DB3E2" w:themeColor="text2" w:themeTint="66"/>
          <w:sz w:val="44"/>
          <w:szCs w:val="44"/>
        </w:rPr>
      </w:pPr>
    </w:p>
    <w:tbl>
      <w:tblPr>
        <w:tblStyle w:val="23"/>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leftChars="0" w:hanging="142"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第六部分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leftChars="0" w:hanging="142"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投标文件（格式）</w:t>
            </w: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现将中粮</w:t>
      </w:r>
      <w:r>
        <w:rPr>
          <w:rFonts w:hint="eastAsia" w:ascii="仿宋_GB2312" w:hAnsi="仿宋_GB2312" w:eastAsia="仿宋_GB2312" w:cs="仿宋_GB2312"/>
          <w:color w:val="000000"/>
          <w:sz w:val="32"/>
          <w:szCs w:val="32"/>
          <w:lang w:val="en-US" w:eastAsia="zh-CN"/>
        </w:rPr>
        <w:t>屯河临河番茄制品有限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色选平台改造采购</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hint="eastAsia" w:ascii="仿宋_GB2312" w:hAnsi="仿宋_GB2312" w:eastAsia="仿宋_GB2312" w:cs="仿宋_GB2312"/>
          <w:color w:val="000000"/>
          <w:sz w:val="32"/>
          <w:szCs w:val="32"/>
          <w:lang w:eastAsia="zh-CN"/>
        </w:rPr>
      </w:pPr>
      <w:bookmarkStart w:id="0" w:name="_Toc6994"/>
      <w:r>
        <w:rPr>
          <w:rFonts w:hint="eastAsia" w:ascii="仿宋_GB2312" w:hAnsi="宋体" w:eastAsia="仿宋_GB2312"/>
          <w:bCs/>
          <w:sz w:val="32"/>
          <w:szCs w:val="32"/>
          <w:lang w:val="en-US" w:eastAsia="zh-CN"/>
        </w:rPr>
        <w:t>临河</w:t>
      </w:r>
      <w:r>
        <w:rPr>
          <w:rFonts w:hint="eastAsia" w:ascii="仿宋_GB2312" w:hAnsi="宋体" w:eastAsia="仿宋_GB2312"/>
          <w:bCs/>
          <w:sz w:val="32"/>
          <w:szCs w:val="32"/>
        </w:rPr>
        <w:t>番茄</w:t>
      </w:r>
      <w:r>
        <w:rPr>
          <w:rFonts w:hint="eastAsia" w:ascii="仿宋_GB2312" w:hAnsi="仿宋_GB2312" w:eastAsia="仿宋_GB2312" w:cs="仿宋_GB2312"/>
          <w:color w:val="000000"/>
          <w:sz w:val="32"/>
          <w:szCs w:val="32"/>
          <w:lang w:val="en-US" w:eastAsia="zh-CN"/>
        </w:rPr>
        <w:t>色选平台改造</w:t>
      </w:r>
      <w:r>
        <w:rPr>
          <w:rFonts w:hint="eastAsia" w:ascii="仿宋_GB2312" w:hAnsi="宋体" w:eastAsia="仿宋_GB2312"/>
          <w:bCs/>
          <w:sz w:val="32"/>
          <w:szCs w:val="32"/>
          <w:lang w:val="en-US" w:eastAsia="zh-CN"/>
        </w:rPr>
        <w:t>采购</w:t>
      </w:r>
      <w:r>
        <w:rPr>
          <w:rFonts w:hint="eastAsia" w:ascii="仿宋_GB2312" w:hAnsi="宋体" w:eastAsia="仿宋_GB2312"/>
          <w:bCs/>
          <w:sz w:val="32"/>
          <w:szCs w:val="32"/>
        </w:rPr>
        <w:t>项目</w:t>
      </w:r>
      <w:r>
        <w:rPr>
          <w:rFonts w:hint="eastAsia" w:ascii="仿宋_GB2312" w:hAnsi="宋体" w:eastAsia="仿宋_GB2312"/>
          <w:sz w:val="32"/>
          <w:szCs w:val="21"/>
        </w:rPr>
        <w:t>已按要求履行了相关报批手续。采购人为</w:t>
      </w:r>
      <w:r>
        <w:rPr>
          <w:rFonts w:hint="eastAsia" w:ascii="仿宋_GB2312" w:hAnsi="仿宋" w:eastAsia="仿宋_GB2312" w:cs="Arial"/>
          <w:color w:val="000000"/>
          <w:sz w:val="32"/>
          <w:szCs w:val="32"/>
        </w:rPr>
        <w:t>中粮屯河</w:t>
      </w:r>
      <w:r>
        <w:rPr>
          <w:rFonts w:hint="eastAsia" w:ascii="仿宋_GB2312" w:hAnsi="仿宋" w:eastAsia="仿宋_GB2312" w:cs="Arial"/>
          <w:color w:val="000000"/>
          <w:sz w:val="32"/>
          <w:szCs w:val="32"/>
          <w:lang w:val="en-US" w:eastAsia="zh-CN"/>
        </w:rPr>
        <w:t>临河</w:t>
      </w:r>
      <w:r>
        <w:rPr>
          <w:rFonts w:hint="eastAsia" w:ascii="仿宋_GB2312" w:hAnsi="仿宋" w:eastAsia="仿宋_GB2312" w:cs="Arial"/>
          <w:color w:val="000000"/>
          <w:sz w:val="32"/>
          <w:szCs w:val="32"/>
        </w:rPr>
        <w:t>番茄</w:t>
      </w:r>
      <w:r>
        <w:rPr>
          <w:rFonts w:hint="eastAsia" w:ascii="仿宋_GB2312" w:hAnsi="仿宋" w:eastAsia="仿宋_GB2312" w:cs="Arial"/>
          <w:color w:val="000000"/>
          <w:sz w:val="32"/>
          <w:szCs w:val="32"/>
          <w:lang w:val="en-US" w:eastAsia="zh-CN"/>
        </w:rPr>
        <w:t>制品</w:t>
      </w:r>
      <w:r>
        <w:rPr>
          <w:rFonts w:hint="eastAsia" w:ascii="仿宋_GB2312" w:hAnsi="仿宋" w:eastAsia="仿宋_GB2312" w:cs="Arial"/>
          <w:color w:val="000000"/>
          <w:sz w:val="32"/>
          <w:szCs w:val="32"/>
        </w:rPr>
        <w:t>有限公司</w:t>
      </w:r>
      <w:r>
        <w:rPr>
          <w:rFonts w:hint="eastAsia" w:ascii="仿宋_GB2312" w:hAnsi="宋体" w:eastAsia="仿宋_GB2312"/>
          <w:bCs/>
          <w:sz w:val="32"/>
          <w:szCs w:val="32"/>
        </w:rPr>
        <w:t>（简称</w:t>
      </w:r>
      <w:r>
        <w:rPr>
          <w:rFonts w:hint="eastAsia" w:ascii="仿宋_GB2312" w:hAnsi="宋体" w:eastAsia="仿宋_GB2312"/>
          <w:bCs/>
          <w:sz w:val="32"/>
          <w:szCs w:val="32"/>
          <w:lang w:val="en-US" w:eastAsia="zh-CN"/>
        </w:rPr>
        <w:t>临河</w:t>
      </w:r>
      <w:r>
        <w:rPr>
          <w:rFonts w:hint="eastAsia" w:ascii="仿宋_GB2312" w:hAnsi="宋体" w:eastAsia="仿宋_GB2312"/>
          <w:bCs/>
          <w:sz w:val="32"/>
          <w:szCs w:val="32"/>
        </w:rPr>
        <w:t>番茄）</w:t>
      </w:r>
      <w:r>
        <w:rPr>
          <w:rFonts w:hint="eastAsia" w:ascii="仿宋_GB2312" w:hAnsi="宋体" w:eastAsia="仿宋_GB2312"/>
          <w:sz w:val="32"/>
          <w:szCs w:val="21"/>
        </w:rPr>
        <w:t>，资金来源自筹。项目已具备</w:t>
      </w:r>
      <w:r>
        <w:rPr>
          <w:rFonts w:hint="eastAsia" w:ascii="仿宋_GB2312" w:hAnsi="宋体" w:eastAsia="仿宋_GB2312"/>
          <w:sz w:val="32"/>
          <w:szCs w:val="21"/>
          <w:lang w:val="en-US" w:eastAsia="zh-CN"/>
        </w:rPr>
        <w:t>询比价</w:t>
      </w:r>
      <w:r>
        <w:rPr>
          <w:rFonts w:hint="eastAsia" w:ascii="仿宋_GB2312" w:hAnsi="宋体" w:eastAsia="仿宋_GB2312"/>
          <w:sz w:val="32"/>
          <w:szCs w:val="21"/>
        </w:rPr>
        <w:t>采购条件，现将有关事项公告如下：</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色选平台改造采购</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val="en-US" w:bidi="zh-CN"/>
        </w:rPr>
      </w:pPr>
      <w:r>
        <w:rPr>
          <w:rFonts w:hint="eastAsia" w:ascii="仿宋_GB2312" w:hAnsi="仿宋_GB2312" w:eastAsia="仿宋_GB2312" w:cs="仿宋_GB2312"/>
          <w:sz w:val="32"/>
          <w:szCs w:val="32"/>
          <w:lang w:bidi="zh-CN"/>
        </w:rPr>
        <w:t>3.1采购内容（简要描述）：</w:t>
      </w:r>
      <w:r>
        <w:rPr>
          <w:rFonts w:hint="eastAsia" w:ascii="仿宋_GB2312" w:hAnsi="仿宋_GB2312" w:eastAsia="仿宋_GB2312" w:cs="仿宋_GB2312"/>
          <w:sz w:val="32"/>
          <w:szCs w:val="32"/>
          <w:lang w:val="en-US" w:bidi="zh-CN"/>
        </w:rPr>
        <w:t>将现有色选平台进行扩大改造，加装一台色选仪及配套设施包含现有色选皮带机底部接水槽3个、色选仪分料槽1个、分水篦子3个、接水槽1个重新制作安装，改造更换现有废果皮带机，安装新购红果皮带机等相关设施（加装提升机、皮带机等设施）</w:t>
      </w:r>
      <w:r>
        <w:rPr>
          <w:rFonts w:hint="eastAsia" w:ascii="仿宋_GB2312" w:hAnsi="仿宋_GB2312" w:eastAsia="仿宋_GB2312" w:cs="仿宋_GB2312"/>
          <w:sz w:val="32"/>
          <w:szCs w:val="32"/>
          <w:highlight w:val="yellow"/>
          <w:lang w:val="en-US" w:bidi="zh-CN"/>
        </w:rPr>
        <w:t>具体详见第三部分采购</w:t>
      </w:r>
      <w:r>
        <w:rPr>
          <w:rFonts w:hint="eastAsia" w:ascii="仿宋_GB2312" w:hAnsi="仿宋_GB2312" w:eastAsia="仿宋_GB2312" w:cs="仿宋_GB2312"/>
          <w:sz w:val="32"/>
          <w:szCs w:val="32"/>
          <w:lang w:val="en-US" w:bidi="zh-CN"/>
        </w:rPr>
        <w:t>需求。</w:t>
      </w:r>
    </w:p>
    <w:p>
      <w:pPr>
        <w:autoSpaceDE w:val="0"/>
        <w:autoSpaceDN w:val="0"/>
        <w:adjustRightInd w:val="0"/>
        <w:snapToGrid w:val="0"/>
        <w:spacing w:line="520" w:lineRule="exact"/>
        <w:rPr>
          <w:rFonts w:hint="default" w:ascii="仿宋_GB2312" w:hAnsi="仿宋_GB2312" w:eastAsia="仿宋_GB2312" w:cs="仿宋_GB2312"/>
          <w:sz w:val="32"/>
          <w:szCs w:val="32"/>
          <w:lang w:val="en-US" w:bidi="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sz w:val="32"/>
          <w:szCs w:val="32"/>
          <w:lang w:val="en-US" w:bidi="zh-CN"/>
        </w:rPr>
        <w:t>临河番茄公司</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3.3完工日期：</w:t>
      </w:r>
      <w:r>
        <w:rPr>
          <w:rFonts w:hint="eastAsia" w:ascii="仿宋_GB2312" w:hAnsi="仿宋_GB2312" w:eastAsia="仿宋_GB2312" w:cs="仿宋_GB2312"/>
          <w:sz w:val="32"/>
          <w:szCs w:val="32"/>
          <w:lang w:val="en-US" w:bidi="zh-CN"/>
        </w:rPr>
        <w:t>以合同约定工期内容为准</w:t>
      </w:r>
      <w:r>
        <w:rPr>
          <w:rFonts w:hint="eastAsia" w:ascii="仿宋_GB2312" w:hAnsi="仿宋_GB2312" w:eastAsia="仿宋_GB2312" w:cs="仿宋_GB2312"/>
          <w:color w:val="000000"/>
          <w:sz w:val="32"/>
          <w:szCs w:val="32"/>
          <w:lang w:bidi="zh-CN"/>
        </w:rPr>
        <w:t>。</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iCs/>
          <w:sz w:val="32"/>
          <w:szCs w:val="32"/>
          <w:u w:val="single" w:color="FFFFFF"/>
        </w:rPr>
        <w:t>询比采购。</w:t>
      </w:r>
    </w:p>
    <w:p>
      <w:pPr>
        <w:pStyle w:val="1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pStyle w:val="5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56"/>
        <w:ind w:left="157" w:leftChars="-15" w:hanging="18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4.2.2专业资质要求(如有请列示):</w:t>
      </w:r>
      <w:r>
        <w:rPr>
          <w:rFonts w:hint="eastAsia" w:ascii="Times New Roman" w:hAnsi="Times New Roman" w:eastAsia="仿宋_GB2312" w:cs="宋体"/>
          <w:sz w:val="32"/>
          <w:szCs w:val="32"/>
          <w:lang w:val="en-US" w:eastAsia="zh-CN"/>
        </w:rPr>
        <w:t>机械设备安装维修</w:t>
      </w:r>
      <w:r>
        <w:rPr>
          <w:rFonts w:hint="eastAsia" w:ascii="仿宋_GB2312" w:hAnsi="仿宋_GB2312" w:eastAsia="仿宋_GB2312" w:cs="仿宋_GB2312"/>
          <w:sz w:val="32"/>
          <w:szCs w:val="32"/>
          <w:lang w:val="en-US" w:eastAsia="zh-CN"/>
        </w:rPr>
        <w:t>业务。</w:t>
      </w:r>
    </w:p>
    <w:p>
      <w:pPr>
        <w:pStyle w:val="5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5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56"/>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6"/>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p>
    <w:p>
      <w:pPr>
        <w:pStyle w:val="1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1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1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1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7"/>
          <w:rFonts w:hint="eastAsia" w:ascii="仿宋_GB2312" w:hAnsi="仿宋_GB2312" w:eastAsia="仿宋_GB2312" w:cs="仿宋_GB2312"/>
          <w:sz w:val="32"/>
          <w:szCs w:val="32"/>
        </w:rPr>
        <w:t>https://eps.cofcosugar.com/</w:t>
      </w:r>
      <w:r>
        <w:rPr>
          <w:rStyle w:val="27"/>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24</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5月28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r>
        <w:rPr>
          <w:rFonts w:hint="eastAsia" w:ascii="仿宋_GB2312" w:hAnsi="仿宋_GB2312" w:eastAsia="仿宋_GB2312" w:cs="仿宋_GB2312"/>
          <w:sz w:val="32"/>
          <w:szCs w:val="32"/>
          <w:lang w:val="en-US" w:eastAsia="zh-CN"/>
        </w:rPr>
        <w:t>投标截止时间为开标时间。</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25027"/>
      <w:bookmarkStart w:id="5" w:name="_Toc27851"/>
      <w:bookmarkStart w:id="6" w:name="_Toc17966"/>
      <w:bookmarkStart w:id="7" w:name="_Toc12326"/>
      <w:bookmarkStart w:id="8" w:name="_Toc32404"/>
      <w:bookmarkStart w:id="9" w:name="_Toc5837"/>
      <w:bookmarkStart w:id="10" w:name="_Toc26629"/>
      <w:bookmarkStart w:id="11" w:name="_Toc13094"/>
      <w:bookmarkStart w:id="12" w:name="_Toc1597"/>
      <w:bookmarkStart w:id="13" w:name="_Toc9870"/>
      <w:bookmarkStart w:id="14" w:name="_Toc30288"/>
      <w:bookmarkStart w:id="15" w:name="_Toc25787"/>
      <w:bookmarkStart w:id="16" w:name="_Toc18249"/>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27"/>
          <w:rFonts w:hint="eastAsia" w:ascii="仿宋_GB2312" w:hAnsi="仿宋_GB2312" w:eastAsia="仿宋_GB2312" w:cs="仿宋_GB2312"/>
          <w:sz w:val="32"/>
          <w:szCs w:val="32"/>
        </w:rPr>
        <w:t>https://eps.cofcosugar.com/</w:t>
      </w:r>
      <w:r>
        <w:rPr>
          <w:rStyle w:val="27"/>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采购方名称：中粮</w:t>
      </w:r>
      <w:r>
        <w:rPr>
          <w:rFonts w:hint="eastAsia" w:ascii="仿宋_GB2312" w:hAnsi="仿宋_GB2312" w:eastAsia="仿宋_GB2312" w:cs="仿宋_GB2312"/>
          <w:color w:val="000000"/>
          <w:sz w:val="32"/>
          <w:szCs w:val="32"/>
          <w:lang w:val="en-US" w:eastAsia="zh-CN"/>
        </w:rPr>
        <w:t>屯河临河番茄制品有限</w:t>
      </w:r>
      <w:r>
        <w:rPr>
          <w:rFonts w:hint="eastAsia" w:ascii="仿宋_GB2312" w:hAnsi="仿宋_GB2312" w:eastAsia="仿宋_GB2312" w:cs="仿宋_GB2312"/>
          <w:sz w:val="32"/>
          <w:szCs w:val="32"/>
        </w:rPr>
        <w:t>公司</w:t>
      </w:r>
    </w:p>
    <w:p>
      <w:pPr>
        <w:spacing w:line="520" w:lineRule="exact"/>
        <w:ind w:left="165" w:hanging="165"/>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采购方地址：</w:t>
      </w:r>
      <w:r>
        <w:rPr>
          <w:rFonts w:hint="eastAsia" w:ascii="仿宋_GB2312" w:hAnsi="仿宋_GB2312" w:eastAsia="仿宋_GB2312" w:cs="仿宋_GB2312"/>
          <w:color w:val="000000"/>
          <w:sz w:val="32"/>
          <w:szCs w:val="32"/>
          <w:lang w:val="en-US" w:eastAsia="zh-CN"/>
        </w:rPr>
        <w:t>临河区乌兰图克镇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李明</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3947381422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vAlign w:val="top"/>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李明</w:t>
            </w:r>
          </w:p>
        </w:tc>
        <w:tc>
          <w:tcPr>
            <w:tcW w:w="4413" w:type="dxa"/>
            <w:vAlign w:val="top"/>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3947381422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郝文洁</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8847808883</w:t>
            </w:r>
          </w:p>
        </w:tc>
      </w:tr>
    </w:tbl>
    <w:p>
      <w:pPr>
        <w:pStyle w:val="13"/>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39"/>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542" w:firstLineChars="150"/>
        <w:rPr>
          <w:rFonts w:ascii="仿宋" w:hAnsi="仿宋" w:eastAsia="仿宋"/>
          <w:b/>
          <w:sz w:val="36"/>
          <w:szCs w:val="36"/>
        </w:rPr>
      </w:pPr>
    </w:p>
    <w:p>
      <w:pPr>
        <w:rPr>
          <w:rFonts w:ascii="仿宋" w:hAnsi="仿宋" w:eastAsia="仿宋"/>
          <w:b/>
          <w:sz w:val="36"/>
          <w:szCs w:val="36"/>
        </w:rPr>
      </w:pPr>
    </w:p>
    <w:p>
      <w:pPr>
        <w:ind w:firstLine="2168" w:firstLineChars="600"/>
        <w:jc w:val="both"/>
        <w:rPr>
          <w:rFonts w:ascii="仿宋" w:hAnsi="仿宋" w:eastAsia="仿宋"/>
          <w:b/>
          <w:sz w:val="36"/>
          <w:szCs w:val="36"/>
        </w:rPr>
      </w:pPr>
      <w:r>
        <w:rPr>
          <w:rFonts w:hint="eastAsia" w:ascii="仿宋" w:hAnsi="仿宋" w:eastAsia="仿宋"/>
          <w:b/>
          <w:sz w:val="36"/>
          <w:szCs w:val="36"/>
        </w:rPr>
        <w:t>第二部分 投标方须知</w:t>
      </w:r>
    </w:p>
    <w:tbl>
      <w:tblPr>
        <w:tblStyle w:val="2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56"/>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56"/>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56"/>
              <w:ind w:left="58" w:right="22" w:hanging="57" w:hangingChars="24"/>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sz w:val="24"/>
                <w:lang w:val="en-US" w:eastAsia="zh-CN"/>
              </w:rPr>
              <w:t>色选平台改造</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56"/>
              <w:ind w:left="142" w:right="22" w:hanging="142"/>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临河番茄公司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56"/>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56"/>
              <w:ind w:left="0" w:right="22" w:firstLine="0" w:firstLineChars="0"/>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val="en-US" w:eastAsia="zh-CN"/>
              </w:rPr>
              <w:t>材料</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人工</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运费</w:t>
            </w:r>
            <w:r>
              <w:rPr>
                <w:rFonts w:hint="eastAsia" w:ascii="仿宋_GB2312" w:hAnsi="仿宋_GB2312" w:eastAsia="仿宋_GB2312" w:cs="仿宋_GB2312"/>
                <w:color w:val="000000"/>
                <w:sz w:val="24"/>
              </w:rPr>
              <w:t>、税费等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可接受不同税率报价，需列明含税价格、不含税价格、税率。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6946" w:type="dxa"/>
            <w:vAlign w:val="center"/>
          </w:tcPr>
          <w:p>
            <w:pPr>
              <w:pStyle w:val="56"/>
              <w:ind w:right="22" w:firstLineChars="0"/>
              <w:rPr>
                <w:rFonts w:ascii="仿宋_GB2312" w:hAnsi="仿宋_GB2312" w:eastAsia="仿宋_GB2312" w:cs="仿宋_GB2312"/>
                <w:sz w:val="24"/>
              </w:rPr>
            </w:pPr>
            <w:r>
              <w:rPr>
                <w:rFonts w:hint="eastAsia" w:ascii="仿宋_GB2312" w:hAnsi="仿宋_GB2312" w:eastAsia="仿宋_GB2312" w:cs="仿宋_GB2312"/>
                <w:sz w:val="24"/>
                <w:lang w:val="en-US" w:eastAsia="zh-CN"/>
              </w:rPr>
              <w:t>以合同约定工期内容为准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13"/>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13"/>
              <w:adjustRightInd w:val="0"/>
              <w:snapToGrid w:val="0"/>
              <w:spacing w:before="156" w:beforeLines="50"/>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0000"/>
                <w:sz w:val="24"/>
                <w:szCs w:val="24"/>
                <w:u w:val="single"/>
                <w:lang w:val="en-US" w:eastAsia="zh-CN"/>
              </w:rPr>
              <w:t>系统报价需上传盖章签字扫描件附件一、三、四、五、六</w:t>
            </w:r>
            <w:r>
              <w:rPr>
                <w:rFonts w:hint="eastAsia" w:ascii="仿宋_GB2312" w:hAnsi="仿宋_GB2312" w:eastAsia="仿宋_GB2312" w:cs="仿宋_GB2312"/>
                <w:color w:val="FF0000"/>
                <w:sz w:val="24"/>
                <w:szCs w:val="24"/>
                <w:u w:val="single"/>
              </w:rPr>
              <w:t xml:space="preserve">                </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6"/>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lang w:val="en-US" w:eastAsia="zh-CN"/>
              </w:rPr>
              <w:t>具有机械设备安装维修业务。</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无</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56"/>
              <w:ind w:left="-124" w:leftChars="-59"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4"/>
              </w:rPr>
              <w:t>10</w:t>
            </w:r>
          </w:p>
        </w:tc>
        <w:tc>
          <w:tcPr>
            <w:tcW w:w="1702" w:type="dxa"/>
            <w:vAlign w:val="center"/>
          </w:tcPr>
          <w:p>
            <w:pPr>
              <w:pStyle w:val="56"/>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6946" w:type="dxa"/>
            <w:vAlign w:val="center"/>
          </w:tcPr>
          <w:p>
            <w:pPr>
              <w:pStyle w:val="56"/>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pStyle w:val="56"/>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widowControl/>
              <w:shd w:val="clear" w:color="auto" w:fill="FFFFFF"/>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双方签订合同后，主要材料机械进厂验收合格后，当工程全部完成通过我公司验收后，开具全额**%的增值税专用发票后，支付合同款的60%；生产期运行无质量问题，综合验收后，年末前支付至90%，剩余10%的工程保证金满一年后无重大质量问题验收后，于生产期前付清。支付方式为电汇方式为人民币结算，100%电汇。</w:t>
            </w:r>
          </w:p>
          <w:p>
            <w:pPr>
              <w:widowControl/>
              <w:shd w:val="clear" w:color="auto" w:fill="FFFFFF"/>
              <w:jc w:val="left"/>
              <w:rPr>
                <w:rFonts w:ascii="仿宋_GB2312" w:hAnsi="仿宋_GB2312" w:eastAsia="仿宋_GB2312" w:cs="仿宋_GB2312"/>
                <w:bCs/>
                <w:color w:val="FF0000"/>
                <w:sz w:val="24"/>
                <w:highlight w:val="yellow"/>
              </w:rPr>
            </w:pPr>
            <w:r>
              <w:rPr>
                <w:rFonts w:hint="eastAsia" w:ascii="仿宋_GB2312" w:hAnsi="仿宋_GB2312" w:eastAsia="仿宋_GB2312" w:cs="仿宋_GB2312"/>
                <w:sz w:val="24"/>
                <w:lang w:val="en-US" w:eastAsia="zh-CN"/>
              </w:rPr>
              <w:t>（开票期间如遇国家税率调整，以合同中不含税价格为基数乘以国家调整税率为开票金额）,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56"/>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56"/>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6946" w:type="dxa"/>
            <w:vAlign w:val="center"/>
          </w:tcPr>
          <w:p>
            <w:pPr>
              <w:pStyle w:val="56"/>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kern w:val="2"/>
                <w:sz w:val="24"/>
                <w:szCs w:val="24"/>
                <w:lang w:val="en-US" w:eastAsia="zh-CN" w:bidi="ar-SA"/>
              </w:rPr>
              <w:sym w:font="Wingdings" w:char="00FE"/>
            </w:r>
            <w:r>
              <w:rPr>
                <w:rFonts w:hint="eastAsia" w:ascii="仿宋_GB2312" w:hAnsi="仿宋_GB2312" w:eastAsia="仿宋_GB2312" w:cs="仿宋_GB2312"/>
                <w:kern w:val="2"/>
                <w:sz w:val="24"/>
                <w:szCs w:val="24"/>
                <w:lang w:val="en-US" w:eastAsia="zh-CN" w:bidi="ar-SA"/>
              </w:rPr>
              <w:t>采购方不集中组织投标方进行现场踏勘。投标方如有疑问自行进行现场踏勘，未进行现场踏勘取消投标资格。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56"/>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56"/>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kern w:val="0"/>
                <w:sz w:val="24"/>
                <w:lang w:val="zh-CN"/>
              </w:rPr>
              <w:t>多轮报价</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56"/>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56"/>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报价文件递交截止时间：202</w:t>
            </w:r>
            <w:r>
              <w:rPr>
                <w:rFonts w:hint="eastAsia" w:ascii="仿宋_GB2312" w:hAnsi="仿宋_GB2312" w:eastAsia="仿宋_GB2312" w:cs="仿宋_GB2312"/>
                <w:color w:val="000000" w:themeColor="text1"/>
                <w:sz w:val="24"/>
                <w:lang w:val="en-US" w:eastAsia="zh-CN"/>
              </w:rPr>
              <w:t>4</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lang w:val="en-US" w:eastAsia="zh-CN"/>
              </w:rPr>
              <w:t>5</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lang w:val="en-US" w:eastAsia="zh-CN"/>
              </w:rPr>
              <w:t>28</w:t>
            </w:r>
            <w:r>
              <w:rPr>
                <w:rFonts w:hint="eastAsia" w:ascii="仿宋_GB2312" w:hAnsi="仿宋_GB2312" w:eastAsia="仿宋_GB2312" w:cs="仿宋_GB2312"/>
                <w:color w:val="000000" w:themeColor="text1"/>
                <w:sz w:val="24"/>
              </w:rPr>
              <w:t>日</w:t>
            </w:r>
            <w:r>
              <w:rPr>
                <w:rFonts w:hint="eastAsia" w:ascii="仿宋_GB2312" w:hAnsi="仿宋_GB2312" w:eastAsia="仿宋_GB2312" w:cs="仿宋_GB2312"/>
                <w:color w:val="000000" w:themeColor="text1"/>
                <w:sz w:val="24"/>
                <w:lang w:val="en-US" w:eastAsia="zh-CN"/>
              </w:rPr>
              <w:t>18</w:t>
            </w:r>
            <w:r>
              <w:rPr>
                <w:rFonts w:hint="eastAsia" w:ascii="仿宋_GB2312" w:hAnsi="仿宋_GB2312" w:eastAsia="仿宋_GB2312" w:cs="仿宋_GB2312"/>
                <w:color w:val="000000" w:themeColor="text1"/>
                <w:sz w:val="24"/>
              </w:rPr>
              <w:t>:</w:t>
            </w:r>
            <w:r>
              <w:rPr>
                <w:rFonts w:hint="eastAsia" w:ascii="仿宋_GB2312" w:hAnsi="仿宋_GB2312" w:eastAsia="仿宋_GB2312" w:cs="仿宋_GB2312"/>
                <w:color w:val="000000" w:themeColor="text1"/>
                <w:sz w:val="24"/>
                <w:lang w:val="en-US" w:eastAsia="zh-CN"/>
              </w:rPr>
              <w:t>00</w:t>
            </w:r>
            <w:r>
              <w:rPr>
                <w:rFonts w:hint="eastAsia" w:ascii="仿宋_GB2312" w:hAnsi="仿宋_GB2312" w:eastAsia="仿宋_GB2312" w:cs="仿宋_GB2312"/>
                <w:color w:val="000000" w:themeColor="text1"/>
                <w:sz w:val="24"/>
              </w:rPr>
              <w:t>之前</w:t>
            </w:r>
          </w:p>
          <w:p>
            <w:pPr>
              <w:pStyle w:val="56"/>
              <w:ind w:left="0" w:right="22" w:firstLine="0" w:firstLineChars="0"/>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rPr>
              <w:t>投标文件</w:t>
            </w:r>
            <w:r>
              <w:rPr>
                <w:rFonts w:hint="eastAsia" w:ascii="仿宋_GB2312" w:hAnsi="仿宋_GB2312" w:eastAsia="仿宋_GB2312" w:cs="仿宋_GB2312"/>
                <w:color w:val="000000" w:themeColor="text1"/>
                <w:sz w:val="24"/>
                <w:lang w:val="en-US" w:eastAsia="zh-CN"/>
              </w:rPr>
              <w:t>上传要求：根据此采购项目的投标文件要求，上传盖章版扫描文件。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5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56"/>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根据不含税</w:t>
            </w:r>
            <w:r>
              <w:rPr>
                <w:rFonts w:hint="eastAsia" w:ascii="仿宋_GB2312" w:hAnsi="仿宋_GB2312" w:eastAsia="仿宋_GB2312" w:cs="仿宋_GB2312"/>
                <w:color w:val="000000" w:themeColor="text1"/>
                <w:sz w:val="24"/>
                <w:lang w:val="en-US" w:eastAsia="zh-CN"/>
              </w:rPr>
              <w:t>总价确定最终中标方，中标方唯一。</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FF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6"/>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702" w:type="dxa"/>
            <w:vAlign w:val="center"/>
          </w:tcPr>
          <w:p>
            <w:pPr>
              <w:pStyle w:val="56"/>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6946" w:type="dxa"/>
            <w:vAlign w:val="center"/>
          </w:tcPr>
          <w:p>
            <w:pPr>
              <w:pStyle w:val="56"/>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国家标准：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有</w:t>
            </w:r>
            <w:r>
              <w:rPr>
                <w:rFonts w:hint="eastAsia" w:ascii="仿宋_GB2312" w:hAnsi="仿宋_GB2312" w:eastAsia="仿宋_GB2312" w:cs="仿宋_GB2312"/>
                <w:color w:val="000000" w:themeColor="text1"/>
                <w:sz w:val="24"/>
                <w:u w:val="single"/>
              </w:rPr>
              <w:t xml:space="preserve">     </w:t>
            </w:r>
          </w:p>
          <w:p>
            <w:pPr>
              <w:widowControl/>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行业标准：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kern w:val="2"/>
                <w:sz w:val="24"/>
                <w:szCs w:val="24"/>
                <w:u w:val="single"/>
                <w:lang w:val="en-US" w:eastAsia="zh-CN" w:bidi="ar-SA"/>
              </w:rPr>
              <w:t>符合国家标准、行业标准、采购人需求。</w:t>
            </w:r>
            <w:r>
              <w:rPr>
                <w:rFonts w:hint="eastAsia" w:ascii="仿宋_GB2312" w:hAnsi="仿宋_GB2312" w:eastAsia="仿宋_GB2312" w:cs="仿宋_GB2312"/>
                <w:color w:val="000000" w:themeColor="text1"/>
                <w:sz w:val="24"/>
              </w:rPr>
              <w:t xml:space="preserve">         </w:t>
            </w:r>
          </w:p>
          <w:p>
            <w:pPr>
              <w:pStyle w:val="56"/>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质量合格证明性文件：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无</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6"/>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其他质量标准：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无</w:t>
            </w:r>
            <w:r>
              <w:rPr>
                <w:rFonts w:hint="eastAsia" w:ascii="仿宋_GB2312" w:hAnsi="仿宋_GB2312" w:eastAsia="仿宋_GB2312" w:cs="仿宋_GB2312"/>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6"/>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702" w:type="dxa"/>
            <w:vAlign w:val="center"/>
          </w:tcPr>
          <w:p>
            <w:pPr>
              <w:pStyle w:val="56"/>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6946" w:type="dxa"/>
            <w:vAlign w:val="center"/>
          </w:tcPr>
          <w:p>
            <w:pPr>
              <w:pStyle w:val="56"/>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过程验收：</w:t>
            </w:r>
          </w:p>
          <w:p>
            <w:pPr>
              <w:pStyle w:val="56"/>
              <w:keepLines w:val="0"/>
              <w:pageBreakBefore w:val="0"/>
              <w:widowControl w:val="0"/>
              <w:numPr>
                <w:ilvl w:val="0"/>
                <w:numId w:val="0"/>
              </w:numPr>
              <w:kinsoku/>
              <w:wordWrap/>
              <w:overflowPunct/>
              <w:topLinePunct w:val="0"/>
              <w:autoSpaceDE/>
              <w:autoSpaceDN/>
              <w:bidi w:val="0"/>
              <w:adjustRightInd/>
              <w:snapToGrid/>
              <w:spacing w:line="400" w:lineRule="exact"/>
              <w:ind w:right="23" w:rightChars="0"/>
              <w:textAlignment w:val="auto"/>
              <w:rPr>
                <w:rFonts w:hint="eastAsia" w:ascii="方正仿宋_GB2312" w:hAnsi="方正仿宋_GB2312" w:eastAsia="方正仿宋_GB2312" w:cs="方正仿宋_GB2312"/>
                <w:sz w:val="28"/>
                <w:szCs w:val="28"/>
                <w:lang w:val="en-US" w:eastAsia="zh-CN"/>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auto"/>
                <w:kern w:val="2"/>
                <w:sz w:val="24"/>
                <w:szCs w:val="24"/>
                <w:highlight w:val="none"/>
                <w:lang w:val="en-US" w:eastAsia="zh-CN" w:bidi="ar-SA"/>
              </w:rPr>
              <w:t>到货/完工验收：材料到厂，采购方对材料外观、质量、数量进行静态验收，验收异议在5个工作日内提出有效。生产期所做的维修项目运行正常，无质量问题。年末在设备解体后再进行最终验收，无质量问题。</w:t>
            </w:r>
          </w:p>
          <w:p>
            <w:pPr>
              <w:pStyle w:val="56"/>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其他验收：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具体阶段验收内容，按所签订合同内容要求执行</w:t>
            </w:r>
            <w:r>
              <w:rPr>
                <w:rFonts w:hint="eastAsia" w:ascii="仿宋_GB2312" w:hAnsi="仿宋_GB2312" w:eastAsia="仿宋_GB2312" w:cs="仿宋_GB2312"/>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6"/>
              <w:ind w:left="142" w:right="22" w:hanging="142"/>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7</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auto"/>
                <w:sz w:val="24"/>
                <w:highlight w:val="none"/>
                <w:lang w:val="en-US" w:eastAsia="zh-CN"/>
              </w:rPr>
              <w:t>此采购文件中所列仅指合同模板，此次招标业务中所涉及的实质性内容，如采购明细、付款方式不改变的前提下，其他内容根据实际签订合同的内容为准。</w:t>
            </w:r>
          </w:p>
        </w:tc>
      </w:tr>
    </w:tbl>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13"/>
        <w:adjustRightInd w:val="0"/>
        <w:snapToGrid w:val="0"/>
        <w:spacing w:line="52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一、项目内容：</w:t>
      </w:r>
    </w:p>
    <w:p>
      <w:pPr>
        <w:autoSpaceDE w:val="0"/>
        <w:autoSpaceDN w:val="0"/>
        <w:adjustRightInd w:val="0"/>
        <w:snapToGrid w:val="0"/>
        <w:spacing w:line="520" w:lineRule="exact"/>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对现有色选平台进行扩大改造，加装一台色选仪及配套设施包含现有色选皮带机底部接水槽3个、色选仪分料槽1个、分水篦子3个、接水槽1个重新制作安装，更换现有废果皮带机，安装新购红果皮带机；封堵高教流送槽出水口3处；浮洗槽冲料水管路DN150及配套蝶阀安装等相关设施（加装提升机、皮带机等设施）。</w:t>
      </w:r>
    </w:p>
    <w:p>
      <w:pPr>
        <w:pStyle w:val="13"/>
        <w:adjustRightInd w:val="0"/>
        <w:snapToGrid w:val="0"/>
        <w:spacing w:line="52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项目质量标准：</w:t>
      </w:r>
    </w:p>
    <w:p>
      <w:pPr>
        <w:pStyle w:val="56"/>
        <w:keepLines w:val="0"/>
        <w:pageBreakBefore w:val="0"/>
        <w:widowControl w:val="0"/>
        <w:numPr>
          <w:ilvl w:val="0"/>
          <w:numId w:val="0"/>
        </w:numPr>
        <w:kinsoku/>
        <w:wordWrap/>
        <w:overflowPunct/>
        <w:topLinePunct w:val="0"/>
        <w:autoSpaceDE/>
        <w:autoSpaceDN/>
        <w:bidi w:val="0"/>
        <w:adjustRightInd/>
        <w:snapToGrid/>
        <w:spacing w:line="400" w:lineRule="exact"/>
        <w:ind w:right="23" w:rightChars="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val="0"/>
          <w:bCs w:val="0"/>
          <w:kern w:val="2"/>
          <w:sz w:val="28"/>
          <w:szCs w:val="28"/>
          <w:lang w:val="en-US" w:eastAsia="zh-CN" w:bidi="ar-SA"/>
        </w:rPr>
        <w:t>达到国家标准GB50231-2009《机械设备安装工程施工及验收通用规范》要求，符合甲方的使用要求。</w:t>
      </w:r>
    </w:p>
    <w:p>
      <w:pPr>
        <w:pStyle w:val="13"/>
        <w:adjustRightInd w:val="0"/>
        <w:snapToGrid w:val="0"/>
        <w:spacing w:line="52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质量要求：符合国家标准、行业标准。</w:t>
      </w:r>
    </w:p>
    <w:p>
      <w:pPr>
        <w:pStyle w:val="13"/>
        <w:adjustRightInd w:val="0"/>
        <w:snapToGrid w:val="0"/>
        <w:spacing w:line="520" w:lineRule="exact"/>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三、验收方式：</w:t>
      </w:r>
    </w:p>
    <w:p>
      <w:pPr>
        <w:pStyle w:val="56"/>
        <w:keepLines w:val="0"/>
        <w:pageBreakBefore w:val="0"/>
        <w:widowControl w:val="0"/>
        <w:numPr>
          <w:ilvl w:val="0"/>
          <w:numId w:val="0"/>
        </w:numPr>
        <w:kinsoku/>
        <w:wordWrap/>
        <w:overflowPunct/>
        <w:topLinePunct w:val="0"/>
        <w:autoSpaceDE/>
        <w:autoSpaceDN/>
        <w:bidi w:val="0"/>
        <w:adjustRightInd/>
        <w:snapToGrid/>
        <w:spacing w:line="400" w:lineRule="exact"/>
        <w:ind w:right="23" w:righ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材料到厂，采购方对材料外观、质量、数量进行静态验收，验收异议在5个工作日内提出有效。生产期所做的维修项目运行正常，无质量问题。年末在设备解体后再进行最终验收，无质量问题。</w:t>
      </w:r>
    </w:p>
    <w:p>
      <w:pPr>
        <w:rPr>
          <w:rFonts w:hint="eastAsia" w:ascii="仿宋" w:hAnsi="仿宋" w:eastAsia="仿宋" w:cs="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hint="eastAsia" w:ascii="仿宋" w:hAnsi="仿宋" w:eastAsia="仿宋"/>
          <w:b/>
          <w:sz w:val="36"/>
          <w:szCs w:val="36"/>
        </w:rPr>
      </w:pPr>
    </w:p>
    <w:p>
      <w:pPr>
        <w:numPr>
          <w:ilvl w:val="0"/>
          <w:numId w:val="1"/>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snapToGrid/>
        <w:spacing w:before="0" w:beforeAutospacing="0" w:after="0" w:afterAutospacing="0" w:line="500" w:lineRule="exact"/>
        <w:ind w:firstLine="221" w:firstLineChars="50"/>
        <w:jc w:val="center"/>
        <w:textAlignment w:val="baseline"/>
        <w:rPr>
          <w:rStyle w:val="61"/>
          <w:rFonts w:ascii="宋体" w:hAnsi="宋体" w:eastAsia="宋体"/>
          <w:b/>
          <w:bCs/>
          <w:i w:val="0"/>
          <w:caps w:val="0"/>
          <w:spacing w:val="0"/>
          <w:w w:val="100"/>
          <w:kern w:val="2"/>
          <w:sz w:val="44"/>
          <w:szCs w:val="44"/>
          <w:lang w:val="en-US" w:eastAsia="zh-CN" w:bidi="ar-SA"/>
        </w:rPr>
      </w:pPr>
      <w:r>
        <w:rPr>
          <w:rStyle w:val="61"/>
          <w:rFonts w:hint="eastAsia" w:ascii="宋体" w:hAnsi="宋体" w:eastAsia="宋体"/>
          <w:b/>
          <w:bCs/>
          <w:i w:val="0"/>
          <w:caps w:val="0"/>
          <w:spacing w:val="0"/>
          <w:w w:val="100"/>
          <w:kern w:val="2"/>
          <w:sz w:val="44"/>
          <w:szCs w:val="44"/>
          <w:lang w:val="en-US" w:eastAsia="zh-CN" w:bidi="ar-SA"/>
        </w:rPr>
        <w:t>色选平台改造</w:t>
      </w:r>
      <w:r>
        <w:rPr>
          <w:rStyle w:val="61"/>
          <w:rFonts w:hint="eastAsia" w:ascii="宋体" w:hAnsi="宋体"/>
          <w:b/>
          <w:bCs/>
          <w:i w:val="0"/>
          <w:caps w:val="0"/>
          <w:spacing w:val="0"/>
          <w:w w:val="100"/>
          <w:kern w:val="2"/>
          <w:sz w:val="44"/>
          <w:szCs w:val="44"/>
          <w:lang w:val="en-US" w:eastAsia="zh-CN" w:bidi="ar-SA"/>
        </w:rPr>
        <w:t>采购</w:t>
      </w:r>
      <w:r>
        <w:rPr>
          <w:rStyle w:val="61"/>
          <w:rFonts w:ascii="宋体" w:hAnsi="宋体" w:eastAsia="宋体"/>
          <w:b/>
          <w:bCs/>
          <w:i w:val="0"/>
          <w:caps w:val="0"/>
          <w:spacing w:val="0"/>
          <w:w w:val="100"/>
          <w:kern w:val="2"/>
          <w:sz w:val="44"/>
          <w:szCs w:val="44"/>
          <w:lang w:val="en-US" w:eastAsia="zh-CN" w:bidi="ar-SA"/>
        </w:rPr>
        <w:t>合同</w:t>
      </w:r>
    </w:p>
    <w:p>
      <w:pPr>
        <w:widowControl/>
        <w:snapToGrid/>
        <w:spacing w:before="0" w:beforeAutospacing="0" w:after="0" w:afterAutospacing="0" w:line="460" w:lineRule="exact"/>
        <w:jc w:val="left"/>
        <w:textAlignment w:val="baseline"/>
        <w:rPr>
          <w:rStyle w:val="61"/>
          <w:rFonts w:ascii="宋体" w:hAnsi="宋体" w:eastAsia="宋体" w:cs="宋体"/>
          <w:b w:val="0"/>
          <w:bCs/>
          <w:i w:val="0"/>
          <w:caps w:val="0"/>
          <w:spacing w:val="0"/>
          <w:w w:val="100"/>
          <w:kern w:val="2"/>
          <w:sz w:val="24"/>
          <w:szCs w:val="24"/>
          <w:lang w:val="en-US" w:eastAsia="zh-CN" w:bidi="ar-SA"/>
        </w:rPr>
      </w:pPr>
    </w:p>
    <w:p>
      <w:pPr>
        <w:widowControl/>
        <w:snapToGrid/>
        <w:spacing w:before="0" w:beforeAutospacing="0" w:after="0" w:afterAutospacing="0" w:line="460" w:lineRule="exact"/>
        <w:jc w:val="left"/>
        <w:textAlignment w:val="baseline"/>
        <w:rPr>
          <w:rStyle w:val="61"/>
          <w:rFonts w:hint="default" w:ascii="宋体" w:hAnsi="宋体" w:eastAsia="宋体"/>
          <w:b w:val="0"/>
          <w:i w:val="0"/>
          <w:caps w:val="0"/>
          <w:color w:val="00000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甲方：</w:t>
      </w:r>
      <w:r>
        <w:rPr>
          <w:rStyle w:val="61"/>
          <w:rFonts w:ascii="宋体" w:hAnsi="宋体" w:eastAsia="宋体"/>
          <w:b w:val="0"/>
          <w:i w:val="0"/>
          <w:caps w:val="0"/>
          <w:color w:val="000000"/>
          <w:spacing w:val="0"/>
          <w:w w:val="100"/>
          <w:kern w:val="2"/>
          <w:sz w:val="24"/>
          <w:szCs w:val="24"/>
          <w:lang w:val="en-US" w:eastAsia="zh-CN" w:bidi="ar-SA"/>
        </w:rPr>
        <w:t xml:space="preserve">中粮屯河临河番茄制品有限公司     </w:t>
      </w:r>
      <w:r>
        <w:rPr>
          <w:rStyle w:val="61"/>
          <w:rFonts w:hint="eastAsia" w:ascii="宋体" w:hAnsi="宋体"/>
          <w:b w:val="0"/>
          <w:i w:val="0"/>
          <w:caps w:val="0"/>
          <w:color w:val="000000"/>
          <w:spacing w:val="0"/>
          <w:w w:val="100"/>
          <w:kern w:val="2"/>
          <w:sz w:val="24"/>
          <w:szCs w:val="24"/>
          <w:lang w:val="en-US" w:eastAsia="zh-CN" w:bidi="ar-SA"/>
        </w:rPr>
        <w:t xml:space="preserve"> </w:t>
      </w:r>
      <w:r>
        <w:rPr>
          <w:rStyle w:val="61"/>
          <w:rFonts w:ascii="宋体" w:hAnsi="宋体" w:eastAsia="宋体"/>
          <w:b w:val="0"/>
          <w:i w:val="0"/>
          <w:caps w:val="0"/>
          <w:color w:val="000000"/>
          <w:spacing w:val="0"/>
          <w:w w:val="100"/>
          <w:kern w:val="2"/>
          <w:sz w:val="24"/>
          <w:szCs w:val="24"/>
          <w:lang w:val="en-US" w:eastAsia="zh-CN" w:bidi="ar-SA"/>
        </w:rPr>
        <w:t xml:space="preserve"> 合同编</w:t>
      </w:r>
      <w:r>
        <w:rPr>
          <w:rStyle w:val="61"/>
          <w:rFonts w:hint="eastAsia" w:ascii="宋体" w:hAnsi="宋体"/>
          <w:b w:val="0"/>
          <w:i w:val="0"/>
          <w:caps w:val="0"/>
          <w:color w:val="000000"/>
          <w:spacing w:val="0"/>
          <w:w w:val="100"/>
          <w:kern w:val="2"/>
          <w:sz w:val="24"/>
          <w:szCs w:val="24"/>
          <w:lang w:val="en-US" w:eastAsia="zh-CN" w:bidi="ar-SA"/>
        </w:rPr>
        <w:t>号</w:t>
      </w:r>
      <w:r>
        <w:rPr>
          <w:rFonts w:ascii="宋体" w:hAnsi="宋体" w:eastAsia="宋体" w:cs="宋体"/>
          <w:sz w:val="24"/>
          <w:szCs w:val="24"/>
        </w:rPr>
        <w:t>F40-</w:t>
      </w:r>
      <w:r>
        <w:rPr>
          <w:rFonts w:hint="eastAsia" w:ascii="宋体" w:hAnsi="宋体" w:cs="宋体"/>
          <w:sz w:val="24"/>
          <w:szCs w:val="24"/>
          <w:lang w:val="en-US" w:eastAsia="zh-CN"/>
        </w:rPr>
        <w:t>IV</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2024-</w:t>
      </w:r>
    </w:p>
    <w:p>
      <w:pPr>
        <w:snapToGrid/>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乙方：</w:t>
      </w:r>
      <w:r>
        <w:rPr>
          <w:rStyle w:val="61"/>
          <w:rFonts w:hint="eastAsia" w:ascii="宋体" w:hAnsi="宋体" w:eastAsia="宋体"/>
          <w:b w:val="0"/>
          <w:i w:val="0"/>
          <w:caps w:val="0"/>
          <w:spacing w:val="0"/>
          <w:w w:val="100"/>
          <w:kern w:val="2"/>
          <w:sz w:val="24"/>
          <w:szCs w:val="24"/>
          <w:lang w:val="en-US" w:eastAsia="zh-CN" w:bidi="ar-SA"/>
        </w:rPr>
        <w:t xml:space="preserve">                             </w:t>
      </w:r>
      <w:r>
        <w:rPr>
          <w:rStyle w:val="61"/>
          <w:rFonts w:ascii="宋体" w:hAnsi="宋体" w:eastAsia="宋体"/>
          <w:b w:val="0"/>
          <w:i w:val="0"/>
          <w:caps w:val="0"/>
          <w:spacing w:val="0"/>
          <w:w w:val="100"/>
          <w:kern w:val="2"/>
          <w:sz w:val="24"/>
          <w:szCs w:val="24"/>
          <w:lang w:val="en-US" w:eastAsia="zh-CN" w:bidi="ar-SA"/>
        </w:rPr>
        <w:t xml:space="preserve">  </w:t>
      </w:r>
      <w:r>
        <w:rPr>
          <w:rStyle w:val="61"/>
          <w:rFonts w:hint="eastAsia" w:ascii="宋体" w:hAnsi="宋体"/>
          <w:b w:val="0"/>
          <w:i w:val="0"/>
          <w:caps w:val="0"/>
          <w:spacing w:val="0"/>
          <w:w w:val="100"/>
          <w:kern w:val="2"/>
          <w:sz w:val="24"/>
          <w:szCs w:val="24"/>
          <w:lang w:val="en-US" w:eastAsia="zh-CN" w:bidi="ar-SA"/>
        </w:rPr>
        <w:t xml:space="preserve">  </w:t>
      </w:r>
      <w:r>
        <w:rPr>
          <w:rStyle w:val="61"/>
          <w:rFonts w:ascii="宋体" w:hAnsi="宋体" w:eastAsia="宋体"/>
          <w:b w:val="0"/>
          <w:i w:val="0"/>
          <w:caps w:val="0"/>
          <w:spacing w:val="0"/>
          <w:w w:val="100"/>
          <w:kern w:val="2"/>
          <w:sz w:val="24"/>
          <w:szCs w:val="24"/>
          <w:lang w:val="en-US" w:eastAsia="zh-CN" w:bidi="ar-SA"/>
        </w:rPr>
        <w:t xml:space="preserve">  签订地点：乌兰图克镇  </w:t>
      </w:r>
    </w:p>
    <w:p>
      <w:pPr>
        <w:snapToGrid/>
        <w:spacing w:before="0" w:beforeAutospacing="0" w:after="0" w:afterAutospacing="0" w:line="460" w:lineRule="exact"/>
        <w:ind w:left="1650" w:hanging="1540"/>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 xml:space="preserve">                                        签订时间：            </w:t>
      </w:r>
    </w:p>
    <w:p>
      <w:pPr>
        <w:snapToGrid/>
        <w:spacing w:before="0" w:beforeAutospacing="0" w:after="0" w:afterAutospacing="0" w:line="360" w:lineRule="auto"/>
        <w:ind w:firstLine="480" w:firstLineChars="200"/>
        <w:jc w:val="both"/>
        <w:textAlignment w:val="baseline"/>
        <w:rPr>
          <w:rStyle w:val="61"/>
          <w:rFonts w:ascii="Arial" w:hAnsi="Arial"/>
          <w:b w:val="0"/>
          <w:i w:val="0"/>
          <w:caps w:val="0"/>
          <w:spacing w:val="0"/>
          <w:w w:val="100"/>
          <w:kern w:val="2"/>
          <w:sz w:val="24"/>
          <w:szCs w:val="24"/>
          <w:lang w:val="en-US" w:eastAsia="zh-CN" w:bidi="ar-SA"/>
        </w:rPr>
      </w:pPr>
      <w:r>
        <w:rPr>
          <w:rStyle w:val="61"/>
          <w:rFonts w:ascii="Arial" w:hAnsi="宋体"/>
          <w:b w:val="0"/>
          <w:i w:val="0"/>
          <w:caps w:val="0"/>
          <w:spacing w:val="0"/>
          <w:w w:val="100"/>
          <w:kern w:val="2"/>
          <w:sz w:val="24"/>
          <w:szCs w:val="24"/>
          <w:lang w:val="en-US" w:eastAsia="zh-CN" w:bidi="ar-SA"/>
        </w:rPr>
        <w:t>甲、乙双方根据《中华人民共和国民法典》等有关法律规定，在平等、自愿的基础上，经充分协商就</w:t>
      </w:r>
      <w:r>
        <w:rPr>
          <w:rStyle w:val="61"/>
          <w:rFonts w:hint="eastAsia" w:ascii="Arial" w:hAnsi="宋体"/>
          <w:b w:val="0"/>
          <w:i w:val="0"/>
          <w:caps w:val="0"/>
          <w:spacing w:val="0"/>
          <w:w w:val="100"/>
          <w:kern w:val="2"/>
          <w:sz w:val="24"/>
          <w:szCs w:val="24"/>
          <w:lang w:val="en-US" w:eastAsia="zh-CN" w:bidi="ar-SA"/>
        </w:rPr>
        <w:t>色选平台改造采购</w:t>
      </w:r>
      <w:r>
        <w:rPr>
          <w:rStyle w:val="61"/>
          <w:rFonts w:ascii="Arial" w:hAnsi="宋体"/>
          <w:b w:val="0"/>
          <w:i w:val="0"/>
          <w:caps w:val="0"/>
          <w:spacing w:val="0"/>
          <w:w w:val="100"/>
          <w:kern w:val="2"/>
          <w:sz w:val="24"/>
          <w:szCs w:val="24"/>
          <w:lang w:val="en-US" w:eastAsia="zh-CN" w:bidi="ar-SA"/>
        </w:rPr>
        <w:t>工作签订以下合同条款：</w:t>
      </w:r>
    </w:p>
    <w:p>
      <w:pPr>
        <w:pStyle w:val="39"/>
        <w:spacing w:line="500" w:lineRule="exact"/>
        <w:ind w:firstLine="0" w:firstLineChars="0"/>
        <w:rPr>
          <w:rFonts w:ascii="仿宋_GB2312" w:hAnsi="仿宋" w:eastAsia="仿宋_GB2312"/>
          <w:b/>
          <w:sz w:val="28"/>
          <w:szCs w:val="28"/>
        </w:rPr>
      </w:pPr>
      <w:r>
        <w:rPr>
          <w:rFonts w:hint="eastAsia" w:ascii="宋体" w:hAnsi="宋体"/>
          <w:b/>
          <w:bCs/>
          <w:sz w:val="24"/>
          <w:lang w:val="en-US" w:eastAsia="zh-CN"/>
        </w:rPr>
        <w:t>第一条</w:t>
      </w:r>
      <w:r>
        <w:rPr>
          <w:rFonts w:hint="eastAsia" w:ascii="宋体" w:hAnsi="宋体"/>
          <w:b/>
          <w:bCs/>
          <w:sz w:val="24"/>
        </w:rPr>
        <w:t>、项目清单、单位、数量、单价及总价</w:t>
      </w:r>
    </w:p>
    <w:tbl>
      <w:tblPr>
        <w:tblStyle w:val="23"/>
        <w:tblW w:w="10494" w:type="dxa"/>
        <w:tblInd w:w="-176" w:type="dxa"/>
        <w:tblLayout w:type="fixed"/>
        <w:tblCellMar>
          <w:top w:w="0" w:type="dxa"/>
          <w:left w:w="108" w:type="dxa"/>
          <w:bottom w:w="0" w:type="dxa"/>
          <w:right w:w="108" w:type="dxa"/>
        </w:tblCellMar>
      </w:tblPr>
      <w:tblGrid>
        <w:gridCol w:w="710"/>
        <w:gridCol w:w="1241"/>
        <w:gridCol w:w="848"/>
        <w:gridCol w:w="836"/>
        <w:gridCol w:w="781"/>
        <w:gridCol w:w="1255"/>
        <w:gridCol w:w="817"/>
        <w:gridCol w:w="1536"/>
        <w:gridCol w:w="1051"/>
        <w:gridCol w:w="1419"/>
      </w:tblGrid>
      <w:tr>
        <w:tblPrEx>
          <w:tblCellMar>
            <w:top w:w="0" w:type="dxa"/>
            <w:left w:w="108" w:type="dxa"/>
            <w:bottom w:w="0" w:type="dxa"/>
            <w:right w:w="108" w:type="dxa"/>
          </w:tblCellMar>
        </w:tblPrEx>
        <w:trPr>
          <w:trHeight w:val="330" w:hRule="atLeast"/>
        </w:trPr>
        <w:tc>
          <w:tcPr>
            <w:tcW w:w="10494" w:type="dxa"/>
            <w:gridSpan w:val="10"/>
            <w:tcBorders>
              <w:top w:val="single" w:color="auto" w:sz="8" w:space="0"/>
              <w:left w:val="single" w:color="auto" w:sz="8" w:space="0"/>
              <w:bottom w:val="single" w:color="auto" w:sz="8" w:space="0"/>
              <w:right w:val="single" w:color="000000" w:sz="8" w:space="0"/>
            </w:tcBorders>
            <w:shd w:val="clear" w:color="000000" w:fill="FFFFFF"/>
            <w:noWrap/>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维修清单及总价</w:t>
            </w:r>
          </w:p>
        </w:tc>
      </w:tr>
      <w:tr>
        <w:tblPrEx>
          <w:tblCellMar>
            <w:top w:w="0" w:type="dxa"/>
            <w:left w:w="108" w:type="dxa"/>
            <w:bottom w:w="0" w:type="dxa"/>
            <w:right w:w="108" w:type="dxa"/>
          </w:tblCellMar>
        </w:tblPrEx>
        <w:trPr>
          <w:trHeight w:val="525" w:hRule="atLeast"/>
        </w:trPr>
        <w:tc>
          <w:tcPr>
            <w:tcW w:w="710" w:type="dxa"/>
            <w:tcBorders>
              <w:top w:val="nil"/>
              <w:left w:val="single" w:color="auto" w:sz="8" w:space="0"/>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241" w:type="dxa"/>
            <w:tcBorders>
              <w:top w:val="nil"/>
              <w:left w:val="nil"/>
              <w:bottom w:val="nil"/>
              <w:right w:val="single" w:color="auto" w:sz="4" w:space="0"/>
            </w:tcBorders>
            <w:shd w:val="clear" w:color="000000" w:fill="FFFFFF"/>
            <w:vAlign w:val="bottom"/>
          </w:tcPr>
          <w:p>
            <w:pPr>
              <w:widowControl/>
              <w:ind w:firstLine="402" w:firstLineChars="200"/>
              <w:jc w:val="left"/>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848" w:type="dxa"/>
            <w:tcBorders>
              <w:top w:val="nil"/>
              <w:left w:val="single" w:color="auto" w:sz="4" w:space="0"/>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836"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781" w:type="dxa"/>
            <w:tcBorders>
              <w:top w:val="nil"/>
              <w:left w:val="nil"/>
              <w:bottom w:val="nil"/>
              <w:right w:val="single" w:color="auto" w:sz="8" w:space="0"/>
            </w:tcBorders>
            <w:shd w:val="clear" w:color="000000" w:fill="FFFFFF"/>
            <w:vAlign w:val="bottom"/>
          </w:tcPr>
          <w:p>
            <w:pPr>
              <w:widowControl/>
              <w:ind w:firstLine="201" w:firstLineChars="100"/>
              <w:jc w:val="left"/>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55"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817"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税率</w:t>
            </w:r>
          </w:p>
        </w:tc>
        <w:tc>
          <w:tcPr>
            <w:tcW w:w="1536"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不含税金额（元）</w:t>
            </w:r>
          </w:p>
        </w:tc>
        <w:tc>
          <w:tcPr>
            <w:tcW w:w="1051"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税额(元)</w:t>
            </w:r>
          </w:p>
        </w:tc>
        <w:tc>
          <w:tcPr>
            <w:tcW w:w="1419" w:type="dxa"/>
            <w:tcBorders>
              <w:top w:val="nil"/>
              <w:left w:val="nil"/>
              <w:bottom w:val="nil"/>
              <w:right w:val="single" w:color="auto" w:sz="8" w:space="0"/>
            </w:tcBorders>
            <w:shd w:val="clear" w:color="000000" w:fill="FFFFFF"/>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含税金额（元）</w:t>
            </w:r>
          </w:p>
        </w:tc>
      </w:tr>
      <w:tr>
        <w:tblPrEx>
          <w:tblCellMar>
            <w:top w:w="0" w:type="dxa"/>
            <w:left w:w="108" w:type="dxa"/>
            <w:bottom w:w="0" w:type="dxa"/>
            <w:right w:w="108" w:type="dxa"/>
          </w:tblCellMar>
        </w:tblPrEx>
        <w:trPr>
          <w:trHeight w:val="439" w:hRule="atLeast"/>
        </w:trPr>
        <w:tc>
          <w:tcPr>
            <w:tcW w:w="710"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1241" w:type="dxa"/>
            <w:tcBorders>
              <w:top w:val="single" w:color="auto" w:sz="8" w:space="0"/>
              <w:left w:val="nil"/>
              <w:bottom w:val="single" w:color="auto" w:sz="8" w:space="0"/>
              <w:right w:val="single" w:color="auto" w:sz="4" w:space="0"/>
            </w:tcBorders>
            <w:shd w:val="clear" w:color="000000" w:fill="FFFFFF"/>
            <w:vAlign w:val="center"/>
          </w:tcPr>
          <w:p>
            <w:pPr>
              <w:rPr>
                <w:rFonts w:ascii="宋体" w:hAnsi="宋体" w:cs="Arial"/>
                <w:sz w:val="20"/>
                <w:szCs w:val="20"/>
              </w:rPr>
            </w:pPr>
          </w:p>
        </w:tc>
        <w:tc>
          <w:tcPr>
            <w:tcW w:w="848"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宋体" w:hAnsi="宋体" w:cs="宋体"/>
                <w:color w:val="000000"/>
                <w:kern w:val="0"/>
                <w:sz w:val="20"/>
                <w:szCs w:val="20"/>
              </w:rPr>
            </w:pPr>
          </w:p>
        </w:tc>
        <w:tc>
          <w:tcPr>
            <w:tcW w:w="836" w:type="dxa"/>
            <w:tcBorders>
              <w:top w:val="single" w:color="auto" w:sz="8" w:space="0"/>
              <w:left w:val="nil"/>
              <w:bottom w:val="single" w:color="auto" w:sz="8" w:space="0"/>
              <w:right w:val="single" w:color="auto" w:sz="8" w:space="0"/>
            </w:tcBorders>
            <w:shd w:val="clear" w:color="auto" w:fill="auto"/>
            <w:noWrap/>
          </w:tcPr>
          <w:p>
            <w:pPr>
              <w:widowControl/>
              <w:jc w:val="center"/>
              <w:rPr>
                <w:rFonts w:ascii="宋体" w:hAnsi="宋体" w:cs="宋体"/>
                <w:color w:val="000000"/>
                <w:kern w:val="0"/>
                <w:sz w:val="20"/>
                <w:szCs w:val="20"/>
              </w:rPr>
            </w:pPr>
          </w:p>
        </w:tc>
        <w:tc>
          <w:tcPr>
            <w:tcW w:w="781" w:type="dxa"/>
            <w:tcBorders>
              <w:top w:val="single" w:color="auto" w:sz="8" w:space="0"/>
              <w:left w:val="nil"/>
              <w:bottom w:val="single" w:color="auto" w:sz="8" w:space="0"/>
              <w:right w:val="single" w:color="auto" w:sz="8" w:space="0"/>
            </w:tcBorders>
            <w:shd w:val="clear" w:color="000000" w:fill="FFFFFF"/>
          </w:tcPr>
          <w:p>
            <w:pPr>
              <w:widowControl/>
              <w:jc w:val="center"/>
              <w:rPr>
                <w:rFonts w:ascii="宋体" w:hAnsi="宋体" w:cs="宋体"/>
                <w:color w:val="000000"/>
                <w:kern w:val="0"/>
                <w:sz w:val="20"/>
                <w:szCs w:val="20"/>
              </w:rPr>
            </w:pPr>
          </w:p>
        </w:tc>
        <w:tc>
          <w:tcPr>
            <w:tcW w:w="1255" w:type="dxa"/>
            <w:tcBorders>
              <w:top w:val="single" w:color="auto" w:sz="8" w:space="0"/>
              <w:left w:val="nil"/>
              <w:bottom w:val="single" w:color="auto" w:sz="8" w:space="0"/>
              <w:right w:val="single" w:color="auto" w:sz="8" w:space="0"/>
            </w:tcBorders>
            <w:shd w:val="clear" w:color="000000" w:fill="FFFFFF"/>
          </w:tcPr>
          <w:p>
            <w:pPr>
              <w:spacing w:line="460" w:lineRule="exact"/>
              <w:ind w:left="420"/>
              <w:jc w:val="center"/>
              <w:rPr>
                <w:rFonts w:ascii="宋体" w:hAnsi="宋体" w:cs="宋体"/>
                <w:color w:val="000000"/>
                <w:kern w:val="0"/>
                <w:sz w:val="20"/>
                <w:szCs w:val="20"/>
              </w:rPr>
            </w:pPr>
          </w:p>
        </w:tc>
        <w:tc>
          <w:tcPr>
            <w:tcW w:w="817" w:type="dxa"/>
            <w:tcBorders>
              <w:top w:val="single" w:color="auto" w:sz="8" w:space="0"/>
              <w:left w:val="nil"/>
              <w:bottom w:val="single" w:color="auto" w:sz="8" w:space="0"/>
              <w:right w:val="single" w:color="auto" w:sz="8" w:space="0"/>
            </w:tcBorders>
            <w:noWrap/>
          </w:tcPr>
          <w:p>
            <w:pPr>
              <w:spacing w:line="460" w:lineRule="exact"/>
              <w:ind w:left="420"/>
              <w:jc w:val="center"/>
              <w:rPr>
                <w:rFonts w:ascii="宋体" w:hAnsi="宋体" w:cs="宋体"/>
                <w:color w:val="000000"/>
                <w:kern w:val="0"/>
                <w:sz w:val="20"/>
                <w:szCs w:val="20"/>
              </w:rPr>
            </w:pPr>
          </w:p>
        </w:tc>
        <w:tc>
          <w:tcPr>
            <w:tcW w:w="1536" w:type="dxa"/>
            <w:tcBorders>
              <w:top w:val="single" w:color="auto" w:sz="8" w:space="0"/>
              <w:left w:val="nil"/>
              <w:bottom w:val="single" w:color="auto" w:sz="8" w:space="0"/>
              <w:right w:val="single" w:color="auto" w:sz="8" w:space="0"/>
            </w:tcBorders>
            <w:noWrap/>
          </w:tcPr>
          <w:p>
            <w:pPr>
              <w:widowControl/>
              <w:jc w:val="center"/>
              <w:rPr>
                <w:rFonts w:ascii="宋体" w:hAnsi="宋体" w:cs="宋体"/>
                <w:color w:val="000000"/>
                <w:kern w:val="0"/>
                <w:sz w:val="20"/>
                <w:szCs w:val="20"/>
              </w:rPr>
            </w:pPr>
          </w:p>
        </w:tc>
        <w:tc>
          <w:tcPr>
            <w:tcW w:w="1051" w:type="dxa"/>
            <w:tcBorders>
              <w:top w:val="single" w:color="auto" w:sz="8" w:space="0"/>
              <w:left w:val="nil"/>
              <w:bottom w:val="single" w:color="auto" w:sz="8" w:space="0"/>
              <w:right w:val="single" w:color="auto" w:sz="8" w:space="0"/>
            </w:tcBorders>
            <w:noWrap/>
            <w:vAlign w:val="center"/>
          </w:tcPr>
          <w:p>
            <w:pPr>
              <w:widowControl/>
              <w:rPr>
                <w:rFonts w:ascii="宋体" w:hAnsi="宋体" w:cs="宋体"/>
                <w:color w:val="000000"/>
                <w:kern w:val="0"/>
                <w:sz w:val="20"/>
                <w:szCs w:val="20"/>
              </w:rPr>
            </w:pPr>
          </w:p>
        </w:tc>
        <w:tc>
          <w:tcPr>
            <w:tcW w:w="1419" w:type="dxa"/>
            <w:tcBorders>
              <w:top w:val="single" w:color="auto" w:sz="8" w:space="0"/>
              <w:left w:val="nil"/>
              <w:bottom w:val="single" w:color="auto" w:sz="8" w:space="0"/>
              <w:right w:val="single" w:color="auto" w:sz="8"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9" w:hRule="atLeast"/>
        </w:trPr>
        <w:tc>
          <w:tcPr>
            <w:tcW w:w="710"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p>
        </w:tc>
        <w:tc>
          <w:tcPr>
            <w:tcW w:w="1241" w:type="dxa"/>
            <w:tcBorders>
              <w:top w:val="single" w:color="auto" w:sz="8" w:space="0"/>
              <w:left w:val="nil"/>
              <w:bottom w:val="single" w:color="auto" w:sz="8" w:space="0"/>
              <w:right w:val="single" w:color="auto" w:sz="4" w:space="0"/>
            </w:tcBorders>
            <w:shd w:val="clear" w:color="000000" w:fill="FFFFFF"/>
            <w:vAlign w:val="center"/>
          </w:tcPr>
          <w:p>
            <w:pPr>
              <w:rPr>
                <w:rFonts w:ascii="宋体" w:hAnsi="宋体" w:cs="Arial"/>
                <w:sz w:val="20"/>
                <w:szCs w:val="20"/>
              </w:rPr>
            </w:pPr>
          </w:p>
        </w:tc>
        <w:tc>
          <w:tcPr>
            <w:tcW w:w="848" w:type="dxa"/>
            <w:tcBorders>
              <w:top w:val="single" w:color="auto" w:sz="8" w:space="0"/>
              <w:left w:val="single" w:color="auto" w:sz="4" w:space="0"/>
              <w:bottom w:val="single" w:color="auto" w:sz="8" w:space="0"/>
              <w:right w:val="single" w:color="auto" w:sz="8" w:space="0"/>
            </w:tcBorders>
            <w:shd w:val="clear" w:color="000000" w:fill="FFFFFF"/>
          </w:tcPr>
          <w:p>
            <w:pPr>
              <w:jc w:val="center"/>
            </w:pPr>
          </w:p>
        </w:tc>
        <w:tc>
          <w:tcPr>
            <w:tcW w:w="836" w:type="dxa"/>
            <w:tcBorders>
              <w:top w:val="single" w:color="auto" w:sz="8" w:space="0"/>
              <w:left w:val="nil"/>
              <w:bottom w:val="single" w:color="auto" w:sz="8" w:space="0"/>
              <w:right w:val="single" w:color="auto" w:sz="8" w:space="0"/>
            </w:tcBorders>
            <w:shd w:val="clear" w:color="auto" w:fill="auto"/>
            <w:noWrap/>
          </w:tcPr>
          <w:p>
            <w:pPr>
              <w:widowControl/>
              <w:jc w:val="center"/>
              <w:rPr>
                <w:rFonts w:ascii="宋体" w:hAnsi="宋体" w:cs="宋体"/>
                <w:color w:val="000000"/>
                <w:kern w:val="0"/>
                <w:sz w:val="20"/>
                <w:szCs w:val="20"/>
              </w:rPr>
            </w:pPr>
          </w:p>
        </w:tc>
        <w:tc>
          <w:tcPr>
            <w:tcW w:w="781" w:type="dxa"/>
            <w:tcBorders>
              <w:top w:val="single" w:color="auto" w:sz="8" w:space="0"/>
              <w:left w:val="nil"/>
              <w:bottom w:val="single" w:color="auto" w:sz="8" w:space="0"/>
              <w:right w:val="single" w:color="auto" w:sz="8" w:space="0"/>
            </w:tcBorders>
            <w:shd w:val="clear" w:color="000000" w:fill="FFFFFF"/>
          </w:tcPr>
          <w:p>
            <w:pPr>
              <w:widowControl/>
              <w:jc w:val="center"/>
              <w:rPr>
                <w:rFonts w:ascii="宋体" w:hAnsi="宋体" w:cs="宋体"/>
                <w:color w:val="000000"/>
                <w:kern w:val="0"/>
                <w:sz w:val="20"/>
                <w:szCs w:val="20"/>
              </w:rPr>
            </w:pPr>
          </w:p>
        </w:tc>
        <w:tc>
          <w:tcPr>
            <w:tcW w:w="1255" w:type="dxa"/>
            <w:tcBorders>
              <w:top w:val="single" w:color="auto" w:sz="8" w:space="0"/>
              <w:left w:val="nil"/>
              <w:bottom w:val="single" w:color="auto" w:sz="8" w:space="0"/>
              <w:right w:val="single" w:color="auto" w:sz="8" w:space="0"/>
            </w:tcBorders>
            <w:shd w:val="clear" w:color="000000" w:fill="FFFFFF"/>
          </w:tcPr>
          <w:p>
            <w:pPr>
              <w:spacing w:line="460" w:lineRule="exact"/>
              <w:ind w:left="420"/>
              <w:jc w:val="center"/>
              <w:rPr>
                <w:rFonts w:ascii="宋体" w:hAnsi="宋体" w:cs="宋体"/>
                <w:color w:val="000000"/>
                <w:kern w:val="0"/>
                <w:sz w:val="20"/>
                <w:szCs w:val="20"/>
              </w:rPr>
            </w:pPr>
          </w:p>
        </w:tc>
        <w:tc>
          <w:tcPr>
            <w:tcW w:w="817" w:type="dxa"/>
            <w:tcBorders>
              <w:top w:val="single" w:color="auto" w:sz="8" w:space="0"/>
              <w:left w:val="nil"/>
              <w:bottom w:val="single" w:color="auto" w:sz="8" w:space="0"/>
              <w:right w:val="single" w:color="auto" w:sz="8" w:space="0"/>
            </w:tcBorders>
            <w:noWrap/>
          </w:tcPr>
          <w:p>
            <w:pPr>
              <w:spacing w:line="460" w:lineRule="exact"/>
              <w:ind w:left="420"/>
              <w:jc w:val="center"/>
              <w:rPr>
                <w:rFonts w:ascii="宋体" w:hAnsi="宋体" w:cs="宋体"/>
                <w:color w:val="000000"/>
                <w:kern w:val="0"/>
                <w:sz w:val="20"/>
                <w:szCs w:val="20"/>
              </w:rPr>
            </w:pPr>
          </w:p>
        </w:tc>
        <w:tc>
          <w:tcPr>
            <w:tcW w:w="1536" w:type="dxa"/>
            <w:tcBorders>
              <w:top w:val="single" w:color="auto" w:sz="8" w:space="0"/>
              <w:left w:val="nil"/>
              <w:bottom w:val="single" w:color="auto" w:sz="8" w:space="0"/>
              <w:right w:val="single" w:color="auto" w:sz="8" w:space="0"/>
            </w:tcBorders>
            <w:noWrap/>
          </w:tcPr>
          <w:p>
            <w:pPr>
              <w:widowControl/>
              <w:jc w:val="center"/>
              <w:rPr>
                <w:rFonts w:ascii="宋体" w:hAnsi="宋体" w:cs="宋体"/>
                <w:color w:val="000000"/>
                <w:kern w:val="0"/>
                <w:sz w:val="20"/>
                <w:szCs w:val="20"/>
              </w:rPr>
            </w:pPr>
          </w:p>
        </w:tc>
        <w:tc>
          <w:tcPr>
            <w:tcW w:w="1051" w:type="dxa"/>
            <w:tcBorders>
              <w:top w:val="single" w:color="auto" w:sz="8" w:space="0"/>
              <w:left w:val="nil"/>
              <w:bottom w:val="single" w:color="auto" w:sz="8" w:space="0"/>
              <w:right w:val="single" w:color="auto" w:sz="8" w:space="0"/>
            </w:tcBorders>
            <w:noWrap/>
            <w:vAlign w:val="center"/>
          </w:tcPr>
          <w:p>
            <w:pPr>
              <w:widowControl/>
              <w:rPr>
                <w:rFonts w:ascii="宋体" w:hAnsi="宋体" w:cs="宋体"/>
                <w:color w:val="000000"/>
                <w:kern w:val="0"/>
                <w:sz w:val="20"/>
                <w:szCs w:val="20"/>
              </w:rPr>
            </w:pPr>
          </w:p>
        </w:tc>
        <w:tc>
          <w:tcPr>
            <w:tcW w:w="1419" w:type="dxa"/>
            <w:tcBorders>
              <w:top w:val="single" w:color="auto" w:sz="8" w:space="0"/>
              <w:left w:val="nil"/>
              <w:bottom w:val="single" w:color="auto" w:sz="8" w:space="0"/>
              <w:right w:val="single" w:color="auto" w:sz="8"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9" w:hRule="atLeast"/>
        </w:trPr>
        <w:tc>
          <w:tcPr>
            <w:tcW w:w="710"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241" w:type="dxa"/>
            <w:tcBorders>
              <w:top w:val="single" w:color="auto" w:sz="8" w:space="0"/>
              <w:left w:val="nil"/>
              <w:bottom w:val="single" w:color="auto" w:sz="8" w:space="0"/>
              <w:right w:val="single" w:color="auto" w:sz="4" w:space="0"/>
            </w:tcBorders>
            <w:shd w:val="clear" w:color="000000" w:fill="FFFFFF"/>
            <w:vAlign w:val="center"/>
          </w:tcPr>
          <w:p>
            <w:pPr>
              <w:rPr>
                <w:rFonts w:ascii="宋体" w:hAnsi="宋体" w:cs="Arial"/>
                <w:sz w:val="20"/>
                <w:szCs w:val="20"/>
              </w:rPr>
            </w:pPr>
          </w:p>
        </w:tc>
        <w:tc>
          <w:tcPr>
            <w:tcW w:w="848" w:type="dxa"/>
            <w:tcBorders>
              <w:top w:val="single" w:color="auto" w:sz="8" w:space="0"/>
              <w:left w:val="single" w:color="auto" w:sz="4" w:space="0"/>
              <w:bottom w:val="single" w:color="auto" w:sz="8" w:space="0"/>
              <w:right w:val="single" w:color="auto" w:sz="8" w:space="0"/>
            </w:tcBorders>
            <w:shd w:val="clear" w:color="000000" w:fill="FFFFFF"/>
          </w:tcPr>
          <w:p>
            <w:pPr>
              <w:jc w:val="center"/>
            </w:pPr>
          </w:p>
        </w:tc>
        <w:tc>
          <w:tcPr>
            <w:tcW w:w="836" w:type="dxa"/>
            <w:tcBorders>
              <w:top w:val="single" w:color="auto" w:sz="8" w:space="0"/>
              <w:left w:val="nil"/>
              <w:bottom w:val="single" w:color="auto" w:sz="8" w:space="0"/>
              <w:right w:val="single" w:color="auto" w:sz="8" w:space="0"/>
            </w:tcBorders>
            <w:shd w:val="clear" w:color="auto" w:fill="auto"/>
            <w:noWrap/>
          </w:tcPr>
          <w:p>
            <w:pPr>
              <w:widowControl/>
              <w:jc w:val="center"/>
              <w:rPr>
                <w:rFonts w:ascii="宋体" w:hAnsi="宋体" w:cs="宋体"/>
                <w:color w:val="000000"/>
                <w:kern w:val="0"/>
                <w:sz w:val="20"/>
                <w:szCs w:val="20"/>
              </w:rPr>
            </w:pPr>
          </w:p>
        </w:tc>
        <w:tc>
          <w:tcPr>
            <w:tcW w:w="781" w:type="dxa"/>
            <w:tcBorders>
              <w:top w:val="single" w:color="auto" w:sz="8" w:space="0"/>
              <w:left w:val="nil"/>
              <w:bottom w:val="single" w:color="auto" w:sz="8" w:space="0"/>
              <w:right w:val="single" w:color="auto" w:sz="8" w:space="0"/>
            </w:tcBorders>
            <w:shd w:val="clear" w:color="000000" w:fill="FFFFFF"/>
          </w:tcPr>
          <w:p>
            <w:pPr>
              <w:widowControl/>
              <w:jc w:val="center"/>
              <w:rPr>
                <w:rFonts w:ascii="宋体" w:hAnsi="宋体" w:cs="宋体"/>
                <w:color w:val="000000"/>
                <w:kern w:val="0"/>
                <w:sz w:val="20"/>
                <w:szCs w:val="20"/>
              </w:rPr>
            </w:pPr>
          </w:p>
        </w:tc>
        <w:tc>
          <w:tcPr>
            <w:tcW w:w="1255" w:type="dxa"/>
            <w:tcBorders>
              <w:top w:val="single" w:color="auto" w:sz="8" w:space="0"/>
              <w:left w:val="nil"/>
              <w:bottom w:val="single" w:color="auto" w:sz="8" w:space="0"/>
              <w:right w:val="single" w:color="auto" w:sz="8" w:space="0"/>
            </w:tcBorders>
            <w:shd w:val="clear" w:color="000000" w:fill="FFFFFF"/>
          </w:tcPr>
          <w:p>
            <w:pPr>
              <w:spacing w:line="460" w:lineRule="exact"/>
              <w:ind w:left="420"/>
              <w:jc w:val="center"/>
              <w:rPr>
                <w:rFonts w:ascii="宋体" w:hAnsi="宋体" w:cs="宋体"/>
                <w:color w:val="000000"/>
                <w:kern w:val="0"/>
                <w:sz w:val="20"/>
                <w:szCs w:val="20"/>
              </w:rPr>
            </w:pPr>
          </w:p>
        </w:tc>
        <w:tc>
          <w:tcPr>
            <w:tcW w:w="817" w:type="dxa"/>
            <w:tcBorders>
              <w:top w:val="single" w:color="auto" w:sz="8" w:space="0"/>
              <w:left w:val="nil"/>
              <w:bottom w:val="single" w:color="auto" w:sz="8" w:space="0"/>
              <w:right w:val="single" w:color="auto" w:sz="8" w:space="0"/>
            </w:tcBorders>
            <w:noWrap/>
          </w:tcPr>
          <w:p>
            <w:pPr>
              <w:spacing w:line="460" w:lineRule="exact"/>
              <w:ind w:left="420"/>
              <w:jc w:val="center"/>
              <w:rPr>
                <w:rFonts w:ascii="宋体" w:hAnsi="宋体" w:cs="宋体"/>
                <w:color w:val="000000"/>
                <w:kern w:val="0"/>
                <w:sz w:val="20"/>
                <w:szCs w:val="20"/>
              </w:rPr>
            </w:pPr>
          </w:p>
        </w:tc>
        <w:tc>
          <w:tcPr>
            <w:tcW w:w="1536" w:type="dxa"/>
            <w:tcBorders>
              <w:top w:val="single" w:color="auto" w:sz="8" w:space="0"/>
              <w:left w:val="nil"/>
              <w:bottom w:val="single" w:color="auto" w:sz="8" w:space="0"/>
              <w:right w:val="single" w:color="auto" w:sz="8" w:space="0"/>
            </w:tcBorders>
            <w:noWrap/>
          </w:tcPr>
          <w:p>
            <w:pPr>
              <w:widowControl/>
              <w:jc w:val="center"/>
              <w:rPr>
                <w:rFonts w:ascii="宋体" w:hAnsi="宋体" w:cs="宋体"/>
                <w:color w:val="000000"/>
                <w:kern w:val="0"/>
                <w:sz w:val="20"/>
                <w:szCs w:val="20"/>
              </w:rPr>
            </w:pPr>
          </w:p>
        </w:tc>
        <w:tc>
          <w:tcPr>
            <w:tcW w:w="1051" w:type="dxa"/>
            <w:tcBorders>
              <w:top w:val="single" w:color="auto" w:sz="8" w:space="0"/>
              <w:left w:val="nil"/>
              <w:bottom w:val="single" w:color="auto" w:sz="8" w:space="0"/>
              <w:right w:val="single" w:color="auto" w:sz="8" w:space="0"/>
            </w:tcBorders>
            <w:noWrap/>
            <w:vAlign w:val="center"/>
          </w:tcPr>
          <w:p>
            <w:pPr>
              <w:widowControl/>
              <w:rPr>
                <w:rFonts w:ascii="宋体" w:hAnsi="宋体" w:cs="宋体"/>
                <w:color w:val="000000"/>
                <w:kern w:val="0"/>
                <w:sz w:val="20"/>
                <w:szCs w:val="20"/>
              </w:rPr>
            </w:pPr>
          </w:p>
        </w:tc>
        <w:tc>
          <w:tcPr>
            <w:tcW w:w="1419" w:type="dxa"/>
            <w:tcBorders>
              <w:top w:val="single" w:color="auto" w:sz="8" w:space="0"/>
              <w:left w:val="nil"/>
              <w:bottom w:val="single" w:color="auto" w:sz="8" w:space="0"/>
              <w:right w:val="single" w:color="auto" w:sz="8"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9" w:hRule="atLeast"/>
        </w:trPr>
        <w:tc>
          <w:tcPr>
            <w:tcW w:w="710" w:type="dxa"/>
            <w:tcBorders>
              <w:top w:val="single" w:color="auto" w:sz="8" w:space="0"/>
              <w:left w:val="single" w:color="auto" w:sz="8" w:space="0"/>
              <w:bottom w:val="single" w:color="auto" w:sz="8" w:space="0"/>
              <w:right w:val="single" w:color="auto" w:sz="8" w:space="0"/>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w:t>
            </w:r>
          </w:p>
        </w:tc>
        <w:tc>
          <w:tcPr>
            <w:tcW w:w="1241" w:type="dxa"/>
            <w:tcBorders>
              <w:top w:val="single" w:color="auto" w:sz="8" w:space="0"/>
              <w:left w:val="nil"/>
              <w:bottom w:val="single" w:color="auto" w:sz="8" w:space="0"/>
              <w:right w:val="single" w:color="auto" w:sz="4" w:space="0"/>
            </w:tcBorders>
            <w:shd w:val="clear" w:color="000000" w:fill="FFFFFF"/>
            <w:vAlign w:val="center"/>
          </w:tcPr>
          <w:p>
            <w:pPr>
              <w:rPr>
                <w:rFonts w:ascii="宋体" w:hAnsi="宋体" w:cs="Arial"/>
                <w:sz w:val="20"/>
                <w:szCs w:val="20"/>
              </w:rPr>
            </w:pPr>
          </w:p>
        </w:tc>
        <w:tc>
          <w:tcPr>
            <w:tcW w:w="848" w:type="dxa"/>
            <w:tcBorders>
              <w:top w:val="single" w:color="auto" w:sz="8" w:space="0"/>
              <w:left w:val="single" w:color="auto" w:sz="4" w:space="0"/>
              <w:bottom w:val="single" w:color="auto" w:sz="8" w:space="0"/>
              <w:right w:val="single" w:color="auto" w:sz="8" w:space="0"/>
            </w:tcBorders>
            <w:shd w:val="clear" w:color="000000" w:fill="FFFFFF"/>
          </w:tcPr>
          <w:p>
            <w:pPr>
              <w:jc w:val="center"/>
            </w:pPr>
          </w:p>
        </w:tc>
        <w:tc>
          <w:tcPr>
            <w:tcW w:w="836" w:type="dxa"/>
            <w:tcBorders>
              <w:top w:val="single" w:color="auto" w:sz="8" w:space="0"/>
              <w:left w:val="nil"/>
              <w:bottom w:val="single" w:color="auto" w:sz="8" w:space="0"/>
              <w:right w:val="single" w:color="auto" w:sz="8" w:space="0"/>
            </w:tcBorders>
            <w:shd w:val="clear" w:color="auto" w:fill="auto"/>
            <w:noWrap/>
          </w:tcPr>
          <w:p>
            <w:pPr>
              <w:widowControl/>
              <w:jc w:val="center"/>
              <w:rPr>
                <w:rFonts w:ascii="宋体" w:hAnsi="宋体" w:cs="宋体"/>
                <w:color w:val="000000"/>
                <w:kern w:val="0"/>
                <w:sz w:val="20"/>
                <w:szCs w:val="20"/>
              </w:rPr>
            </w:pPr>
          </w:p>
        </w:tc>
        <w:tc>
          <w:tcPr>
            <w:tcW w:w="781" w:type="dxa"/>
            <w:tcBorders>
              <w:top w:val="single" w:color="auto" w:sz="8" w:space="0"/>
              <w:left w:val="nil"/>
              <w:bottom w:val="single" w:color="auto" w:sz="8" w:space="0"/>
              <w:right w:val="single" w:color="auto" w:sz="8" w:space="0"/>
            </w:tcBorders>
            <w:shd w:val="clear" w:color="000000" w:fill="FFFFFF"/>
          </w:tcPr>
          <w:p>
            <w:pPr>
              <w:widowControl/>
              <w:jc w:val="center"/>
              <w:rPr>
                <w:rFonts w:ascii="宋体" w:hAnsi="宋体" w:cs="宋体"/>
                <w:color w:val="000000"/>
                <w:kern w:val="0"/>
                <w:sz w:val="20"/>
                <w:szCs w:val="20"/>
              </w:rPr>
            </w:pPr>
          </w:p>
        </w:tc>
        <w:tc>
          <w:tcPr>
            <w:tcW w:w="1255" w:type="dxa"/>
            <w:tcBorders>
              <w:top w:val="single" w:color="auto" w:sz="8" w:space="0"/>
              <w:left w:val="nil"/>
              <w:bottom w:val="single" w:color="auto" w:sz="8" w:space="0"/>
              <w:right w:val="single" w:color="auto" w:sz="8" w:space="0"/>
            </w:tcBorders>
            <w:shd w:val="clear" w:color="000000" w:fill="FFFFFF"/>
          </w:tcPr>
          <w:p>
            <w:pPr>
              <w:spacing w:line="460" w:lineRule="exact"/>
              <w:ind w:left="420"/>
              <w:jc w:val="center"/>
              <w:rPr>
                <w:rFonts w:ascii="宋体" w:hAnsi="宋体" w:cs="宋体"/>
                <w:color w:val="000000"/>
                <w:kern w:val="0"/>
                <w:sz w:val="20"/>
                <w:szCs w:val="20"/>
              </w:rPr>
            </w:pPr>
          </w:p>
        </w:tc>
        <w:tc>
          <w:tcPr>
            <w:tcW w:w="817" w:type="dxa"/>
            <w:tcBorders>
              <w:top w:val="single" w:color="auto" w:sz="8" w:space="0"/>
              <w:left w:val="nil"/>
              <w:bottom w:val="single" w:color="auto" w:sz="8" w:space="0"/>
              <w:right w:val="single" w:color="auto" w:sz="8" w:space="0"/>
            </w:tcBorders>
            <w:noWrap/>
          </w:tcPr>
          <w:p>
            <w:pPr>
              <w:spacing w:line="460" w:lineRule="exact"/>
              <w:ind w:left="420"/>
              <w:jc w:val="center"/>
              <w:rPr>
                <w:rFonts w:ascii="宋体" w:hAnsi="宋体" w:cs="宋体"/>
                <w:color w:val="000000"/>
                <w:kern w:val="0"/>
                <w:sz w:val="20"/>
                <w:szCs w:val="20"/>
              </w:rPr>
            </w:pPr>
          </w:p>
        </w:tc>
        <w:tc>
          <w:tcPr>
            <w:tcW w:w="1536" w:type="dxa"/>
            <w:tcBorders>
              <w:top w:val="single" w:color="auto" w:sz="8" w:space="0"/>
              <w:left w:val="nil"/>
              <w:bottom w:val="single" w:color="auto" w:sz="8" w:space="0"/>
              <w:right w:val="single" w:color="auto" w:sz="8" w:space="0"/>
            </w:tcBorders>
            <w:noWrap/>
          </w:tcPr>
          <w:p>
            <w:pPr>
              <w:widowControl/>
              <w:jc w:val="center"/>
              <w:rPr>
                <w:rFonts w:ascii="宋体" w:hAnsi="宋体" w:cs="宋体"/>
                <w:color w:val="000000"/>
                <w:kern w:val="0"/>
                <w:sz w:val="20"/>
                <w:szCs w:val="20"/>
              </w:rPr>
            </w:pPr>
          </w:p>
        </w:tc>
        <w:tc>
          <w:tcPr>
            <w:tcW w:w="1051" w:type="dxa"/>
            <w:tcBorders>
              <w:top w:val="single" w:color="auto" w:sz="8" w:space="0"/>
              <w:left w:val="nil"/>
              <w:bottom w:val="single" w:color="auto" w:sz="8" w:space="0"/>
              <w:right w:val="single" w:color="auto" w:sz="8" w:space="0"/>
            </w:tcBorders>
            <w:noWrap/>
            <w:vAlign w:val="center"/>
          </w:tcPr>
          <w:p>
            <w:pPr>
              <w:widowControl/>
              <w:rPr>
                <w:rFonts w:ascii="宋体" w:hAnsi="宋体" w:cs="宋体"/>
                <w:color w:val="000000"/>
                <w:kern w:val="0"/>
                <w:sz w:val="20"/>
                <w:szCs w:val="20"/>
              </w:rPr>
            </w:pPr>
          </w:p>
        </w:tc>
        <w:tc>
          <w:tcPr>
            <w:tcW w:w="1419" w:type="dxa"/>
            <w:tcBorders>
              <w:top w:val="single" w:color="auto" w:sz="8" w:space="0"/>
              <w:left w:val="nil"/>
              <w:bottom w:val="single" w:color="auto" w:sz="8" w:space="0"/>
              <w:right w:val="single" w:color="auto" w:sz="8"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3" w:hRule="atLeast"/>
        </w:trPr>
        <w:tc>
          <w:tcPr>
            <w:tcW w:w="6488" w:type="dxa"/>
            <w:gridSpan w:val="7"/>
            <w:tcBorders>
              <w:top w:val="single" w:color="auto" w:sz="8" w:space="0"/>
              <w:left w:val="single" w:color="auto" w:sz="8" w:space="0"/>
              <w:bottom w:val="single" w:color="auto" w:sz="8" w:space="0"/>
              <w:right w:val="single" w:color="000000" w:sz="8" w:space="0"/>
            </w:tcBorders>
            <w:vAlign w:val="bottom"/>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536"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1051"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p>
        </w:tc>
        <w:tc>
          <w:tcPr>
            <w:tcW w:w="1419" w:type="dxa"/>
            <w:tcBorders>
              <w:top w:val="nil"/>
              <w:left w:val="nil"/>
              <w:bottom w:val="single" w:color="auto" w:sz="8" w:space="0"/>
              <w:right w:val="single" w:color="auto" w:sz="8" w:space="0"/>
            </w:tcBorders>
            <w:noWrap/>
            <w:vAlign w:val="bottom"/>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15" w:hRule="atLeast"/>
        </w:trPr>
        <w:tc>
          <w:tcPr>
            <w:tcW w:w="10494" w:type="dxa"/>
            <w:gridSpan w:val="10"/>
            <w:vMerge w:val="restart"/>
            <w:tcBorders>
              <w:top w:val="single" w:color="auto" w:sz="8" w:space="0"/>
              <w:left w:val="single" w:color="auto" w:sz="8" w:space="0"/>
              <w:bottom w:val="single" w:color="000000" w:sz="8" w:space="0"/>
              <w:right w:val="single" w:color="000000" w:sz="8" w:space="0"/>
            </w:tcBorders>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合计人民币金额（大写）：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不含税金额（大写）：                                            </w:t>
            </w:r>
          </w:p>
        </w:tc>
      </w:tr>
      <w:tr>
        <w:tblPrEx>
          <w:tblCellMar>
            <w:top w:w="0" w:type="dxa"/>
            <w:left w:w="108" w:type="dxa"/>
            <w:bottom w:w="0" w:type="dxa"/>
            <w:right w:w="108" w:type="dxa"/>
          </w:tblCellMar>
        </w:tblPrEx>
        <w:trPr>
          <w:trHeight w:val="330" w:hRule="atLeast"/>
        </w:trPr>
        <w:tc>
          <w:tcPr>
            <w:tcW w:w="10494" w:type="dxa"/>
            <w:gridSpan w:val="10"/>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10494" w:type="dxa"/>
            <w:gridSpan w:val="10"/>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rPr>
              <w:t>备注：合同金额包含</w:t>
            </w:r>
            <w:r>
              <w:rPr>
                <w:rFonts w:hint="eastAsia" w:ascii="宋体" w:hAnsi="宋体" w:cs="宋体"/>
                <w:lang w:val="en-US" w:eastAsia="zh-CN"/>
              </w:rPr>
              <w:t>**</w:t>
            </w:r>
            <w:r>
              <w:rPr>
                <w:rFonts w:hint="eastAsia" w:ascii="宋体" w:hAnsi="宋体" w:cs="宋体"/>
              </w:rPr>
              <w:t>%增值税专用发票，</w:t>
            </w:r>
            <w:r>
              <w:rPr>
                <w:rFonts w:hint="eastAsia" w:ascii="宋体" w:hAnsi="宋体"/>
              </w:rPr>
              <w:t>税率随着国家税率的变化而调整税率</w:t>
            </w:r>
          </w:p>
        </w:tc>
      </w:tr>
    </w:tbl>
    <w:p>
      <w:pPr>
        <w:pStyle w:val="2"/>
        <w:widowControl/>
        <w:shd w:val="clear" w:color="auto" w:fill="FFFFFF"/>
        <w:spacing w:before="141" w:beforeAutospacing="0" w:after="141" w:afterAutospacing="0" w:line="360" w:lineRule="atLeast"/>
        <w:rPr>
          <w:rFonts w:hint="default" w:ascii="Arial" w:cs="Arial"/>
          <w:b w:val="0"/>
          <w:kern w:val="2"/>
          <w:sz w:val="24"/>
          <w:szCs w:val="24"/>
        </w:rPr>
      </w:pPr>
      <w:r>
        <w:rPr>
          <w:rFonts w:ascii="楷体" w:hAnsi="楷体" w:eastAsia="楷体"/>
          <w:sz w:val="28"/>
          <w:szCs w:val="28"/>
        </w:rPr>
        <w:t>工程质量验收标准（文号）：</w:t>
      </w:r>
      <w:r>
        <w:rPr>
          <w:rFonts w:ascii="Arial" w:cs="Arial"/>
          <w:b w:val="0"/>
          <w:kern w:val="2"/>
          <w:sz w:val="24"/>
          <w:szCs w:val="24"/>
        </w:rPr>
        <w:t>达到国家标准GB50231-2009《机械设备安装工程施工及验收通用规范》要求，符合</w:t>
      </w:r>
      <w:r>
        <w:rPr>
          <w:rFonts w:hint="eastAsia" w:ascii="Arial" w:cs="Arial"/>
          <w:b w:val="0"/>
          <w:kern w:val="2"/>
          <w:sz w:val="24"/>
          <w:szCs w:val="24"/>
          <w:lang w:eastAsia="zh-CN"/>
        </w:rPr>
        <w:t>甲方</w:t>
      </w:r>
      <w:r>
        <w:rPr>
          <w:rFonts w:ascii="Arial" w:cs="Arial"/>
          <w:b w:val="0"/>
          <w:kern w:val="2"/>
          <w:sz w:val="24"/>
          <w:szCs w:val="24"/>
        </w:rPr>
        <w:t>的使用要求，质保期为一年。</w:t>
      </w:r>
    </w:p>
    <w:p>
      <w:pPr>
        <w:spacing w:line="360" w:lineRule="auto"/>
        <w:rPr>
          <w:rFonts w:ascii="宋体" w:hAnsi="宋体"/>
          <w:b/>
          <w:bCs/>
          <w:sz w:val="24"/>
        </w:rPr>
      </w:pPr>
      <w:r>
        <w:rPr>
          <w:rFonts w:hint="eastAsia" w:ascii="宋体" w:hAnsi="宋体"/>
          <w:b/>
          <w:bCs/>
          <w:sz w:val="24"/>
          <w:lang w:val="en-US" w:eastAsia="zh-CN"/>
        </w:rPr>
        <w:t>第二条</w:t>
      </w:r>
      <w:r>
        <w:rPr>
          <w:rFonts w:hint="eastAsia" w:ascii="宋体" w:hAnsi="宋体"/>
          <w:b/>
          <w:bCs/>
          <w:sz w:val="24"/>
        </w:rPr>
        <w:t>、验收方式</w:t>
      </w:r>
    </w:p>
    <w:p>
      <w:pPr>
        <w:spacing w:line="360" w:lineRule="auto"/>
        <w:rPr>
          <w:rFonts w:ascii="Arial" w:hAnsi="宋体" w:cs="Arial"/>
          <w:sz w:val="24"/>
        </w:rPr>
      </w:pPr>
      <w:r>
        <w:rPr>
          <w:rFonts w:hint="eastAsia" w:ascii="Arial" w:hAnsi="宋体" w:cs="Arial"/>
          <w:sz w:val="24"/>
        </w:rPr>
        <w:t>1安装施工材料数量、外观验收</w:t>
      </w:r>
    </w:p>
    <w:p>
      <w:pPr>
        <w:spacing w:line="360" w:lineRule="auto"/>
        <w:rPr>
          <w:rFonts w:ascii="Arial" w:hAnsi="宋体" w:cs="Arial"/>
          <w:sz w:val="24"/>
        </w:rPr>
      </w:pPr>
      <w:r>
        <w:rPr>
          <w:rFonts w:hint="eastAsia" w:ascii="Arial" w:hAnsi="宋体" w:cs="Arial"/>
          <w:sz w:val="24"/>
          <w:lang w:eastAsia="zh-CN"/>
        </w:rPr>
        <w:t>甲方</w:t>
      </w:r>
      <w:r>
        <w:rPr>
          <w:rFonts w:hint="eastAsia" w:ascii="Arial" w:hAnsi="宋体" w:cs="Arial"/>
          <w:sz w:val="24"/>
        </w:rPr>
        <w:t>应在收到货物后【5】个工作日内对货物的数量、外观进行验收并提出异议，</w:t>
      </w:r>
    </w:p>
    <w:p>
      <w:pPr>
        <w:spacing w:line="360" w:lineRule="auto"/>
        <w:rPr>
          <w:rFonts w:ascii="Arial" w:hAnsi="宋体" w:cs="Arial"/>
          <w:sz w:val="24"/>
        </w:rPr>
      </w:pPr>
      <w:r>
        <w:rPr>
          <w:rFonts w:hint="eastAsia" w:ascii="Arial" w:hAnsi="宋体" w:cs="Arial"/>
          <w:sz w:val="24"/>
        </w:rPr>
        <w:t>2.安装施工材料质量验收</w:t>
      </w:r>
    </w:p>
    <w:p>
      <w:pPr>
        <w:spacing w:line="360" w:lineRule="auto"/>
        <w:rPr>
          <w:rFonts w:ascii="Arial" w:hAnsi="宋体" w:cs="Arial"/>
          <w:sz w:val="24"/>
        </w:rPr>
      </w:pPr>
      <w:r>
        <w:rPr>
          <w:rFonts w:hint="eastAsia" w:ascii="Arial" w:hAnsi="宋体" w:cs="Arial"/>
          <w:sz w:val="24"/>
          <w:lang w:eastAsia="zh-CN"/>
        </w:rPr>
        <w:t>甲方</w:t>
      </w:r>
      <w:r>
        <w:rPr>
          <w:rFonts w:hint="eastAsia" w:ascii="Arial" w:hAnsi="宋体" w:cs="Arial"/>
          <w:sz w:val="24"/>
        </w:rPr>
        <w:t>按质量验收标准中的验收办法进行验收，需要退货的，所产生的一切费用由</w:t>
      </w:r>
      <w:r>
        <w:rPr>
          <w:rFonts w:hint="eastAsia" w:ascii="Arial" w:hAnsi="宋体" w:cs="Arial"/>
          <w:sz w:val="24"/>
          <w:lang w:eastAsia="zh-CN"/>
        </w:rPr>
        <w:t>乙方</w:t>
      </w:r>
      <w:r>
        <w:rPr>
          <w:rFonts w:hint="eastAsia" w:ascii="Arial" w:hAnsi="宋体" w:cs="Arial"/>
          <w:sz w:val="24"/>
        </w:rPr>
        <w:t>承担。根据工程进度对安装质量进行过程验收，在使用过程中挑选出的不合格品及过程验收中存在的质量问题，</w:t>
      </w:r>
      <w:r>
        <w:rPr>
          <w:rFonts w:hint="eastAsia" w:ascii="Arial" w:hAnsi="宋体" w:cs="Arial"/>
          <w:sz w:val="24"/>
          <w:lang w:eastAsia="zh-CN"/>
        </w:rPr>
        <w:t>乙方</w:t>
      </w:r>
      <w:r>
        <w:rPr>
          <w:rFonts w:hint="eastAsia" w:ascii="Arial" w:hAnsi="宋体" w:cs="Arial"/>
          <w:sz w:val="24"/>
        </w:rPr>
        <w:t>须在【10】日内进行免费退换及拆除重新安装，退换及拆除重新安装产生的运费由供方承担。</w:t>
      </w:r>
    </w:p>
    <w:p>
      <w:pPr>
        <w:numPr>
          <w:ilvl w:val="0"/>
          <w:numId w:val="2"/>
        </w:numPr>
        <w:spacing w:line="360" w:lineRule="auto"/>
        <w:rPr>
          <w:rFonts w:hint="eastAsia" w:ascii="Arial" w:hAnsi="宋体" w:cs="Arial"/>
          <w:sz w:val="24"/>
        </w:rPr>
      </w:pPr>
      <w:r>
        <w:rPr>
          <w:rFonts w:hint="eastAsia" w:ascii="Arial" w:hAnsi="宋体" w:cs="Arial"/>
          <w:sz w:val="24"/>
          <w:lang w:eastAsia="zh-CN"/>
        </w:rPr>
        <w:t>乙方</w:t>
      </w:r>
      <w:r>
        <w:rPr>
          <w:rFonts w:hint="eastAsia" w:ascii="Arial" w:hAnsi="宋体" w:cs="Arial"/>
          <w:sz w:val="24"/>
        </w:rPr>
        <w:t>安装材料必须符合国标，必须是安全、节能、环保的绿色产品，严谨供应国家淘汰名录产品。</w:t>
      </w:r>
    </w:p>
    <w:p>
      <w:pPr>
        <w:spacing w:line="360" w:lineRule="auto"/>
        <w:rPr>
          <w:rFonts w:hint="eastAsia" w:ascii="Arial" w:hAnsi="宋体" w:cs="Arial"/>
          <w:sz w:val="24"/>
        </w:rPr>
      </w:pPr>
      <w:r>
        <w:rPr>
          <w:rFonts w:hint="eastAsia" w:ascii="宋体" w:hAnsi="宋体"/>
          <w:b/>
          <w:bCs/>
          <w:sz w:val="24"/>
          <w:lang w:val="en-US" w:eastAsia="zh-CN"/>
        </w:rPr>
        <w:t>第三条</w:t>
      </w:r>
      <w:r>
        <w:rPr>
          <w:rFonts w:hint="eastAsia" w:ascii="宋体" w:hAnsi="宋体"/>
          <w:b/>
          <w:bCs/>
          <w:sz w:val="24"/>
        </w:rPr>
        <w:t>、结算方式及期限</w:t>
      </w:r>
    </w:p>
    <w:p>
      <w:pPr>
        <w:spacing w:line="360" w:lineRule="auto"/>
        <w:rPr>
          <w:rFonts w:ascii="Arial" w:hAnsi="宋体" w:cs="Arial"/>
          <w:sz w:val="24"/>
        </w:rPr>
      </w:pPr>
      <w:r>
        <w:rPr>
          <w:rFonts w:hint="eastAsia" w:ascii="Arial" w:hAnsi="宋体" w:cs="Arial"/>
          <w:sz w:val="24"/>
        </w:rPr>
        <w:t>1、本合同价款为</w:t>
      </w:r>
      <w:r>
        <w:rPr>
          <w:rFonts w:hint="eastAsia" w:ascii="Arial" w:hAnsi="宋体" w:cs="Arial"/>
          <w:sz w:val="24"/>
          <w:lang w:eastAsia="zh-CN"/>
        </w:rPr>
        <w:t>甲方</w:t>
      </w:r>
      <w:r>
        <w:rPr>
          <w:rFonts w:hint="eastAsia" w:ascii="Arial" w:hAnsi="宋体" w:cs="Arial"/>
          <w:sz w:val="24"/>
        </w:rPr>
        <w:t>项目所涉包工包料的全部费用，除此之外</w:t>
      </w:r>
      <w:r>
        <w:rPr>
          <w:rFonts w:hint="eastAsia" w:ascii="Arial" w:hAnsi="宋体" w:cs="Arial"/>
          <w:sz w:val="24"/>
          <w:lang w:eastAsia="zh-CN"/>
        </w:rPr>
        <w:t>甲方</w:t>
      </w:r>
      <w:r>
        <w:rPr>
          <w:rFonts w:hint="eastAsia" w:ascii="Arial" w:hAnsi="宋体" w:cs="Arial"/>
          <w:sz w:val="24"/>
        </w:rPr>
        <w:t>不再支付供方任何费用。</w:t>
      </w:r>
    </w:p>
    <w:p>
      <w:pPr>
        <w:spacing w:line="360" w:lineRule="auto"/>
        <w:rPr>
          <w:rFonts w:hint="eastAsia" w:ascii="Arial" w:hAnsi="宋体" w:cs="Arial"/>
          <w:sz w:val="24"/>
          <w:lang w:val="en-US" w:eastAsia="zh-CN"/>
        </w:rPr>
      </w:pPr>
      <w:r>
        <w:rPr>
          <w:rFonts w:hint="eastAsia" w:ascii="Arial" w:hAnsi="宋体" w:cs="Arial"/>
          <w:sz w:val="24"/>
        </w:rPr>
        <w:t>2</w:t>
      </w:r>
      <w:r>
        <w:rPr>
          <w:rFonts w:hint="eastAsia" w:ascii="Arial" w:hAnsi="宋体" w:cs="Arial"/>
          <w:sz w:val="24"/>
          <w:highlight w:val="yellow"/>
        </w:rPr>
        <w:t>、支付方式：双方签订合同后，主要材料机械进厂验收合格后，当工程全部完成通过我公司验收后，开具全额</w:t>
      </w:r>
      <w:r>
        <w:rPr>
          <w:rFonts w:hint="eastAsia" w:ascii="Arial" w:hAnsi="宋体" w:cs="Arial"/>
          <w:sz w:val="24"/>
          <w:highlight w:val="yellow"/>
          <w:lang w:val="en-US" w:eastAsia="zh-CN"/>
        </w:rPr>
        <w:t>**</w:t>
      </w:r>
      <w:r>
        <w:rPr>
          <w:rFonts w:hint="eastAsia" w:ascii="Arial" w:hAnsi="宋体" w:cs="Arial"/>
          <w:sz w:val="24"/>
          <w:highlight w:val="yellow"/>
        </w:rPr>
        <w:t>%的增值税专用发票后，支付合同款的</w:t>
      </w:r>
      <w:r>
        <w:rPr>
          <w:rFonts w:hint="eastAsia" w:ascii="Arial" w:hAnsi="宋体" w:cs="Arial"/>
          <w:sz w:val="24"/>
          <w:highlight w:val="yellow"/>
          <w:lang w:val="en-US" w:eastAsia="zh-CN"/>
        </w:rPr>
        <w:t>6</w:t>
      </w:r>
      <w:r>
        <w:rPr>
          <w:rFonts w:hint="eastAsia" w:ascii="Arial" w:hAnsi="宋体" w:cs="Arial"/>
          <w:sz w:val="24"/>
          <w:highlight w:val="yellow"/>
        </w:rPr>
        <w:t>0%；生产期运行无质量问题，综合验收后，年末前支付至90%，剩余10%的工程保证金满一年后无重大质量问题验收后，于生产期前付清</w:t>
      </w:r>
      <w:r>
        <w:rPr>
          <w:rFonts w:hint="eastAsia" w:ascii="Arial" w:hAnsi="宋体" w:cs="Arial"/>
          <w:sz w:val="24"/>
          <w:highlight w:val="yellow"/>
          <w:lang w:val="en-US" w:eastAsia="zh-CN"/>
        </w:rPr>
        <w:t>。支付方式为电汇方式为人民币结算，100%电汇。开票期间如遇国家税率调整，以合同中不含税价格为基数乘以国家调整税率为开票金额）,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spacing w:line="360" w:lineRule="auto"/>
        <w:rPr>
          <w:rFonts w:ascii="Arial" w:hAnsi="宋体" w:cs="Arial"/>
          <w:sz w:val="24"/>
        </w:rPr>
      </w:pPr>
      <w:r>
        <w:rPr>
          <w:rFonts w:hint="eastAsia" w:ascii="Arial" w:hAnsi="宋体" w:cs="Arial"/>
          <w:sz w:val="24"/>
        </w:rPr>
        <w:t>3、安全环保保证金：施工前缴纳</w:t>
      </w:r>
      <w:r>
        <w:rPr>
          <w:rFonts w:hint="eastAsia" w:ascii="Arial" w:hAnsi="宋体" w:cs="Arial"/>
          <w:sz w:val="24"/>
          <w:lang w:val="en-US" w:eastAsia="zh-CN"/>
        </w:rPr>
        <w:t>叁</w:t>
      </w:r>
      <w:r>
        <w:rPr>
          <w:rFonts w:hint="eastAsia" w:ascii="Arial" w:hAnsi="宋体" w:cs="Arial"/>
          <w:sz w:val="24"/>
        </w:rPr>
        <w:t>仟元整（¥</w:t>
      </w:r>
      <w:r>
        <w:rPr>
          <w:rFonts w:hint="eastAsia" w:ascii="Arial" w:hAnsi="宋体" w:cs="Arial"/>
          <w:sz w:val="24"/>
          <w:lang w:val="en-US" w:eastAsia="zh-CN"/>
        </w:rPr>
        <w:t>3</w:t>
      </w:r>
      <w:r>
        <w:rPr>
          <w:rFonts w:hint="eastAsia" w:ascii="Arial" w:hAnsi="宋体" w:cs="Arial"/>
          <w:sz w:val="24"/>
        </w:rPr>
        <w:t>000），施工过程中未发生任何安全环保问题，安装完成验收合格，施工人员清场后</w:t>
      </w:r>
      <w:r>
        <w:rPr>
          <w:rFonts w:hint="eastAsia" w:ascii="Arial" w:hAnsi="宋体" w:cs="Arial"/>
          <w:sz w:val="24"/>
          <w:lang w:eastAsia="zh-CN"/>
        </w:rPr>
        <w:t>甲方</w:t>
      </w:r>
      <w:r>
        <w:rPr>
          <w:rFonts w:hint="eastAsia" w:ascii="Arial" w:hAnsi="宋体" w:cs="Arial"/>
          <w:sz w:val="24"/>
        </w:rPr>
        <w:t>无息退还；如若在</w:t>
      </w:r>
      <w:r>
        <w:rPr>
          <w:rFonts w:ascii="Arial" w:hAnsi="宋体" w:cs="Arial"/>
          <w:sz w:val="24"/>
        </w:rPr>
        <w:t>施工过程中</w:t>
      </w:r>
      <w:r>
        <w:rPr>
          <w:rFonts w:hint="eastAsia" w:ascii="Arial" w:hAnsi="宋体" w:cs="Arial"/>
          <w:sz w:val="24"/>
        </w:rPr>
        <w:t>产生罚款单，则在罚款清缴后返还履约保证金，</w:t>
      </w:r>
      <w:r>
        <w:rPr>
          <w:rFonts w:hint="eastAsia" w:ascii="Arial" w:hAnsi="宋体" w:cs="Arial"/>
          <w:sz w:val="24"/>
          <w:lang w:eastAsia="zh-CN"/>
        </w:rPr>
        <w:t>乙方</w:t>
      </w:r>
      <w:r>
        <w:rPr>
          <w:rFonts w:hint="eastAsia" w:ascii="Arial" w:hAnsi="宋体" w:cs="Arial"/>
          <w:sz w:val="24"/>
        </w:rPr>
        <w:t>未缴纳的，</w:t>
      </w:r>
      <w:r>
        <w:rPr>
          <w:rFonts w:hint="eastAsia" w:ascii="Arial" w:hAnsi="宋体" w:cs="Arial"/>
          <w:sz w:val="24"/>
          <w:lang w:eastAsia="zh-CN"/>
        </w:rPr>
        <w:t>甲方</w:t>
      </w:r>
      <w:r>
        <w:rPr>
          <w:rFonts w:hint="eastAsia" w:ascii="Arial" w:hAnsi="宋体" w:cs="Arial"/>
          <w:sz w:val="24"/>
        </w:rPr>
        <w:t>有权从中抵扣，不足部分应补足。</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61"/>
          <w:rFonts w:ascii="Times New Roman" w:hAnsi="Times New Roman" w:eastAsia="宋体"/>
          <w:b w:val="0"/>
          <w:i w:val="0"/>
          <w:caps w:val="0"/>
          <w:spacing w:val="0"/>
          <w:w w:val="100"/>
          <w:kern w:val="2"/>
          <w:sz w:val="24"/>
          <w:szCs w:val="24"/>
          <w:lang w:val="en-US" w:eastAsia="zh-CN" w:bidi="ar-SA"/>
        </w:rPr>
      </w:pPr>
      <w:r>
        <w:rPr>
          <w:rStyle w:val="61"/>
          <w:rFonts w:ascii="Times New Roman" w:hAnsi="Times New Roman" w:eastAsia="宋体"/>
          <w:b/>
          <w:bCs/>
          <w:i w:val="0"/>
          <w:caps w:val="0"/>
          <w:spacing w:val="0"/>
          <w:w w:val="100"/>
          <w:kern w:val="2"/>
          <w:sz w:val="24"/>
          <w:szCs w:val="24"/>
          <w:lang w:val="en-US" w:eastAsia="zh-CN" w:bidi="ar-SA"/>
        </w:rPr>
        <w:t>第四条 施工工期</w:t>
      </w:r>
      <w:r>
        <w:rPr>
          <w:rStyle w:val="61"/>
          <w:rFonts w:ascii="Times New Roman" w:hAnsi="Times New Roman" w:eastAsia="宋体"/>
          <w:b w:val="0"/>
          <w:i w:val="0"/>
          <w:caps w:val="0"/>
          <w:spacing w:val="0"/>
          <w:w w:val="100"/>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61"/>
          <w:rFonts w:ascii="Times New Roman" w:hAnsi="Times New Roman" w:eastAsia="宋体"/>
          <w:b w:val="0"/>
          <w:i w:val="0"/>
          <w:caps w:val="0"/>
          <w:spacing w:val="0"/>
          <w:w w:val="100"/>
          <w:kern w:val="2"/>
          <w:sz w:val="24"/>
          <w:szCs w:val="24"/>
          <w:lang w:val="en-US" w:eastAsia="zh-CN" w:bidi="ar-SA"/>
        </w:rPr>
      </w:pPr>
      <w:r>
        <w:rPr>
          <w:rStyle w:val="61"/>
          <w:rFonts w:ascii="Times New Roman" w:hAnsi="Times New Roman" w:eastAsia="宋体"/>
          <w:b w:val="0"/>
          <w:i w:val="0"/>
          <w:caps w:val="0"/>
          <w:spacing w:val="0"/>
          <w:w w:val="100"/>
          <w:kern w:val="2"/>
          <w:sz w:val="24"/>
          <w:szCs w:val="24"/>
          <w:lang w:val="en-US" w:eastAsia="zh-CN" w:bidi="ar-SA"/>
        </w:rPr>
        <w:t>（一）施工周期为：</w:t>
      </w:r>
      <w:r>
        <w:rPr>
          <w:rFonts w:hint="eastAsia" w:asciiTheme="minorEastAsia" w:hAnsiTheme="minorEastAsia" w:eastAsiaTheme="minorEastAsia" w:cstheme="minorEastAsia"/>
          <w:kern w:val="0"/>
          <w:sz w:val="24"/>
          <w:szCs w:val="24"/>
        </w:rPr>
        <w:t>合同签订后生效后</w:t>
      </w:r>
      <w:r>
        <w:rPr>
          <w:rFonts w:hint="eastAsia" w:asciiTheme="minorEastAsia" w:hAnsiTheme="minorEastAsia" w:eastAsiaTheme="minorEastAsia" w:cstheme="minorEastAsia"/>
          <w:color w:val="FF0000"/>
          <w:kern w:val="0"/>
          <w:sz w:val="24"/>
          <w:szCs w:val="24"/>
          <w:lang w:val="en-US" w:eastAsia="zh-CN"/>
        </w:rPr>
        <w:t>**</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eastAsia="zh-CN"/>
        </w:rPr>
        <w:t>完工。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61"/>
          <w:rFonts w:ascii="Times New Roman" w:hAnsi="Times New Roman" w:eastAsia="宋体"/>
          <w:b w:val="0"/>
          <w:i w:val="0"/>
          <w:caps w:val="0"/>
          <w:spacing w:val="0"/>
          <w:w w:val="100"/>
          <w:kern w:val="2"/>
          <w:sz w:val="24"/>
          <w:szCs w:val="24"/>
          <w:lang w:val="en-US" w:eastAsia="zh-CN" w:bidi="ar-SA"/>
        </w:rPr>
      </w:pPr>
      <w:r>
        <w:rPr>
          <w:rStyle w:val="61"/>
          <w:rFonts w:ascii="Times New Roman" w:hAnsi="Times New Roman" w:eastAsia="宋体"/>
          <w:b w:val="0"/>
          <w:i w:val="0"/>
          <w:caps w:val="0"/>
          <w:spacing w:val="0"/>
          <w:w w:val="100"/>
          <w:kern w:val="2"/>
          <w:sz w:val="24"/>
          <w:szCs w:val="24"/>
          <w:lang w:val="en-US" w:eastAsia="zh-CN" w:bidi="ar-SA"/>
        </w:rPr>
        <w:t>（三）工期延误：</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rPr>
          <w:rStyle w:val="61"/>
          <w:rFonts w:ascii="Times New Roman" w:hAnsi="Times New Roman" w:eastAsia="宋体"/>
          <w:b w:val="0"/>
          <w:i w:val="0"/>
          <w:caps w:val="0"/>
          <w:spacing w:val="0"/>
          <w:w w:val="100"/>
          <w:kern w:val="2"/>
          <w:sz w:val="24"/>
          <w:szCs w:val="24"/>
          <w:lang w:val="en-US" w:eastAsia="zh-CN" w:bidi="ar-SA"/>
        </w:rPr>
      </w:pPr>
      <w:r>
        <w:rPr>
          <w:rStyle w:val="61"/>
          <w:rFonts w:ascii="Times New Roman" w:hAnsi="Times New Roman" w:eastAsia="宋体"/>
          <w:b w:val="0"/>
          <w:i w:val="0"/>
          <w:caps w:val="0"/>
          <w:spacing w:val="0"/>
          <w:w w:val="100"/>
          <w:kern w:val="2"/>
          <w:sz w:val="24"/>
          <w:szCs w:val="24"/>
          <w:lang w:val="en-US" w:eastAsia="zh-CN" w:bidi="ar-SA"/>
        </w:rPr>
        <w:t>1、在施工过程中甲方发现乙方施工不符合合同要求，由此造成工期延误的，由乙方负责。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2、工期相应顺延的情形：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2.1非乙方原因停电、停水造成停工连续达8小时以上的，工期顺延一天。</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2.2不可抗力（按国家相关规定执行）。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2.3非甲、乙双方原因造成施工不能进行，所造成的工期延误，经甲方确认后按实际影响天数给予工期相应顺延。</w:t>
      </w:r>
    </w:p>
    <w:p>
      <w:pPr>
        <w:widowControl/>
        <w:snapToGrid/>
        <w:spacing w:before="0" w:beforeAutospacing="0" w:after="0" w:afterAutospacing="0" w:line="460" w:lineRule="exact"/>
        <w:jc w:val="left"/>
        <w:textAlignment w:val="baseline"/>
        <w:rPr>
          <w:rStyle w:val="61"/>
          <w:rFonts w:ascii="宋体" w:hAnsi="宋体" w:eastAsia="宋体" w:cs="宋体"/>
          <w:b/>
          <w:bCs/>
          <w:i w:val="0"/>
          <w:caps w:val="0"/>
          <w:spacing w:val="0"/>
          <w:w w:val="100"/>
          <w:kern w:val="2"/>
          <w:sz w:val="24"/>
          <w:szCs w:val="24"/>
          <w:lang w:val="en-US" w:eastAsia="zh-CN" w:bidi="ar-SA"/>
        </w:rPr>
      </w:pPr>
      <w:r>
        <w:rPr>
          <w:rStyle w:val="61"/>
          <w:rFonts w:ascii="宋体" w:hAnsi="宋体" w:eastAsia="宋体" w:cs="宋体"/>
          <w:b/>
          <w:bCs/>
          <w:i w:val="0"/>
          <w:caps w:val="0"/>
          <w:spacing w:val="0"/>
          <w:w w:val="100"/>
          <w:kern w:val="2"/>
          <w:sz w:val="24"/>
          <w:szCs w:val="24"/>
          <w:lang w:val="en-US" w:eastAsia="zh-CN" w:bidi="ar-SA"/>
        </w:rPr>
        <w:t>第五条 整改、返工或停工</w:t>
      </w:r>
    </w:p>
    <w:p>
      <w:pPr>
        <w:widowControl/>
        <w:snapToGrid/>
        <w:spacing w:before="0" w:beforeAutospacing="0" w:after="0" w:afterAutospacing="0" w:line="460" w:lineRule="exact"/>
        <w:ind w:firstLine="480" w:firstLineChars="200"/>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在施工过程中，甲方对乙方的施工进行检查和监督，如乙方在施工质量、施工安全，以及现场文明施工达不到合同约定及政府有关部门的要求，甲方有权依法责令乙方整改、返工或停工，因此而造成的工期延误由乙方负责。</w:t>
      </w:r>
    </w:p>
    <w:p>
      <w:pPr>
        <w:widowControl/>
        <w:snapToGrid/>
        <w:spacing w:before="0" w:beforeAutospacing="0" w:after="0" w:afterAutospacing="0" w:line="460" w:lineRule="exact"/>
        <w:jc w:val="left"/>
        <w:textAlignment w:val="baseline"/>
        <w:rPr>
          <w:rStyle w:val="61"/>
          <w:rFonts w:ascii="宋体" w:hAnsi="宋体" w:eastAsia="宋体" w:cs="宋体"/>
          <w:b/>
          <w:bCs/>
          <w:i w:val="0"/>
          <w:caps w:val="0"/>
          <w:spacing w:val="0"/>
          <w:w w:val="100"/>
          <w:kern w:val="2"/>
          <w:sz w:val="24"/>
          <w:szCs w:val="24"/>
          <w:lang w:val="en-US" w:eastAsia="zh-CN" w:bidi="ar-SA"/>
        </w:rPr>
      </w:pPr>
      <w:r>
        <w:rPr>
          <w:rStyle w:val="61"/>
          <w:rFonts w:ascii="宋体" w:hAnsi="宋体" w:eastAsia="宋体" w:cs="宋体"/>
          <w:b/>
          <w:bCs/>
          <w:i w:val="0"/>
          <w:caps w:val="0"/>
          <w:spacing w:val="0"/>
          <w:w w:val="100"/>
          <w:kern w:val="2"/>
          <w:sz w:val="24"/>
          <w:szCs w:val="24"/>
          <w:lang w:val="en-US" w:eastAsia="zh-CN" w:bidi="ar-SA"/>
        </w:rPr>
        <w:t>第六条 验收</w:t>
      </w:r>
    </w:p>
    <w:p>
      <w:pPr>
        <w:widowControl/>
        <w:snapToGrid w:val="0"/>
        <w:spacing w:before="0" w:beforeAutospacing="0" w:after="0" w:afterAutospacing="0" w:line="460" w:lineRule="exact"/>
        <w:ind w:firstLine="480" w:firstLineChars="200"/>
        <w:jc w:val="left"/>
        <w:textAlignment w:val="baseline"/>
        <w:rPr>
          <w:rStyle w:val="61"/>
          <w:rFonts w:hint="default" w:ascii="宋体" w:hAnsi="宋体" w:cs="Times New Roman"/>
          <w:b w:val="0"/>
          <w:i w:val="0"/>
          <w:caps w:val="0"/>
          <w:spacing w:val="0"/>
          <w:w w:val="100"/>
          <w:kern w:val="2"/>
          <w:sz w:val="24"/>
          <w:szCs w:val="24"/>
          <w:highlight w:val="none"/>
          <w:lang w:val="en-US" w:eastAsia="zh-CN" w:bidi="ar-SA"/>
        </w:rPr>
      </w:pPr>
      <w:r>
        <w:rPr>
          <w:rStyle w:val="61"/>
          <w:rFonts w:hint="eastAsia" w:ascii="宋体" w:hAnsi="宋体" w:eastAsia="宋体" w:cs="Times New Roman"/>
          <w:b w:val="0"/>
          <w:i w:val="0"/>
          <w:caps w:val="0"/>
          <w:spacing w:val="0"/>
          <w:w w:val="100"/>
          <w:kern w:val="2"/>
          <w:sz w:val="24"/>
          <w:szCs w:val="24"/>
          <w:highlight w:val="none"/>
          <w:lang w:val="en-US" w:eastAsia="zh-CN" w:bidi="ar-SA"/>
        </w:rPr>
        <w:t>材料到厂，</w:t>
      </w:r>
      <w:r>
        <w:rPr>
          <w:rStyle w:val="61"/>
          <w:rFonts w:hint="eastAsia" w:ascii="宋体" w:hAnsi="宋体" w:cs="Times New Roman"/>
          <w:b w:val="0"/>
          <w:i w:val="0"/>
          <w:caps w:val="0"/>
          <w:spacing w:val="0"/>
          <w:w w:val="100"/>
          <w:kern w:val="2"/>
          <w:sz w:val="24"/>
          <w:szCs w:val="24"/>
          <w:highlight w:val="none"/>
          <w:lang w:val="en-US" w:eastAsia="zh-CN" w:bidi="ar-SA"/>
        </w:rPr>
        <w:t>甲</w:t>
      </w:r>
      <w:r>
        <w:rPr>
          <w:rStyle w:val="61"/>
          <w:rFonts w:hint="eastAsia" w:ascii="宋体" w:hAnsi="宋体" w:eastAsia="宋体" w:cs="Times New Roman"/>
          <w:b w:val="0"/>
          <w:i w:val="0"/>
          <w:caps w:val="0"/>
          <w:spacing w:val="0"/>
          <w:w w:val="100"/>
          <w:kern w:val="2"/>
          <w:sz w:val="24"/>
          <w:szCs w:val="24"/>
          <w:highlight w:val="none"/>
          <w:lang w:val="en-US" w:eastAsia="zh-CN" w:bidi="ar-SA"/>
        </w:rPr>
        <w:t>方对材料外观、质量进行静态验收，验收异议</w:t>
      </w:r>
      <w:r>
        <w:rPr>
          <w:rStyle w:val="61"/>
          <w:rFonts w:hint="eastAsia" w:ascii="宋体" w:hAnsi="宋体" w:cs="Times New Roman"/>
          <w:b w:val="0"/>
          <w:i w:val="0"/>
          <w:caps w:val="0"/>
          <w:spacing w:val="0"/>
          <w:w w:val="100"/>
          <w:kern w:val="2"/>
          <w:sz w:val="24"/>
          <w:szCs w:val="24"/>
          <w:highlight w:val="none"/>
          <w:lang w:val="en-US" w:eastAsia="zh-CN" w:bidi="ar-SA"/>
        </w:rPr>
        <w:t>提出后，乙方在5个工作日完成整改。整体维修工程待炉墙全部完工后</w:t>
      </w:r>
      <w:r>
        <w:rPr>
          <w:rStyle w:val="61"/>
          <w:rFonts w:hint="eastAsia" w:ascii="宋体" w:hAnsi="宋体" w:eastAsia="宋体" w:cs="Times New Roman"/>
          <w:b w:val="0"/>
          <w:i w:val="0"/>
          <w:caps w:val="0"/>
          <w:spacing w:val="0"/>
          <w:w w:val="100"/>
          <w:kern w:val="2"/>
          <w:sz w:val="24"/>
          <w:szCs w:val="24"/>
          <w:highlight w:val="none"/>
          <w:lang w:val="en-US" w:eastAsia="zh-CN" w:bidi="ar-SA"/>
        </w:rPr>
        <w:t>进行</w:t>
      </w:r>
      <w:r>
        <w:rPr>
          <w:rStyle w:val="61"/>
          <w:rFonts w:hint="eastAsia" w:ascii="宋体" w:hAnsi="宋体" w:cs="Times New Roman"/>
          <w:b w:val="0"/>
          <w:i w:val="0"/>
          <w:caps w:val="0"/>
          <w:spacing w:val="0"/>
          <w:w w:val="100"/>
          <w:kern w:val="2"/>
          <w:sz w:val="24"/>
          <w:szCs w:val="24"/>
          <w:highlight w:val="none"/>
          <w:lang w:val="en-US" w:eastAsia="zh-CN" w:bidi="ar-SA"/>
        </w:rPr>
        <w:t>验收。</w:t>
      </w:r>
    </w:p>
    <w:p>
      <w:pPr>
        <w:widowControl/>
        <w:snapToGrid/>
        <w:spacing w:before="0" w:beforeAutospacing="0" w:after="0" w:afterAutospacing="0" w:line="460" w:lineRule="exact"/>
        <w:jc w:val="left"/>
        <w:textAlignment w:val="baseline"/>
        <w:rPr>
          <w:rStyle w:val="61"/>
          <w:rFonts w:ascii="宋体" w:hAnsi="宋体" w:eastAsia="宋体" w:cs="宋体"/>
          <w:b/>
          <w:bCs/>
          <w:i w:val="0"/>
          <w:caps w:val="0"/>
          <w:spacing w:val="0"/>
          <w:w w:val="100"/>
          <w:kern w:val="2"/>
          <w:sz w:val="24"/>
          <w:szCs w:val="24"/>
          <w:lang w:val="en-US" w:eastAsia="zh-CN" w:bidi="ar-SA"/>
        </w:rPr>
      </w:pPr>
      <w:r>
        <w:rPr>
          <w:rStyle w:val="61"/>
          <w:rFonts w:ascii="宋体" w:hAnsi="宋体" w:eastAsia="宋体" w:cs="宋体"/>
          <w:b/>
          <w:bCs/>
          <w:i w:val="0"/>
          <w:caps w:val="0"/>
          <w:spacing w:val="0"/>
          <w:w w:val="100"/>
          <w:kern w:val="2"/>
          <w:sz w:val="24"/>
          <w:szCs w:val="24"/>
          <w:lang w:val="en-US" w:eastAsia="zh-CN" w:bidi="ar-SA"/>
        </w:rPr>
        <w:t>第七条 双方责任</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（一）乙方的责任：</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1、工程质量不符合合同及施工规范要求的负责无偿维修或返工。</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color w:val="000000"/>
          <w:spacing w:val="0"/>
          <w:w w:val="100"/>
          <w:kern w:val="0"/>
          <w:sz w:val="24"/>
          <w:szCs w:val="24"/>
          <w:lang w:val="zh-CN" w:eastAsia="zh-CN" w:bidi="ar-SA"/>
        </w:rPr>
      </w:pPr>
      <w:r>
        <w:rPr>
          <w:rStyle w:val="61"/>
          <w:rFonts w:ascii="宋体" w:hAnsi="宋体" w:eastAsia="宋体"/>
          <w:b w:val="0"/>
          <w:i w:val="0"/>
          <w:caps w:val="0"/>
          <w:spacing w:val="0"/>
          <w:w w:val="100"/>
          <w:kern w:val="2"/>
          <w:sz w:val="24"/>
          <w:szCs w:val="24"/>
          <w:lang w:val="en-US" w:eastAsia="zh-CN" w:bidi="ar-SA"/>
        </w:rPr>
        <w:t>2、工程不能按合同规定的工期交付使用的，每推迟一天乙方向甲方支付合同总额千分之一的违约金，以此类推。</w:t>
      </w:r>
      <w:r>
        <w:rPr>
          <w:rStyle w:val="61"/>
          <w:rFonts w:ascii="宋体" w:hAnsi="宋体" w:eastAsia="宋体"/>
          <w:b w:val="0"/>
          <w:i w:val="0"/>
          <w:caps w:val="0"/>
          <w:color w:val="000000"/>
          <w:spacing w:val="0"/>
          <w:w w:val="100"/>
          <w:kern w:val="0"/>
          <w:sz w:val="24"/>
          <w:szCs w:val="24"/>
          <w:lang w:val="zh-CN" w:eastAsia="zh-CN" w:bidi="ar-SA"/>
        </w:rPr>
        <w:t>工程逾期交付达到15天的，甲方有权解除合同。甲方解除合同不免除乙方承担已发生的违约责任，并赔偿由此给甲方造成的所有损失。</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color w:val="000000"/>
          <w:spacing w:val="0"/>
          <w:w w:val="100"/>
          <w:kern w:val="0"/>
          <w:sz w:val="24"/>
          <w:szCs w:val="24"/>
          <w:lang w:val="zh-CN" w:eastAsia="zh-CN" w:bidi="ar-SA"/>
        </w:rPr>
      </w:pPr>
      <w:r>
        <w:rPr>
          <w:rStyle w:val="61"/>
          <w:rFonts w:ascii="宋体" w:hAnsi="宋体" w:eastAsia="宋体"/>
          <w:b w:val="0"/>
          <w:i w:val="0"/>
          <w:caps w:val="0"/>
          <w:color w:val="000000"/>
          <w:spacing w:val="0"/>
          <w:w w:val="100"/>
          <w:kern w:val="0"/>
          <w:sz w:val="24"/>
          <w:szCs w:val="24"/>
          <w:lang w:val="zh-CN" w:eastAsia="zh-CN" w:bidi="ar-SA"/>
        </w:rPr>
        <w:t>3、合同签订后，乙方必需为施工人员购买意外保险。</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（二）甲方的责任：</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color w:val="000000"/>
          <w:spacing w:val="0"/>
          <w:w w:val="100"/>
          <w:kern w:val="2"/>
          <w:sz w:val="24"/>
          <w:szCs w:val="24"/>
          <w:lang w:val="en-US" w:eastAsia="zh-CN" w:bidi="ar-SA"/>
        </w:rPr>
      </w:pPr>
      <w:r>
        <w:rPr>
          <w:rStyle w:val="61"/>
          <w:rFonts w:ascii="宋体" w:hAnsi="宋体" w:eastAsia="宋体"/>
          <w:b w:val="0"/>
          <w:i w:val="0"/>
          <w:caps w:val="0"/>
          <w:color w:val="000000"/>
          <w:spacing w:val="0"/>
          <w:w w:val="100"/>
          <w:kern w:val="2"/>
          <w:sz w:val="24"/>
          <w:szCs w:val="24"/>
          <w:lang w:val="en-US" w:eastAsia="zh-CN" w:bidi="ar-SA"/>
        </w:rPr>
        <w:t>1、对乙方的工程质量、进度进行监督检查及时办理验收手续及其他事宜。</w:t>
      </w:r>
    </w:p>
    <w:p>
      <w:pPr>
        <w:widowControl/>
        <w:snapToGrid w:val="0"/>
        <w:spacing w:before="0" w:beforeAutospacing="0" w:after="0" w:afterAutospacing="0" w:line="460" w:lineRule="exact"/>
        <w:ind w:firstLine="480" w:firstLineChars="200"/>
        <w:jc w:val="left"/>
        <w:textAlignment w:val="baseline"/>
        <w:rPr>
          <w:rStyle w:val="61"/>
          <w:rFonts w:ascii="宋体" w:hAnsi="宋体" w:eastAsia="宋体"/>
          <w:b w:val="0"/>
          <w:i w:val="0"/>
          <w:caps w:val="0"/>
          <w:color w:val="000000"/>
          <w:spacing w:val="0"/>
          <w:w w:val="100"/>
          <w:kern w:val="2"/>
          <w:sz w:val="24"/>
          <w:szCs w:val="24"/>
          <w:lang w:val="en-US" w:eastAsia="zh-CN" w:bidi="ar-SA"/>
        </w:rPr>
      </w:pPr>
      <w:r>
        <w:rPr>
          <w:rStyle w:val="61"/>
          <w:rFonts w:ascii="宋体" w:hAnsi="宋体" w:eastAsia="宋体"/>
          <w:b w:val="0"/>
          <w:i w:val="0"/>
          <w:caps w:val="0"/>
          <w:color w:val="000000"/>
          <w:spacing w:val="0"/>
          <w:w w:val="100"/>
          <w:kern w:val="2"/>
          <w:sz w:val="24"/>
          <w:szCs w:val="24"/>
          <w:lang w:val="en-US" w:eastAsia="zh-CN" w:bidi="ar-SA"/>
        </w:rPr>
        <w:t>2、及时足额支付工程款。</w:t>
      </w:r>
    </w:p>
    <w:p>
      <w:pPr>
        <w:widowControl/>
        <w:snapToGrid/>
        <w:spacing w:before="0" w:beforeAutospacing="0" w:after="0" w:afterAutospacing="0" w:line="460" w:lineRule="exact"/>
        <w:ind w:firstLine="482" w:firstLineChars="200"/>
        <w:jc w:val="left"/>
        <w:textAlignment w:val="baseline"/>
        <w:rPr>
          <w:rStyle w:val="61"/>
          <w:rFonts w:ascii="宋体" w:hAnsi="宋体" w:eastAsia="宋体" w:cs="宋体"/>
          <w:b/>
          <w:bCs/>
          <w:i w:val="0"/>
          <w:caps w:val="0"/>
          <w:spacing w:val="0"/>
          <w:w w:val="100"/>
          <w:kern w:val="2"/>
          <w:sz w:val="24"/>
          <w:szCs w:val="24"/>
          <w:lang w:val="en-US" w:eastAsia="zh-CN" w:bidi="ar-SA"/>
        </w:rPr>
      </w:pPr>
      <w:r>
        <w:rPr>
          <w:rStyle w:val="61"/>
          <w:rFonts w:ascii="宋体" w:hAnsi="宋体" w:eastAsia="宋体" w:cs="宋体"/>
          <w:b/>
          <w:bCs/>
          <w:i w:val="0"/>
          <w:caps w:val="0"/>
          <w:spacing w:val="0"/>
          <w:w w:val="100"/>
          <w:kern w:val="2"/>
          <w:sz w:val="24"/>
          <w:szCs w:val="24"/>
          <w:lang w:val="en-US" w:eastAsia="zh-CN" w:bidi="ar-SA"/>
        </w:rPr>
        <w:t>第八条 违约责任和其他约定</w:t>
      </w:r>
    </w:p>
    <w:p>
      <w:pPr>
        <w:widowControl/>
        <w:snapToGrid/>
        <w:spacing w:before="0" w:beforeAutospacing="0" w:after="0" w:afterAutospacing="0" w:line="460" w:lineRule="exact"/>
        <w:ind w:firstLine="480" w:firstLineChars="200"/>
        <w:jc w:val="left"/>
        <w:textAlignment w:val="baseline"/>
        <w:rPr>
          <w:rStyle w:val="61"/>
          <w:rFonts w:ascii="宋体" w:hAnsi="宋体" w:eastAsia="宋体" w:cs="Times New Roman"/>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乙方在甲方厂区内施工期间必须遵守甲方的有关规定，如有违反按甲方的规章制度</w:t>
      </w:r>
      <w:r>
        <w:rPr>
          <w:rStyle w:val="61"/>
          <w:rFonts w:ascii="宋体" w:hAnsi="宋体" w:eastAsia="宋体" w:cs="Times New Roman"/>
          <w:b w:val="0"/>
          <w:i w:val="0"/>
          <w:caps w:val="0"/>
          <w:spacing w:val="0"/>
          <w:w w:val="100"/>
          <w:kern w:val="2"/>
          <w:sz w:val="24"/>
          <w:szCs w:val="24"/>
          <w:lang w:val="en-US" w:eastAsia="zh-CN" w:bidi="ar-SA"/>
        </w:rPr>
        <w:t>处理。乙方承担在施工过程中造成安全事故的一切责任，如造成甲方损失，必须赔偿甲方财产损失。未尽事宜双方协商解决，协商不成，应向甲方所在地人民法院起诉。律师费等相关费用由违约方承担。</w:t>
      </w:r>
    </w:p>
    <w:p>
      <w:pPr>
        <w:widowControl/>
        <w:snapToGrid/>
        <w:spacing w:before="0" w:beforeAutospacing="0" w:after="0" w:afterAutospacing="0" w:line="460" w:lineRule="exact"/>
        <w:ind w:firstLine="480" w:firstLineChars="200"/>
        <w:jc w:val="left"/>
        <w:textAlignment w:val="baseline"/>
        <w:rPr>
          <w:rStyle w:val="61"/>
          <w:rFonts w:ascii="宋体" w:hAnsi="宋体" w:eastAsia="宋体" w:cs="Times New Roman"/>
          <w:b w:val="0"/>
          <w:i w:val="0"/>
          <w:caps w:val="0"/>
          <w:spacing w:val="0"/>
          <w:w w:val="100"/>
          <w:kern w:val="2"/>
          <w:sz w:val="24"/>
          <w:szCs w:val="24"/>
          <w:lang w:val="en-US" w:eastAsia="zh-CN" w:bidi="ar-SA"/>
        </w:rPr>
      </w:pPr>
      <w:r>
        <w:rPr>
          <w:rStyle w:val="61"/>
          <w:rFonts w:hint="eastAsia" w:ascii="宋体" w:hAnsi="宋体" w:eastAsia="宋体" w:cs="Times New Roman"/>
          <w:b w:val="0"/>
          <w:i w:val="0"/>
          <w:caps w:val="0"/>
          <w:spacing w:val="0"/>
          <w:w w:val="100"/>
          <w:kern w:val="2"/>
          <w:sz w:val="24"/>
          <w:szCs w:val="24"/>
          <w:lang w:val="en-US" w:eastAsia="zh-CN" w:bidi="ar-SA"/>
        </w:rPr>
        <w:t>乙方</w:t>
      </w:r>
      <w:r>
        <w:rPr>
          <w:rStyle w:val="61"/>
          <w:rFonts w:ascii="宋体" w:hAnsi="宋体" w:eastAsia="宋体" w:cs="Times New Roman"/>
          <w:b w:val="0"/>
          <w:i w:val="0"/>
          <w:caps w:val="0"/>
          <w:spacing w:val="0"/>
          <w:w w:val="100"/>
          <w:kern w:val="2"/>
          <w:sz w:val="24"/>
          <w:szCs w:val="24"/>
          <w:lang w:val="en-US" w:eastAsia="zh-CN" w:bidi="ar-SA"/>
        </w:rPr>
        <w:t>就本合同约定的业务向</w:t>
      </w:r>
      <w:r>
        <w:rPr>
          <w:rStyle w:val="61"/>
          <w:rFonts w:hint="eastAsia" w:ascii="宋体" w:hAnsi="宋体" w:eastAsia="宋体" w:cs="Times New Roman"/>
          <w:b w:val="0"/>
          <w:i w:val="0"/>
          <w:caps w:val="0"/>
          <w:spacing w:val="0"/>
          <w:w w:val="100"/>
          <w:kern w:val="2"/>
          <w:sz w:val="24"/>
          <w:szCs w:val="24"/>
          <w:lang w:val="en-US" w:eastAsia="zh-CN" w:bidi="ar-SA"/>
        </w:rPr>
        <w:t>甲方</w:t>
      </w:r>
      <w:r>
        <w:rPr>
          <w:rStyle w:val="61"/>
          <w:rFonts w:ascii="宋体" w:hAnsi="宋体" w:eastAsia="宋体" w:cs="Times New Roman"/>
          <w:b w:val="0"/>
          <w:i w:val="0"/>
          <w:caps w:val="0"/>
          <w:spacing w:val="0"/>
          <w:w w:val="100"/>
          <w:kern w:val="2"/>
          <w:sz w:val="24"/>
          <w:szCs w:val="24"/>
          <w:lang w:val="en-US" w:eastAsia="zh-CN" w:bidi="ar-SA"/>
        </w:rPr>
        <w:t>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w:t>
      </w:r>
      <w:r>
        <w:rPr>
          <w:rStyle w:val="61"/>
          <w:rFonts w:hint="eastAsia" w:ascii="宋体" w:hAnsi="宋体" w:eastAsia="宋体" w:cs="Times New Roman"/>
          <w:b w:val="0"/>
          <w:i w:val="0"/>
          <w:caps w:val="0"/>
          <w:spacing w:val="0"/>
          <w:w w:val="100"/>
          <w:kern w:val="2"/>
          <w:sz w:val="24"/>
          <w:szCs w:val="24"/>
          <w:lang w:val="en-US" w:eastAsia="zh-CN" w:bidi="ar-SA"/>
        </w:rPr>
        <w:t>乙方</w:t>
      </w:r>
      <w:r>
        <w:rPr>
          <w:rStyle w:val="61"/>
          <w:rFonts w:ascii="宋体" w:hAnsi="宋体" w:eastAsia="宋体" w:cs="Times New Roman"/>
          <w:b w:val="0"/>
          <w:i w:val="0"/>
          <w:caps w:val="0"/>
          <w:spacing w:val="0"/>
          <w:w w:val="100"/>
          <w:kern w:val="2"/>
          <w:sz w:val="24"/>
          <w:szCs w:val="24"/>
          <w:lang w:val="en-US" w:eastAsia="zh-CN" w:bidi="ar-SA"/>
        </w:rPr>
        <w:t>应承担赔偿责任，包括但不限于补交税款、滞纳金及罚款等损失，同时</w:t>
      </w:r>
      <w:r>
        <w:rPr>
          <w:rStyle w:val="61"/>
          <w:rFonts w:hint="eastAsia" w:ascii="宋体" w:hAnsi="宋体" w:eastAsia="宋体" w:cs="Times New Roman"/>
          <w:b w:val="0"/>
          <w:i w:val="0"/>
          <w:caps w:val="0"/>
          <w:spacing w:val="0"/>
          <w:w w:val="100"/>
          <w:kern w:val="2"/>
          <w:sz w:val="24"/>
          <w:szCs w:val="24"/>
          <w:lang w:val="en-US" w:eastAsia="zh-CN" w:bidi="ar-SA"/>
        </w:rPr>
        <w:t>乙方</w:t>
      </w:r>
      <w:r>
        <w:rPr>
          <w:rStyle w:val="61"/>
          <w:rFonts w:ascii="宋体" w:hAnsi="宋体" w:eastAsia="宋体" w:cs="Times New Roman"/>
          <w:b w:val="0"/>
          <w:i w:val="0"/>
          <w:caps w:val="0"/>
          <w:spacing w:val="0"/>
          <w:w w:val="100"/>
          <w:kern w:val="2"/>
          <w:sz w:val="24"/>
          <w:szCs w:val="24"/>
          <w:lang w:val="en-US" w:eastAsia="zh-CN" w:bidi="ar-SA"/>
        </w:rPr>
        <w:t>应向</w:t>
      </w:r>
      <w:r>
        <w:rPr>
          <w:rStyle w:val="61"/>
          <w:rFonts w:hint="eastAsia" w:ascii="宋体" w:hAnsi="宋体" w:eastAsia="宋体" w:cs="Times New Roman"/>
          <w:b w:val="0"/>
          <w:i w:val="0"/>
          <w:caps w:val="0"/>
          <w:spacing w:val="0"/>
          <w:w w:val="100"/>
          <w:kern w:val="2"/>
          <w:sz w:val="24"/>
          <w:szCs w:val="24"/>
          <w:lang w:val="en-US" w:eastAsia="zh-CN" w:bidi="ar-SA"/>
        </w:rPr>
        <w:t>甲方</w:t>
      </w:r>
      <w:r>
        <w:rPr>
          <w:rStyle w:val="61"/>
          <w:rFonts w:ascii="宋体" w:hAnsi="宋体" w:eastAsia="宋体" w:cs="Times New Roman"/>
          <w:b w:val="0"/>
          <w:i w:val="0"/>
          <w:caps w:val="0"/>
          <w:spacing w:val="0"/>
          <w:w w:val="100"/>
          <w:kern w:val="2"/>
          <w:sz w:val="24"/>
          <w:szCs w:val="24"/>
          <w:lang w:val="en-US" w:eastAsia="zh-CN" w:bidi="ar-SA"/>
        </w:rPr>
        <w:t>支付合同总价款5%的违约金”。</w:t>
      </w:r>
    </w:p>
    <w:p>
      <w:pPr>
        <w:widowControl/>
        <w:snapToGrid/>
        <w:spacing w:before="0" w:beforeAutospacing="0" w:after="0" w:afterAutospacing="0" w:line="460" w:lineRule="exact"/>
        <w:ind w:firstLine="480" w:firstLineChars="200"/>
        <w:jc w:val="left"/>
        <w:textAlignment w:val="baseline"/>
        <w:rPr>
          <w:rStyle w:val="61"/>
          <w:rFonts w:ascii="宋体" w:hAnsi="宋体" w:eastAsia="宋体" w:cs="Times New Roman"/>
          <w:b w:val="0"/>
          <w:i w:val="0"/>
          <w:caps w:val="0"/>
          <w:spacing w:val="0"/>
          <w:w w:val="100"/>
          <w:kern w:val="2"/>
          <w:sz w:val="24"/>
          <w:szCs w:val="24"/>
          <w:lang w:val="en-US" w:eastAsia="zh-CN" w:bidi="ar-SA"/>
        </w:rPr>
      </w:pPr>
      <w:r>
        <w:rPr>
          <w:rStyle w:val="61"/>
          <w:rFonts w:ascii="宋体" w:hAnsi="宋体" w:eastAsia="宋体" w:cs="Times New Roman"/>
          <w:b w:val="0"/>
          <w:i w:val="0"/>
          <w:caps w:val="0"/>
          <w:spacing w:val="0"/>
          <w:w w:val="100"/>
          <w:kern w:val="2"/>
          <w:sz w:val="24"/>
          <w:szCs w:val="24"/>
          <w:lang w:val="en-US" w:eastAsia="zh-CN" w:bidi="ar-SA"/>
        </w:rPr>
        <w:t>第九条  本合同一式三份，甲方二份乙方壹份，双方签字盖章后生效</w:t>
      </w:r>
      <w:r>
        <w:rPr>
          <w:rStyle w:val="61"/>
          <w:rFonts w:hint="eastAsia" w:ascii="宋体" w:hAnsi="宋体" w:cs="Times New Roman"/>
          <w:b w:val="0"/>
          <w:i w:val="0"/>
          <w:caps w:val="0"/>
          <w:spacing w:val="0"/>
          <w:w w:val="100"/>
          <w:kern w:val="2"/>
          <w:sz w:val="24"/>
          <w:szCs w:val="24"/>
          <w:lang w:val="en-US" w:eastAsia="zh-CN" w:bidi="ar-SA"/>
        </w:rPr>
        <w:t>，该合同有效期为一年，项目质保期按合同中所列其他条款执行</w:t>
      </w:r>
      <w:r>
        <w:rPr>
          <w:rStyle w:val="61"/>
          <w:rFonts w:ascii="宋体" w:hAnsi="宋体" w:eastAsia="宋体" w:cs="Times New Roman"/>
          <w:b w:val="0"/>
          <w:i w:val="0"/>
          <w:caps w:val="0"/>
          <w:spacing w:val="0"/>
          <w:w w:val="100"/>
          <w:kern w:val="2"/>
          <w:sz w:val="24"/>
          <w:szCs w:val="24"/>
          <w:lang w:val="en-US" w:eastAsia="zh-CN" w:bidi="ar-SA"/>
        </w:rPr>
        <w:t>。</w:t>
      </w:r>
    </w:p>
    <w:tbl>
      <w:tblPr>
        <w:tblStyle w:val="23"/>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6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甲方（章）：中粮屯河临河番茄制品有限公司</w:t>
            </w:r>
          </w:p>
          <w:p>
            <w:pPr>
              <w:snapToGrid/>
              <w:spacing w:before="0" w:beforeAutospacing="0" w:after="0" w:afterAutospacing="0" w:line="240" w:lineRule="auto"/>
              <w:jc w:val="center"/>
              <w:textAlignment w:val="baseline"/>
              <w:rPr>
                <w:rStyle w:val="61"/>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left="1680" w:hanging="1960"/>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 xml:space="preserve"> </w:t>
            </w:r>
            <w:r>
              <w:rPr>
                <w:rStyle w:val="61"/>
                <w:rFonts w:hint="eastAsia" w:ascii="宋体" w:hAnsi="宋体"/>
                <w:b w:val="0"/>
                <w:i w:val="0"/>
                <w:caps w:val="0"/>
                <w:spacing w:val="0"/>
                <w:w w:val="100"/>
                <w:kern w:val="2"/>
                <w:sz w:val="24"/>
                <w:szCs w:val="24"/>
                <w:lang w:val="en-US" w:eastAsia="zh-CN" w:bidi="ar-SA"/>
              </w:rPr>
              <w:t xml:space="preserve">  住</w:t>
            </w:r>
            <w:r>
              <w:rPr>
                <w:rStyle w:val="61"/>
                <w:rFonts w:ascii="宋体" w:hAnsi="宋体"/>
                <w:b w:val="0"/>
                <w:i w:val="0"/>
                <w:caps w:val="0"/>
                <w:spacing w:val="0"/>
                <w:w w:val="100"/>
                <w:kern w:val="2"/>
                <w:sz w:val="24"/>
                <w:szCs w:val="24"/>
                <w:lang w:val="en-US" w:eastAsia="zh-CN" w:bidi="ar-SA"/>
              </w:rPr>
              <w:t>所：</w:t>
            </w:r>
            <w:r>
              <w:rPr>
                <w:rStyle w:val="61"/>
                <w:rFonts w:ascii="Arial" w:hAnsi="Arial"/>
                <w:b w:val="0"/>
                <w:i w:val="0"/>
                <w:caps w:val="0"/>
                <w:color w:val="000000"/>
                <w:spacing w:val="0"/>
                <w:w w:val="100"/>
                <w:kern w:val="0"/>
                <w:sz w:val="24"/>
                <w:szCs w:val="24"/>
                <w:lang w:val="en-US" w:eastAsia="zh-CN" w:bidi="ar-SA"/>
              </w:rPr>
              <w:t>内蒙古巴彦淖尔市临河区乌兰图克镇南</w:t>
            </w:r>
          </w:p>
          <w:p>
            <w:pPr>
              <w:snapToGrid/>
              <w:spacing w:before="0" w:beforeAutospacing="0" w:after="0" w:afterAutospacing="0" w:line="240" w:lineRule="auto"/>
              <w:ind w:firstLine="240" w:firstLineChars="100"/>
              <w:jc w:val="both"/>
              <w:textAlignment w:val="baseline"/>
              <w:rPr>
                <w:rStyle w:val="61"/>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法定代表人：</w:t>
            </w:r>
          </w:p>
          <w:p>
            <w:pPr>
              <w:snapToGrid/>
              <w:spacing w:before="0" w:beforeAutospacing="0" w:after="0" w:afterAutospacing="0" w:line="240" w:lineRule="auto"/>
              <w:ind w:firstLine="240" w:firstLineChars="100"/>
              <w:jc w:val="both"/>
              <w:textAlignment w:val="baseline"/>
              <w:rPr>
                <w:rStyle w:val="61"/>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 xml:space="preserve"> 委托代理人：</w:t>
            </w: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电    话：</w:t>
            </w:r>
            <w:r>
              <w:rPr>
                <w:rStyle w:val="61"/>
                <w:rFonts w:ascii="宋体" w:hAnsi="宋体"/>
                <w:b w:val="0"/>
                <w:i w:val="0"/>
                <w:caps w:val="0"/>
                <w:color w:val="000000"/>
                <w:spacing w:val="0"/>
                <w:w w:val="100"/>
                <w:kern w:val="0"/>
                <w:sz w:val="24"/>
                <w:szCs w:val="24"/>
                <w:lang w:val="en-US" w:eastAsia="zh-CN" w:bidi="ar-SA"/>
              </w:rPr>
              <w:t>0478-8910626</w:t>
            </w: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61"/>
                <w:rFonts w:ascii="宋体" w:hAnsi="宋体"/>
                <w:b w:val="0"/>
                <w:i w:val="0"/>
                <w:caps w:val="0"/>
                <w:color w:val="000000"/>
                <w:spacing w:val="0"/>
                <w:w w:val="100"/>
                <w:kern w:val="0"/>
                <w:sz w:val="24"/>
                <w:szCs w:val="24"/>
                <w:lang w:val="en-US" w:eastAsia="zh-CN" w:bidi="ar-SA"/>
              </w:rPr>
            </w:pPr>
            <w:r>
              <w:rPr>
                <w:rStyle w:val="61"/>
                <w:rFonts w:ascii="宋体" w:hAnsi="宋体"/>
                <w:b w:val="0"/>
                <w:i w:val="0"/>
                <w:caps w:val="0"/>
                <w:spacing w:val="0"/>
                <w:w w:val="100"/>
                <w:kern w:val="2"/>
                <w:sz w:val="24"/>
                <w:szCs w:val="24"/>
                <w:lang w:val="en-US" w:eastAsia="zh-CN" w:bidi="ar-SA"/>
              </w:rPr>
              <w:t>传    真：</w:t>
            </w:r>
            <w:r>
              <w:rPr>
                <w:rStyle w:val="61"/>
                <w:rFonts w:ascii="宋体" w:hAnsi="宋体"/>
                <w:b w:val="0"/>
                <w:i w:val="0"/>
                <w:caps w:val="0"/>
                <w:color w:val="000000"/>
                <w:spacing w:val="0"/>
                <w:w w:val="100"/>
                <w:kern w:val="0"/>
                <w:sz w:val="24"/>
                <w:szCs w:val="24"/>
                <w:lang w:val="en-US" w:eastAsia="zh-CN" w:bidi="ar-SA"/>
              </w:rPr>
              <w:t>0478-8910666</w:t>
            </w: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开户银行：中国建设银行巴彦淖尔市分行胜利北路支行</w:t>
            </w:r>
          </w:p>
          <w:p>
            <w:pPr>
              <w:snapToGrid/>
              <w:spacing w:before="0" w:beforeAutospacing="0" w:after="0" w:afterAutospacing="0" w:line="240" w:lineRule="auto"/>
              <w:jc w:val="both"/>
              <w:textAlignment w:val="baseline"/>
              <w:rPr>
                <w:rStyle w:val="61"/>
                <w:rFonts w:ascii="宋体" w:hAnsi="宋体"/>
                <w:b w:val="0"/>
                <w:i w:val="0"/>
                <w:caps w:val="0"/>
                <w:spacing w:val="0"/>
                <w:w w:val="100"/>
                <w:kern w:val="2"/>
                <w:sz w:val="24"/>
                <w:szCs w:val="24"/>
                <w:lang w:val="en-US" w:eastAsia="zh-CN" w:bidi="ar-SA"/>
              </w:rPr>
            </w:pPr>
            <w:r>
              <w:rPr>
                <w:rStyle w:val="61"/>
                <w:rFonts w:ascii="宋体" w:hAnsi="宋体"/>
                <w:b w:val="0"/>
                <w:i w:val="0"/>
                <w:caps w:val="0"/>
                <w:spacing w:val="0"/>
                <w:w w:val="100"/>
                <w:kern w:val="2"/>
                <w:sz w:val="24"/>
                <w:szCs w:val="24"/>
                <w:lang w:val="en-US" w:eastAsia="zh-CN" w:bidi="ar-SA"/>
              </w:rPr>
              <w:t>帐    号：15050167664600000339</w:t>
            </w:r>
          </w:p>
          <w:p>
            <w:pPr>
              <w:snapToGrid w:val="0"/>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p>
        </w:tc>
        <w:tc>
          <w:tcPr>
            <w:tcW w:w="432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60" w:lineRule="exact"/>
              <w:jc w:val="both"/>
              <w:textAlignment w:val="baseline"/>
              <w:rPr>
                <w:rStyle w:val="61"/>
                <w:rFonts w:hint="default" w:ascii="宋体" w:hAnsi="宋体" w:eastAsia="宋体"/>
                <w:b w:val="0"/>
                <w:i w:val="0"/>
                <w:caps w:val="0"/>
                <w:spacing w:val="0"/>
                <w:w w:val="100"/>
                <w:kern w:val="2"/>
                <w:sz w:val="24"/>
                <w:szCs w:val="24"/>
                <w:lang w:val="en-US" w:eastAsia="zh-CN" w:bidi="ar-SA"/>
              </w:rPr>
            </w:pPr>
            <w:r>
              <w:rPr>
                <w:rStyle w:val="61"/>
                <w:rFonts w:hint="eastAsia" w:ascii="宋体" w:hAnsi="宋体"/>
                <w:b w:val="0"/>
                <w:i w:val="0"/>
                <w:caps w:val="0"/>
                <w:spacing w:val="0"/>
                <w:w w:val="100"/>
                <w:kern w:val="2"/>
                <w:sz w:val="24"/>
                <w:szCs w:val="24"/>
                <w:lang w:val="en-US" w:eastAsia="zh-CN" w:bidi="ar-SA"/>
              </w:rPr>
              <w:t>乙方</w:t>
            </w:r>
            <w:r>
              <w:rPr>
                <w:rStyle w:val="61"/>
                <w:rFonts w:ascii="宋体" w:hAnsi="宋体" w:eastAsia="宋体"/>
                <w:b w:val="0"/>
                <w:i w:val="0"/>
                <w:caps w:val="0"/>
                <w:spacing w:val="0"/>
                <w:w w:val="100"/>
                <w:kern w:val="2"/>
                <w:sz w:val="24"/>
                <w:szCs w:val="24"/>
                <w:lang w:val="en-US" w:eastAsia="zh-CN" w:bidi="ar-SA"/>
              </w:rPr>
              <w:t>：</w:t>
            </w:r>
          </w:p>
          <w:p>
            <w:pPr>
              <w:snapToGrid/>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单位地址：</w:t>
            </w:r>
          </w:p>
          <w:p>
            <w:pPr>
              <w:snapToGrid/>
              <w:spacing w:before="0" w:beforeAutospacing="0" w:after="0" w:afterAutospacing="0" w:line="460" w:lineRule="exact"/>
              <w:jc w:val="both"/>
              <w:textAlignment w:val="baseline"/>
              <w:rPr>
                <w:rStyle w:val="61"/>
                <w:rFonts w:hint="default"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法定代表人：</w:t>
            </w:r>
          </w:p>
          <w:p>
            <w:pPr>
              <w:snapToGrid/>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授权代表：</w:t>
            </w:r>
          </w:p>
          <w:p>
            <w:pPr>
              <w:snapToGrid/>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联系电话：</w:t>
            </w:r>
          </w:p>
          <w:p>
            <w:pPr>
              <w:snapToGrid/>
              <w:spacing w:before="0" w:beforeAutospacing="0" w:after="0" w:afterAutospacing="0" w:line="460" w:lineRule="exact"/>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传真号码：</w:t>
            </w:r>
          </w:p>
          <w:p>
            <w:pPr>
              <w:snapToGrid/>
              <w:spacing w:before="0" w:beforeAutospacing="0" w:after="0" w:afterAutospacing="0" w:line="460" w:lineRule="exact"/>
              <w:ind w:left="1500" w:hanging="1400"/>
              <w:jc w:val="both"/>
              <w:textAlignment w:val="baseline"/>
              <w:rPr>
                <w:rStyle w:val="61"/>
                <w:rFonts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开户银行</w:t>
            </w:r>
            <w:r>
              <w:rPr>
                <w:rStyle w:val="61"/>
                <w:rFonts w:hint="eastAsia" w:ascii="宋体" w:hAnsi="宋体"/>
                <w:b w:val="0"/>
                <w:i w:val="0"/>
                <w:caps w:val="0"/>
                <w:spacing w:val="0"/>
                <w:w w:val="100"/>
                <w:kern w:val="2"/>
                <w:sz w:val="24"/>
                <w:szCs w:val="24"/>
                <w:lang w:val="en-US" w:eastAsia="zh-CN" w:bidi="ar-SA"/>
              </w:rPr>
              <w:t>：</w:t>
            </w:r>
            <w:r>
              <w:rPr>
                <w:rStyle w:val="61"/>
                <w:rFonts w:ascii="宋体" w:hAnsi="宋体" w:eastAsia="宋体"/>
                <w:b w:val="0"/>
                <w:i w:val="0"/>
                <w:caps w:val="0"/>
                <w:spacing w:val="0"/>
                <w:w w:val="100"/>
                <w:kern w:val="2"/>
                <w:sz w:val="24"/>
                <w:szCs w:val="24"/>
                <w:lang w:val="en-US" w:eastAsia="zh-CN" w:bidi="ar-SA"/>
              </w:rPr>
              <w:t xml:space="preserve"> </w:t>
            </w:r>
          </w:p>
          <w:p>
            <w:pPr>
              <w:snapToGrid/>
              <w:spacing w:before="0" w:beforeAutospacing="0" w:after="0" w:afterAutospacing="0" w:line="460" w:lineRule="exact"/>
              <w:jc w:val="both"/>
              <w:textAlignment w:val="baseline"/>
              <w:rPr>
                <w:rStyle w:val="61"/>
                <w:rFonts w:hint="default" w:ascii="宋体" w:hAnsi="宋体" w:eastAsia="宋体"/>
                <w:b w:val="0"/>
                <w:i w:val="0"/>
                <w:caps w:val="0"/>
                <w:spacing w:val="0"/>
                <w:w w:val="100"/>
                <w:kern w:val="2"/>
                <w:sz w:val="24"/>
                <w:szCs w:val="24"/>
                <w:lang w:val="en-US" w:eastAsia="zh-CN" w:bidi="ar-SA"/>
              </w:rPr>
            </w:pPr>
            <w:r>
              <w:rPr>
                <w:rStyle w:val="61"/>
                <w:rFonts w:ascii="宋体" w:hAnsi="宋体" w:eastAsia="宋体"/>
                <w:b w:val="0"/>
                <w:i w:val="0"/>
                <w:caps w:val="0"/>
                <w:spacing w:val="0"/>
                <w:w w:val="100"/>
                <w:kern w:val="2"/>
                <w:sz w:val="24"/>
                <w:szCs w:val="24"/>
                <w:lang w:val="en-US" w:eastAsia="zh-CN" w:bidi="ar-SA"/>
              </w:rPr>
              <w:t>帐    号：</w:t>
            </w:r>
          </w:p>
        </w:tc>
      </w:tr>
    </w:tbl>
    <w:p>
      <w:pPr>
        <w:pStyle w:val="56"/>
        <w:ind w:left="279" w:leftChars="133" w:right="22" w:firstLine="392" w:firstLineChars="140"/>
        <w:jc w:val="left"/>
        <w:rPr>
          <w:rFonts w:asciiTheme="minorEastAsia" w:hAnsiTheme="minorEastAsia" w:eastAsiaTheme="minorEastAsia" w:cstheme="minorEastAsia"/>
          <w:sz w:val="28"/>
          <w:szCs w:val="28"/>
        </w:rPr>
      </w:pPr>
    </w:p>
    <w:p>
      <w:pPr>
        <w:spacing w:line="420" w:lineRule="exact"/>
        <w:rPr>
          <w:rFonts w:ascii="仿宋" w:hAnsi="仿宋" w:eastAsia="仿宋"/>
          <w:sz w:val="28"/>
          <w:szCs w:val="28"/>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spacing w:line="560" w:lineRule="exact"/>
        <w:rPr>
          <w:rFonts w:ascii="仿宋" w:hAnsi="仿宋" w:eastAsia="仿宋"/>
          <w:b/>
          <w:bCs/>
          <w:sz w:val="36"/>
          <w:szCs w:val="36"/>
        </w:rPr>
      </w:pPr>
    </w:p>
    <w:p>
      <w:pPr>
        <w:pStyle w:val="22"/>
        <w:rPr>
          <w:rFonts w:ascii="仿宋" w:hAnsi="仿宋" w:eastAsia="仿宋"/>
          <w:b/>
          <w:bCs/>
          <w:sz w:val="36"/>
          <w:szCs w:val="36"/>
        </w:rPr>
      </w:pPr>
    </w:p>
    <w:p>
      <w:pPr>
        <w:rPr>
          <w:rFonts w:ascii="仿宋" w:hAnsi="仿宋" w:eastAsia="仿宋"/>
          <w:b/>
          <w:bCs/>
          <w:sz w:val="36"/>
          <w:szCs w:val="36"/>
        </w:rPr>
      </w:pPr>
    </w:p>
    <w:p>
      <w:pPr>
        <w:pStyle w:val="22"/>
      </w:pPr>
    </w:p>
    <w:p>
      <w:pPr>
        <w:spacing w:line="560" w:lineRule="exact"/>
        <w:ind w:firstLine="1970" w:firstLineChars="545"/>
        <w:rPr>
          <w:rFonts w:ascii="仿宋" w:hAnsi="仿宋" w:eastAsia="仿宋"/>
          <w:b/>
          <w:bCs/>
          <w:sz w:val="36"/>
          <w:szCs w:val="36"/>
        </w:rPr>
      </w:pPr>
    </w:p>
    <w:p>
      <w:pPr>
        <w:spacing w:line="560" w:lineRule="exact"/>
        <w:jc w:val="both"/>
        <w:rPr>
          <w:rFonts w:ascii="仿宋" w:hAnsi="仿宋" w:eastAsia="仿宋"/>
          <w:b/>
          <w:bCs/>
          <w:sz w:val="36"/>
          <w:szCs w:val="36"/>
        </w:rPr>
      </w:pPr>
      <w:r>
        <w:rPr>
          <w:rFonts w:hint="eastAsia" w:ascii="仿宋" w:hAnsi="仿宋" w:eastAsia="仿宋"/>
          <w:b/>
          <w:bCs/>
          <w:sz w:val="36"/>
          <w:szCs w:val="36"/>
        </w:rPr>
        <w:t>第五部分  安全管理协议模板（如需要）</w:t>
      </w:r>
    </w:p>
    <w:p>
      <w:pPr>
        <w:pStyle w:val="59"/>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甲方：*********************</w:t>
      </w:r>
    </w:p>
    <w:p>
      <w:pPr>
        <w:pStyle w:val="59"/>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乙方：</w:t>
      </w:r>
    </w:p>
    <w:p>
      <w:pPr>
        <w:pStyle w:val="59"/>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59"/>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一、项目名称及期限：</w:t>
      </w:r>
    </w:p>
    <w:p>
      <w:pPr>
        <w:pStyle w:val="59"/>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（一）项目名称：*********************</w:t>
      </w:r>
    </w:p>
    <w:p>
      <w:pPr>
        <w:pStyle w:val="59"/>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   年   月    日起，至   年  月   日结束。</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二、协议内容：</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 xml:space="preserve">（一）甲方的权利、义务、责任 </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权利</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1）对乙方提供的单位资质、人员资质等资料进行审核并备案。制定乙方作业人员准入标准，明确年龄、性别、文化程度、工作经验和作业资质等内容。</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2）对乙方提供的乙方作业人员健康检查报告等资料进行审核并备案。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3）对乙方提供的乙方作业人员工伤保险或雇主责任险等资料进行审核并备案。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4）有权对乙方机械设备、器具进行安全检查。</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6）甲方有权审查乙方相应的作业资格证书、作业方案和外包商、作业现场的设备、设施、建（构）筑物和人员作业安全状况等。</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8）乙方因自身原因作业人员不足，无法按时完成甲方工作任务，为不影响作业工期，甲方有权自行或委托第三方代为执行上述工作，所产生的费用由乙方负责。</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2.义务</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1）负责对乙方进行进场安全技术交底，告知甲方的安全管理制度标准、 作业场所安全风险、事故应急和报告要求等。甲方有义务对乙方的安全奖惩情况进行告知。</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2）作业现场有两个以上单位交叉作业有可能危及对方安全或影响施工作业进度时，甲方有义务统一协调管理，督促双方签订安全管理协议。</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1）监督乙方将乙方作业人员纳入乙方从业人员统一管理。</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2）甲方负责向乙方如实告知甲方所知的作业场所和岗位存在的危险因素，要求乙方制订防范措施以及事故应急预案。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3）甲方应当对乙方的安全教育与培训工作进行指导，监督检查乙方开展员工安全教育培训工作情况。</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 xml:space="preserve">（二）乙方的权利、义务、责任 </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1.权利</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1）乙方有权了解其作业场所和工作岗位存在的危险因素、防范措施及事故应急措施，有权对安全生产工作提出建议。</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2）乙方有权对作业场所安全生产工作中存在的问题提出检举、和整改建议;有权拒绝违章指挥和强令冒险作业。</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3）乙方应组织对其所从事的作业活动开展危险源辨识工作，并将危险源辨识的内容作为安全技术交底和安全工作交底的其中内容之一。</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2.义务</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1）乙方应对作业人员进行安全生产教育和培训，确保作业人员掌握本职工作所需的安全生产知识，提高安全生产技能，同时对本单位员工开展“三级”安全教育。</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2）乙方及乙方作业人员有义务严格遵守甲方的安全生产规章制度和操作规程，服从管理。</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3）乙方对甲方所提供的作业相关的项目资料必须保密，未经甲方书面同意不能向外透露，作业完毕后，应及时退还甲方。</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4）乙方有义务配合、服从甲方对作业现场的安全检查，对检查发现的安全隐患无条件进行整改。</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1）必须核准、具备从事相关经营范围的资质，在签订协议前将其相关的资质证照复印件交甲方备案，并对其真实性、合法性、有效性负责。对本协议中的作业项目承担安全主体责任。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4）编制作业方案时，应纳入安全措施、事故预案及发生事故报告机制。</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6）对乙方的作业区域现场设备设施及作业人员的安全负责，对作业区域的安全生产状况负责，</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7）乙方须和施工作业人员签订符合劳动法要求的用工合同或劳务合同，并购买工伤保险或雇主责任险（购买保额不低于【80】万/人）和安责险（购买保额不低于【60】万/人），向甲方提供保单复印件材料。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（注：所购保险总赔付额达到140万）</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8）负责为乙方人员办理相应作业资质，并将复印件交甲方备案。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12）乙方人员在申请进行职业病诊断、鉴定时，乙方负责处理职业病诊断、鉴定事宜，并如实提供职业病诊断、鉴定所需的劳动者职业史和职业危害接触史等资料。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13）乙方人员发生变更情况应及时书面告知甲方并履行人员变更手续。</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16）乙方对作业区域现场在作业开始前已有或毗邻建（构）筑物、设备、设施、地下管线（网）或特殊作业环境可能造成损害的，须采取相应的安全防护措施，并承担损坏赔偿责任。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17）乙方作业区域的作业设备、临时用电设施、脚手架、出入通道口、楼梯口、危险有害气体或液体存放处等危险部位，设置明显的安全警示标志，危险警示标志符合国家标准。</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18）乙方应遵守甲方各项安全管理规定，办理作业许可，规范开展现场作业，文明作业，保障作业全过程中的作业安全。</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19）乙方应加强作业现场应急管理，完善应急预案，配备现场作业所需的应急资源，并加强培训和演练。</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20）乙方作业过程中违反国家有关法律法规，受到行政、经济、刑事处罚的，一律由乙方自行承担责任。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21）乙方保证安全投入落实到位、专款专用，不断完善和改进项目现场安全生产条件。</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22）作业前应提交如下材料：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（1）营业执照复印件、安全管理机构设置和安全管理人员配备文件。</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（2）安全生产“三项制度”（即：安全生产责任制、安全生产管理制度、提供与承包业务/工程/项目相关的安全操作规程）。</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（3）制定项目施工方案和应急预案。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（4）作业人员的《三级安全教育表》和考试合格材料，。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（5）乙方与作业人员签订的劳动合同。</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（6）法人身份证复印件、法人或现场负责人《安全管理培训合格证书》或出具现场安全管理负责人授权委托书，项目经理及专职安全员持证上岗。</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（7）作业人员县级以上医院“健康体检”表，涉及到职业卫生管理岗位的，还需提供职业健康体检表。</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（8）人员花名册及提供所有作业人员身份证复印件，进场以后提供所有作业人员月度考勤表和月度安全培训记录及档案。</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（9）缴纳的保险材料。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（10）特殊作业人员清单、特种作业资格证复印件、从事特种设备安装、检修、维护作业的提供相应的资格证书等。</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（11）乙方工器具清单，主要设备设施、工器具是否满足维护检修的安全、技术要求等。</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（12）相关方劳动防护用品清单，提供检验合格证或经检查合格。</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（13）签订外来施工作业人员的安全承诺，提供签订盖章的项目承包合同、安全管理协议。</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（14）提供现场“应急施救药品”(附药品清单)。</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（15）施工项目开工申请及企业两年内无事故地方政府证明。</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24）乙方每日作业前，必须参加甲方组织的班前会（安全技术交底）活动后方可安排作业。</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25）乙方安排进入甲方区域的工程、运输车辆必须按照甲方要求配置爆闪灯、前后录像仪、倒车语音提示、前后影像、倒车雷达、示宽灯、车辆左右和后侧张贴反光条等。</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26）乙方禁止私自在甲方区域接施工电箱主电源，由乙方向甲方申请临时用电，甲方派人接电，电气作业人员必须穿绝缘鞋。</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27）乙方人员从事气割作业，除穿戴最基本的安全帽和反光背心外，必须戴难燃手套和墨镜。</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28）乙方人员从事焊接作业，必须佩戴安全帽、绝缘鞋、电焊手套、电焊面罩，作业过程中禁止穿易燃的反光衣等，作业完毕后及时穿反光衣。</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31)人员在厂区行走时，只允许行走人行通道、斑马线和甲方指定的区域，禁止跨越隔离栏，乱走、乱跑，不得擅自进入与作业无关的区域。</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32)乙方要按规定的路线进出，不得擅自进入与作业无关的区域。乙方完成当日作业后应做到人走场地清。作业人员必须正确穿戴劳动防护用品。</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34)乙方所用工具、材料、备品备件应码放平稳，不得存在有倾翻、滚动、坠落和其它危险隐患。</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36)乙方作业现场发生事故的，应立即报告甲方，乙方应按《生产安全事故报告和调查处理条例》等法律、法规、规章的规定报告，并按照专项应急预案或者应急处置方案立即开展事故救援。</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37)乙方不得随意更换项目关键人员，关键人员离开现场应提前告知甲方，并办理相关审批手续。</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38)作业现场暂时停工的，乙方须做好现场安全防护工作。</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39)乙方人员每日到甲方区域作业前应主动与甲方对接人员报告经同意后方可开展作业，当日作业结束后，应主动向甲方对接人报备当日作业结束并安全离开作业区域。</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41)乙方必须设置安全管理员，每日负责做好作业区域内的安全、文明施工工作，做到有轮必有罩、有轴必有套、梯台必有栏、井沟必有盖及工完场清等，营造良好的安全、文明工作环境。</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43）乙方应加强作业现场应急管理，完善应急预案，配备现场作业所需的应急资源，并加强培训和演练。</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（三）安全考核</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甲方可根据内部管理制度对乙方进行考核，并有权根据考核结果对项目费用进行核减。</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三、附则</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（二）本协议内容如与国家有关法律、法规和规定不一致，按照国家有关规定执行。</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（三）协议有效期按照项目合同工期。项目合同工期变更，本协议有效期相应变更。</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（四）因不可抗力造成的双方设备损坏、人员伤亡，各自承担相应的损失。</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（五）本协议一式贰份。甲方、乙方各执壹份。</w:t>
      </w:r>
    </w:p>
    <w:p>
      <w:pPr>
        <w:pStyle w:val="59"/>
        <w:snapToGrid w:val="0"/>
        <w:spacing w:before="0" w:beforeAutospacing="0" w:after="0" w:afterAutospacing="0" w:line="360" w:lineRule="auto"/>
        <w:ind w:firstLine="472" w:firstLineChars="200"/>
        <w:rPr>
          <w:rFonts w:hAnsi="宋体" w:cs="仿宋_GB2312"/>
          <w:color w:val="000000"/>
          <w:spacing w:val="-2"/>
        </w:rPr>
      </w:pP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甲方单位：（盖章）                    乙方单位：（盖章）</w:t>
      </w:r>
    </w:p>
    <w:p>
      <w:pPr>
        <w:pStyle w:val="59"/>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授权代表（签字）：                    授权代表（签字）：</w:t>
      </w:r>
    </w:p>
    <w:p>
      <w:pPr>
        <w:pStyle w:val="59"/>
        <w:snapToGrid w:val="0"/>
        <w:spacing w:before="0" w:beforeAutospacing="0" w:after="0" w:afterAutospacing="0" w:line="360" w:lineRule="auto"/>
        <w:ind w:firstLine="472" w:firstLineChars="200"/>
        <w:rPr>
          <w:rFonts w:ascii="仿宋" w:hAnsi="仿宋" w:eastAsia="仿宋" w:cs="宋体"/>
          <w:b/>
          <w:bCs/>
          <w:sz w:val="28"/>
          <w:szCs w:val="28"/>
        </w:rPr>
      </w:pPr>
      <w:r>
        <w:rPr>
          <w:rFonts w:hint="eastAsia" w:hAnsi="宋体" w:cs="仿宋_GB2312"/>
          <w:color w:val="000000"/>
          <w:spacing w:val="-2"/>
        </w:rPr>
        <w:t>签字日期：    年     月     日</w:t>
      </w:r>
    </w:p>
    <w:p>
      <w:pPr>
        <w:pStyle w:val="5"/>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hint="eastAsia" w:ascii="仿宋" w:hAnsi="仿宋" w:eastAsia="仿宋" w:cs="宋体"/>
          <w:b/>
          <w:bCs/>
          <w:sz w:val="28"/>
          <w:szCs w:val="28"/>
        </w:rPr>
      </w:pPr>
      <w:r>
        <w:rPr>
          <w:rFonts w:hint="eastAsia" w:ascii="仿宋" w:hAnsi="仿宋" w:eastAsia="仿宋" w:cs="宋体"/>
          <w:b/>
          <w:bCs/>
          <w:sz w:val="28"/>
          <w:szCs w:val="28"/>
        </w:rPr>
        <w:t xml:space="preserve">                         </w:t>
      </w:r>
    </w:p>
    <w:p>
      <w:pPr>
        <w:pStyle w:val="13"/>
        <w:adjustRightInd w:val="0"/>
        <w:snapToGrid w:val="0"/>
        <w:spacing w:line="360" w:lineRule="auto"/>
        <w:jc w:val="left"/>
        <w:rPr>
          <w:rFonts w:hint="eastAsia" w:ascii="仿宋" w:hAnsi="仿宋" w:eastAsia="仿宋" w:cs="宋体"/>
          <w:b/>
          <w:bCs/>
          <w:sz w:val="28"/>
          <w:szCs w:val="28"/>
        </w:rPr>
      </w:pPr>
    </w:p>
    <w:p>
      <w:pPr>
        <w:pStyle w:val="13"/>
        <w:adjustRightInd w:val="0"/>
        <w:snapToGrid w:val="0"/>
        <w:spacing w:line="360" w:lineRule="auto"/>
        <w:jc w:val="left"/>
        <w:rPr>
          <w:rFonts w:hint="eastAsia" w:ascii="仿宋" w:hAnsi="仿宋" w:eastAsia="仿宋" w:cs="宋体"/>
          <w:b/>
          <w:bCs/>
          <w:sz w:val="28"/>
          <w:szCs w:val="28"/>
        </w:rPr>
      </w:pPr>
    </w:p>
    <w:p>
      <w:pPr>
        <w:pStyle w:val="13"/>
        <w:adjustRightInd w:val="0"/>
        <w:snapToGrid w:val="0"/>
        <w:spacing w:line="360" w:lineRule="auto"/>
        <w:jc w:val="left"/>
        <w:rPr>
          <w:rFonts w:hint="eastAsia" w:ascii="仿宋" w:hAnsi="仿宋" w:eastAsia="仿宋" w:cs="宋体"/>
          <w:b/>
          <w:bCs/>
          <w:sz w:val="28"/>
          <w:szCs w:val="28"/>
        </w:rPr>
      </w:pPr>
    </w:p>
    <w:p>
      <w:pPr>
        <w:pStyle w:val="13"/>
        <w:adjustRightInd w:val="0"/>
        <w:snapToGrid w:val="0"/>
        <w:spacing w:line="360" w:lineRule="auto"/>
        <w:jc w:val="left"/>
        <w:rPr>
          <w:rFonts w:hint="eastAsia" w:ascii="仿宋" w:hAnsi="仿宋" w:eastAsia="仿宋" w:cs="宋体"/>
          <w:b/>
          <w:bCs/>
          <w:sz w:val="28"/>
          <w:szCs w:val="28"/>
        </w:rPr>
      </w:pPr>
    </w:p>
    <w:p>
      <w:pPr>
        <w:pStyle w:val="5"/>
        <w:rPr>
          <w:rFonts w:hint="eastAsia" w:ascii="仿宋" w:hAnsi="仿宋" w:eastAsia="仿宋" w:cs="宋体"/>
          <w:b/>
          <w:bCs/>
          <w:sz w:val="28"/>
          <w:szCs w:val="28"/>
        </w:rPr>
      </w:pPr>
      <w:r>
        <w:rPr>
          <w:rFonts w:hint="eastAsia" w:ascii="仿宋" w:hAnsi="仿宋" w:eastAsia="仿宋" w:cs="宋体"/>
          <w:b/>
          <w:bCs/>
          <w:sz w:val="28"/>
          <w:szCs w:val="28"/>
          <w:lang w:val="en-US" w:eastAsia="zh-CN"/>
        </w:rPr>
        <w:t>附件一</w:t>
      </w:r>
    </w:p>
    <w:tbl>
      <w:tblPr>
        <w:tblStyle w:val="23"/>
        <w:tblpPr w:leftFromText="180" w:rightFromText="180" w:vertAnchor="text" w:horzAnchor="page" w:tblpX="737" w:tblpY="497"/>
        <w:tblOverlap w:val="never"/>
        <w:tblW w:w="10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1063"/>
        <w:gridCol w:w="1173"/>
        <w:gridCol w:w="559"/>
        <w:gridCol w:w="505"/>
        <w:gridCol w:w="1050"/>
        <w:gridCol w:w="559"/>
        <w:gridCol w:w="1063"/>
        <w:gridCol w:w="1078"/>
        <w:gridCol w:w="109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36"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临河番茄公司色选平台改造项目采购清单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型号规格</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不含税金额（元）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税额（元）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含税金额（元）</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色选仪配套皮带机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2730*1000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分料提升机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80*3000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废料皮带机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红果接收流送槽</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分料槽</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接水槽</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流送槽出水口封堵</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平台扩大改造</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拆除转鼓过滤器平台5.4*7.5m，重新安装钢结构平台，色选仪增加一套、拆除原2台色选仪包含底部收水盘及钢结构平台及原有管道封堵。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捞草机移位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两台捞草机，包函改造杂草溜槽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浮洗槽冲料水管路连接</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DN150配套蝶阀安装</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高架流送槽出水口封堵</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皮渣绞龙制作安装</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300*2000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r>
    </w:tbl>
    <w:p>
      <w:pPr>
        <w:pStyle w:val="13"/>
        <w:adjustRightInd w:val="0"/>
        <w:snapToGrid w:val="0"/>
        <w:spacing w:line="360" w:lineRule="auto"/>
        <w:jc w:val="left"/>
        <w:rPr>
          <w:rFonts w:hint="eastAsia" w:ascii="仿宋" w:hAnsi="仿宋" w:eastAsia="仿宋" w:cs="宋体"/>
          <w:b/>
          <w:bCs/>
          <w:sz w:val="28"/>
          <w:szCs w:val="28"/>
        </w:rPr>
      </w:pPr>
    </w:p>
    <w:p>
      <w:pPr>
        <w:pStyle w:val="13"/>
        <w:adjustRightInd w:val="0"/>
        <w:snapToGrid w:val="0"/>
        <w:spacing w:line="360" w:lineRule="auto"/>
        <w:jc w:val="left"/>
        <w:rPr>
          <w:rFonts w:hint="eastAsia" w:ascii="仿宋" w:hAnsi="仿宋" w:eastAsia="仿宋" w:cs="宋体"/>
          <w:b/>
          <w:bCs/>
          <w:sz w:val="30"/>
          <w:szCs w:val="30"/>
        </w:rPr>
      </w:pPr>
    </w:p>
    <w:p>
      <w:pPr>
        <w:pStyle w:val="13"/>
        <w:adjustRightInd w:val="0"/>
        <w:snapToGrid w:val="0"/>
        <w:spacing w:line="360" w:lineRule="auto"/>
        <w:jc w:val="left"/>
        <w:rPr>
          <w:rFonts w:hint="eastAsia" w:ascii="仿宋" w:hAnsi="仿宋" w:eastAsia="仿宋" w:cs="宋体"/>
          <w:b/>
          <w:bCs/>
          <w:sz w:val="28"/>
          <w:szCs w:val="28"/>
        </w:rPr>
      </w:pPr>
    </w:p>
    <w:p>
      <w:pPr>
        <w:pStyle w:val="13"/>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附件二：</w:t>
      </w:r>
    </w:p>
    <w:p>
      <w:pPr>
        <w:spacing w:line="420" w:lineRule="exact"/>
        <w:jc w:val="left"/>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仿宋_GB2312" w:hAnsi="仿宋_GB2312" w:eastAsia="仿宋_GB2312" w:cs="仿宋_GB2312"/>
          <w:color w:val="000000" w:themeColor="text1"/>
          <w:sz w:val="32"/>
          <w:szCs w:val="32"/>
        </w:rPr>
      </w:pPr>
      <w:r>
        <w:rPr>
          <w:rFonts w:hint="eastAsia" w:ascii="方正小标宋_GBK" w:hAnsi="方正小标宋_GBK" w:eastAsia="方正小标宋_GBK" w:cs="方正小标宋_GBK"/>
          <w:color w:val="000000" w:themeColor="text1"/>
          <w:sz w:val="44"/>
          <w:szCs w:val="44"/>
        </w:rPr>
        <w:t>廉  洁  告  知  书</w:t>
      </w:r>
    </w:p>
    <w:p>
      <w:pPr>
        <w:spacing w:line="320" w:lineRule="exact"/>
        <w:rPr>
          <w:rFonts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尊敬的供应商，您好！</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rPr>
      </w:pPr>
    </w:p>
    <w:p>
      <w:pPr>
        <w:pStyle w:val="39"/>
        <w:numPr>
          <w:ilvl w:val="0"/>
          <w:numId w:val="3"/>
        </w:numPr>
        <w:spacing w:line="320" w:lineRule="exact"/>
        <w:ind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rPr>
      </w:pPr>
      <w:r>
        <w:rPr>
          <w:rFonts w:hint="eastAsia" w:ascii="仿宋_GB2312" w:hAnsi="仿宋_GB2312" w:eastAsia="仿宋_GB2312" w:cs="仿宋_GB2312"/>
          <w:color w:val="000000" w:themeColor="text1"/>
          <w:sz w:val="30"/>
          <w:szCs w:val="30"/>
        </w:rPr>
        <w:t xml:space="preserve">  姓名：</w:t>
      </w:r>
      <w:r>
        <w:rPr>
          <w:rFonts w:hint="eastAsia" w:ascii="仿宋_GB2312" w:hAnsi="仿宋_GB2312" w:eastAsia="仿宋_GB2312" w:cs="仿宋_GB2312"/>
          <w:color w:val="000000" w:themeColor="text1"/>
          <w:sz w:val="30"/>
          <w:szCs w:val="30"/>
          <w:u w:val="single"/>
        </w:rPr>
        <w:t xml:space="preserve"> </w:t>
      </w:r>
      <w:r>
        <w:rPr>
          <w:rFonts w:hint="eastAsia" w:ascii="仿宋_GB2312" w:hAnsi="仿宋_GB2312" w:eastAsia="仿宋_GB2312" w:cs="仿宋_GB2312"/>
          <w:color w:val="000000" w:themeColor="text1"/>
          <w:sz w:val="30"/>
          <w:szCs w:val="30"/>
          <w:u w:val="single"/>
          <w:lang w:val="en-US" w:eastAsia="zh-CN"/>
        </w:rPr>
        <w:t>郝文洁</w:t>
      </w:r>
      <w:r>
        <w:rPr>
          <w:rFonts w:hint="eastAsia" w:ascii="仿宋_GB2312" w:hAnsi="仿宋_GB2312" w:eastAsia="仿宋_GB2312" w:cs="仿宋_GB2312"/>
          <w:color w:val="000000" w:themeColor="text1"/>
          <w:sz w:val="30"/>
          <w:szCs w:val="30"/>
          <w:u w:val="single"/>
        </w:rPr>
        <w:t xml:space="preserve"> </w:t>
      </w:r>
    </w:p>
    <w:p>
      <w:pPr>
        <w:spacing w:line="320" w:lineRule="exact"/>
        <w:ind w:firstLine="602" w:firstLineChars="201"/>
        <w:rPr>
          <w:rFonts w:hint="eastAsia" w:ascii="仿宋_GB2312" w:hAnsi="仿宋_GB2312" w:eastAsia="仿宋_GB2312" w:cs="仿宋_GB2312"/>
          <w:color w:val="000000" w:themeColor="text1"/>
          <w:sz w:val="30"/>
          <w:szCs w:val="30"/>
          <w:u w:val="single"/>
          <w:lang w:val="en-US" w:eastAsia="zh-CN"/>
        </w:rPr>
      </w:pPr>
      <w:r>
        <w:rPr>
          <w:rFonts w:hint="eastAsia" w:ascii="仿宋_GB2312" w:hAnsi="仿宋_GB2312" w:eastAsia="仿宋_GB2312" w:cs="仿宋_GB2312"/>
          <w:color w:val="000000" w:themeColor="text1"/>
          <w:sz w:val="30"/>
          <w:szCs w:val="30"/>
        </w:rPr>
        <w:t xml:space="preserve">  联系电话：</w:t>
      </w:r>
      <w:r>
        <w:rPr>
          <w:rFonts w:hint="eastAsia" w:ascii="仿宋_GB2312" w:hAnsi="仿宋_GB2312" w:eastAsia="仿宋_GB2312" w:cs="仿宋_GB2312"/>
          <w:color w:val="000000" w:themeColor="text1"/>
          <w:sz w:val="30"/>
          <w:szCs w:val="30"/>
          <w:u w:val="single"/>
          <w:lang w:val="en-US" w:eastAsia="zh-CN"/>
        </w:rPr>
        <w:t>18847808883</w:t>
      </w:r>
    </w:p>
    <w:p>
      <w:pPr>
        <w:spacing w:line="320" w:lineRule="exac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电子邮箱：</w:t>
      </w:r>
      <w:r>
        <w:rPr>
          <w:rFonts w:hint="eastAsia" w:ascii="仿宋_GB2312" w:hAnsi="仿宋_GB2312" w:eastAsia="仿宋_GB2312" w:cs="仿宋_GB2312"/>
          <w:color w:val="000000" w:themeColor="text1"/>
          <w:sz w:val="30"/>
          <w:szCs w:val="30"/>
          <w:u w:val="single"/>
        </w:rPr>
        <w:t xml:space="preserve">                  </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特此告知。</w:t>
      </w:r>
    </w:p>
    <w:p>
      <w:pPr>
        <w:spacing w:line="320" w:lineRule="exact"/>
        <w:ind w:firstLine="5400" w:firstLineChars="18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0"/>
          <w:szCs w:val="30"/>
        </w:rPr>
        <w:t>2022年1月</w:t>
      </w:r>
    </w:p>
    <w:p>
      <w:pPr>
        <w:pStyle w:val="13"/>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附件三：</w:t>
      </w: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b/>
          <w:color w:val="000000" w:themeColor="text1"/>
          <w:sz w:val="44"/>
          <w:szCs w:val="44"/>
        </w:rPr>
        <w:t>质量承诺书</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u w:val="single"/>
        </w:rPr>
        <w:t>中粮糖业及下属各</w:t>
      </w:r>
      <w:r>
        <w:rPr>
          <w:rFonts w:hint="eastAsia" w:ascii="仿宋_GB2312" w:hAnsi="仿宋_GB2312" w:eastAsia="仿宋_GB2312" w:cs="仿宋_GB2312"/>
          <w:color w:val="000000" w:themeColor="text1"/>
          <w:sz w:val="32"/>
          <w:szCs w:val="32"/>
          <w:u w:val="single"/>
        </w:rPr>
        <w:t>公司</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为积极配合贵公司进行的</w:t>
      </w:r>
      <w:r>
        <w:rPr>
          <w:rFonts w:hint="eastAsia" w:ascii="仿宋_GB2312" w:hAnsi="仿宋_GB2312" w:eastAsia="仿宋_GB2312" w:cs="仿宋_GB2312"/>
          <w:color w:val="000000" w:themeColor="text1"/>
          <w:sz w:val="32"/>
          <w:szCs w:val="32"/>
          <w:u w:val="single"/>
        </w:rPr>
        <w:t>采购/招标</w:t>
      </w:r>
      <w:r>
        <w:rPr>
          <w:rFonts w:hint="eastAsia" w:ascii="仿宋_GB2312" w:hAnsi="仿宋_GB2312" w:eastAsia="仿宋_GB2312" w:cs="仿宋_GB2312"/>
          <w:color w:val="000000" w:themeColor="text1"/>
          <w:sz w:val="32"/>
          <w:szCs w:val="32"/>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单位名称(盖章)：</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法定代表人或授权代理人（签字或盖章）：</w:t>
      </w:r>
    </w:p>
    <w:p>
      <w:pPr>
        <w:pStyle w:val="13"/>
        <w:adjustRightInd w:val="0"/>
        <w:snapToGrid w:val="0"/>
        <w:spacing w:line="360" w:lineRule="auto"/>
        <w:jc w:val="left"/>
        <w:rPr>
          <w:rFonts w:ascii="仿宋_GB2312" w:hAnsi="仿宋_GB2312" w:eastAsia="仿宋_GB2312" w:cs="仿宋_GB2312"/>
          <w:b/>
          <w:bCs/>
          <w:color w:val="000000" w:themeColor="text1"/>
          <w:sz w:val="32"/>
          <w:szCs w:val="32"/>
        </w:rPr>
      </w:pPr>
    </w:p>
    <w:p>
      <w:pPr>
        <w:pStyle w:val="13"/>
        <w:adjustRightInd w:val="0"/>
        <w:snapToGrid w:val="0"/>
        <w:spacing w:line="360" w:lineRule="auto"/>
        <w:jc w:val="left"/>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附件四：</w:t>
      </w:r>
    </w:p>
    <w:p>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pPr>
        <w:autoSpaceDE w:val="0"/>
        <w:autoSpaceDN w:val="0"/>
        <w:adjustRightInd w:val="0"/>
        <w:ind w:firstLine="720" w:firstLineChars="200"/>
        <w:jc w:val="center"/>
        <w:rPr>
          <w:rFonts w:ascii="Times" w:hAnsi="Times" w:eastAsia="黑体" w:cs="宋体"/>
          <w:color w:val="000000"/>
          <w:kern w:val="0"/>
          <w:sz w:val="36"/>
          <w:szCs w:val="32"/>
        </w:rPr>
      </w:pP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中粮糖业及下属分子公司</w:t>
      </w:r>
      <w:r>
        <w:rPr>
          <w:rFonts w:hint="eastAsia" w:ascii="Times" w:hAnsi="Times" w:eastAsia="仿宋_GB2312" w:cs="宋体"/>
          <w:color w:val="000000"/>
          <w:kern w:val="0"/>
          <w:sz w:val="32"/>
          <w:szCs w:val="32"/>
        </w:rPr>
        <w:t>：</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w:t>
      </w:r>
      <w:r>
        <w:rPr>
          <w:rFonts w:hint="eastAsia" w:ascii="Times" w:hAnsi="Times" w:eastAsia="仿宋_GB2312" w:cs="宋体"/>
          <w:color w:val="000000"/>
          <w:kern w:val="0"/>
          <w:sz w:val="32"/>
          <w:szCs w:val="32"/>
          <w:lang w:eastAsia="zh-CN"/>
        </w:rPr>
        <w:t>采购方</w:t>
      </w:r>
      <w:r>
        <w:rPr>
          <w:rFonts w:hint="eastAsia" w:ascii="Times" w:hAnsi="Times" w:eastAsia="仿宋_GB2312" w:cs="宋体"/>
          <w:color w:val="000000"/>
          <w:kern w:val="0"/>
          <w:sz w:val="32"/>
          <w:szCs w:val="32"/>
        </w:rPr>
        <w:t>的任何人参加高档娱乐消费、旅游等活动；不以任何形式报销</w:t>
      </w:r>
      <w:r>
        <w:rPr>
          <w:rFonts w:hint="eastAsia" w:ascii="Times" w:hAnsi="Times" w:eastAsia="仿宋_GB2312" w:cs="宋体"/>
          <w:color w:val="000000"/>
          <w:kern w:val="0"/>
          <w:sz w:val="32"/>
          <w:szCs w:val="32"/>
          <w:lang w:eastAsia="zh-CN"/>
        </w:rPr>
        <w:t>采购方</w:t>
      </w:r>
      <w:r>
        <w:rPr>
          <w:rFonts w:hint="eastAsia" w:ascii="Times" w:hAnsi="Times" w:eastAsia="仿宋_GB2312" w:cs="宋体"/>
          <w:color w:val="000000"/>
          <w:kern w:val="0"/>
          <w:sz w:val="32"/>
          <w:szCs w:val="32"/>
        </w:rPr>
        <w:t>的任何人以及亲友的各种票据及费用；不进行可能影响招标公平、公正的任何活动。</w:t>
      </w:r>
    </w:p>
    <w:p>
      <w:pPr>
        <w:autoSpaceDE w:val="0"/>
        <w:autoSpaceDN w:val="0"/>
        <w:adjustRightInd w:val="0"/>
        <w:ind w:firstLine="640" w:firstLineChars="200"/>
        <w:rPr>
          <w:rFonts w:ascii="Times" w:hAnsi="Times" w:eastAsia="仿宋_GB2312" w:cs="宋体"/>
          <w:color w:val="FF0000"/>
          <w:kern w:val="0"/>
          <w:sz w:val="32"/>
          <w:szCs w:val="32"/>
        </w:rPr>
      </w:pPr>
      <w:r>
        <w:rPr>
          <w:rFonts w:hint="eastAsia" w:ascii="Times" w:hAnsi="Times" w:eastAsia="仿宋_GB2312" w:cs="宋体"/>
          <w:color w:val="FF0000"/>
          <w:kern w:val="0"/>
          <w:sz w:val="32"/>
          <w:szCs w:val="32"/>
        </w:rPr>
        <w:t>6、</w:t>
      </w:r>
      <w:r>
        <w:rPr>
          <w:rFonts w:hint="eastAsia"/>
          <w:color w:val="FF0000"/>
        </w:rPr>
        <w:t xml:space="preserve"> </w:t>
      </w:r>
      <w:r>
        <w:rPr>
          <w:rFonts w:hint="eastAsia" w:ascii="Times" w:hAnsi="Times" w:eastAsia="仿宋_GB2312" w:cs="宋体"/>
          <w:color w:val="FF0000"/>
          <w:kern w:val="0"/>
          <w:sz w:val="32"/>
          <w:szCs w:val="32"/>
        </w:rPr>
        <w:t>不向贵公司涉及采购与招投标的部门及个人支付好处费、介绍费；也不为其购置或提供通讯工具、交通工具、电脑等。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FF0000"/>
          <w:kern w:val="0"/>
          <w:sz w:val="32"/>
          <w:szCs w:val="32"/>
        </w:rPr>
        <w:t>7</w:t>
      </w:r>
      <w:r>
        <w:rPr>
          <w:rFonts w:ascii="Times" w:hAnsi="Times" w:eastAsia="仿宋_GB2312" w:cs="宋体"/>
          <w:color w:val="FF0000"/>
          <w:kern w:val="0"/>
          <w:sz w:val="32"/>
          <w:szCs w:val="32"/>
        </w:rPr>
        <w:t>、</w:t>
      </w:r>
      <w:r>
        <w:rPr>
          <w:rFonts w:hint="eastAsia" w:ascii="Times" w:hAnsi="Times" w:eastAsia="仿宋_GB2312" w:cs="宋体"/>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pPr>
        <w:pStyle w:val="5"/>
      </w:pPr>
    </w:p>
    <w:p/>
    <w:p>
      <w:pPr>
        <w:pStyle w:val="22"/>
      </w:pPr>
    </w:p>
    <w:p/>
    <w:p>
      <w:pPr>
        <w:pStyle w:val="22"/>
      </w:pPr>
    </w:p>
    <w:p/>
    <w:p>
      <w:pPr>
        <w:pStyle w:val="22"/>
      </w:pPr>
    </w:p>
    <w:p/>
    <w:p>
      <w:pPr>
        <w:pStyle w:val="22"/>
      </w:pPr>
    </w:p>
    <w:p/>
    <w:p>
      <w:pPr>
        <w:pStyle w:val="22"/>
      </w:pPr>
    </w:p>
    <w:p/>
    <w:p>
      <w:pPr>
        <w:pStyle w:val="22"/>
      </w:pPr>
    </w:p>
    <w:p/>
    <w:p>
      <w:pPr>
        <w:pStyle w:val="22"/>
      </w:pPr>
    </w:p>
    <w:p>
      <w:pPr>
        <w:pStyle w:val="13"/>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b/>
          <w:bCs/>
          <w:color w:val="000000" w:themeColor="text1"/>
          <w:sz w:val="32"/>
          <w:szCs w:val="32"/>
        </w:rPr>
        <w:t>：</w:t>
      </w:r>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法定代表人资格证书</w:t>
      </w:r>
    </w:p>
    <w:p>
      <w:pPr>
        <w:spacing w:line="360" w:lineRule="auto"/>
        <w:jc w:val="center"/>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单位名称：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地址：</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姓名：</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 xml:space="preserve"> 性别：</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年龄：</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职务：</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系</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公司</w:t>
      </w:r>
      <w:r>
        <w:rPr>
          <w:rFonts w:hint="eastAsia" w:ascii="仿宋_GB2312" w:hAnsi="仿宋_GB2312" w:eastAsia="仿宋_GB2312" w:cs="仿宋_GB2312"/>
          <w:color w:val="000000" w:themeColor="text1"/>
          <w:sz w:val="32"/>
          <w:szCs w:val="32"/>
        </w:rPr>
        <w:t>（投标方名称）的</w:t>
      </w:r>
      <w:r>
        <w:rPr>
          <w:rFonts w:hint="eastAsia" w:ascii="仿宋_GB2312" w:hAnsi="仿宋_GB2312" w:eastAsia="仿宋_GB2312" w:cs="仿宋_GB2312"/>
          <w:color w:val="000000" w:themeColor="text1"/>
          <w:sz w:val="32"/>
          <w:szCs w:val="32"/>
          <w:lang w:val="en-US" w:eastAsia="zh-CN"/>
        </w:rPr>
        <w:t>法定代表人（单位负责人）</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u w:val="single"/>
        </w:rPr>
        <w:t>中粮</w:t>
      </w:r>
      <w:r>
        <w:rPr>
          <w:rFonts w:hint="eastAsia" w:ascii="仿宋_GB2312" w:hAnsi="仿宋_GB2312" w:eastAsia="仿宋_GB2312" w:cs="仿宋_GB2312"/>
          <w:color w:val="000000" w:themeColor="text1"/>
          <w:sz w:val="32"/>
          <w:szCs w:val="32"/>
          <w:u w:val="single"/>
          <w:lang w:val="en-US" w:eastAsia="zh-CN"/>
        </w:rPr>
        <w:t>糖业及其下属各分子公司</w:t>
      </w:r>
      <w:r>
        <w:rPr>
          <w:rFonts w:hint="eastAsia" w:ascii="仿宋_GB2312" w:hAnsi="仿宋_GB2312" w:eastAsia="仿宋_GB2312" w:cs="仿宋_GB2312"/>
          <w:color w:val="000000" w:themeColor="text1"/>
          <w:sz w:val="32"/>
          <w:szCs w:val="32"/>
          <w:lang w:val="en-US" w:eastAsia="zh-CN"/>
        </w:rPr>
        <w:t>招标</w:t>
      </w:r>
      <w:r>
        <w:rPr>
          <w:rFonts w:hint="eastAsia" w:ascii="仿宋_GB2312" w:hAnsi="仿宋_GB2312" w:eastAsia="仿宋_GB2312" w:cs="仿宋_GB2312"/>
          <w:color w:val="000000" w:themeColor="text1"/>
          <w:sz w:val="32"/>
          <w:szCs w:val="32"/>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特此证明。</w:t>
      </w:r>
    </w:p>
    <w:p>
      <w:pPr>
        <w:ind w:firstLine="480" w:firstLineChars="1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附：法定代表人</w:t>
      </w:r>
      <w:r>
        <w:rPr>
          <w:rFonts w:hint="eastAsia" w:ascii="仿宋_GB2312" w:hAnsi="仿宋_GB2312" w:eastAsia="仿宋_GB2312" w:cs="仿宋_GB2312"/>
          <w:color w:val="000000" w:themeColor="text1"/>
          <w:sz w:val="32"/>
          <w:szCs w:val="32"/>
          <w:lang w:val="en-US" w:eastAsia="zh-CN"/>
        </w:rPr>
        <w:t>/单位负责人</w:t>
      </w:r>
      <w:r>
        <w:rPr>
          <w:rFonts w:hint="eastAsia" w:ascii="仿宋_GB2312" w:hAnsi="仿宋_GB2312" w:eastAsia="仿宋_GB2312" w:cs="仿宋_GB2312"/>
          <w:color w:val="000000" w:themeColor="text1"/>
          <w:sz w:val="32"/>
          <w:szCs w:val="32"/>
        </w:rPr>
        <w:t>身份证扫描件</w:t>
      </w: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投标方（盖章）：</w:t>
      </w:r>
    </w:p>
    <w:p>
      <w:pP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法人（签</w:t>
      </w:r>
      <w:r>
        <w:rPr>
          <w:rFonts w:hint="eastAsia" w:ascii="仿宋_GB2312" w:hAnsi="仿宋_GB2312" w:eastAsia="仿宋_GB2312" w:cs="仿宋_GB2312"/>
          <w:color w:val="000000" w:themeColor="text1"/>
          <w:sz w:val="32"/>
          <w:szCs w:val="32"/>
          <w:lang w:val="en-US" w:eastAsia="zh-CN"/>
        </w:rPr>
        <w:t>字或盖章</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rPr>
        <w:t xml:space="preserve">               </w:t>
      </w:r>
    </w:p>
    <w:p>
      <w:pPr>
        <w:pStyle w:val="13"/>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w:t>
      </w:r>
    </w:p>
    <w:p>
      <w:pPr>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注册地址：</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社会唯一信用代码</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法定代表人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或负责人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rPr>
      </w:pPr>
      <w:r>
        <w:rPr>
          <w:rFonts w:hint="eastAsia" w:ascii="仿宋_GB2312" w:hAnsi="仿宋_GB2312" w:eastAsia="仿宋_GB2312" w:cs="仿宋_GB2312"/>
          <w:color w:val="000000" w:themeColor="text1"/>
          <w:sz w:val="32"/>
          <w:szCs w:val="32"/>
        </w:rPr>
        <w:t>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，现户籍所在地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委托人委托代理人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代表委托人参加</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招标</w:t>
      </w:r>
      <w:r>
        <w:rPr>
          <w:rFonts w:hint="eastAsia" w:ascii="仿宋_GB2312" w:hAnsi="仿宋_GB2312" w:eastAsia="仿宋_GB2312" w:cs="仿宋_GB2312"/>
          <w:color w:val="000000" w:themeColor="text1"/>
          <w:sz w:val="32"/>
          <w:szCs w:val="32"/>
          <w:lang w:val="en-US" w:eastAsia="zh-CN"/>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如</w:t>
      </w: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中标，代理人</w:t>
      </w:r>
      <w:r>
        <w:rPr>
          <w:rFonts w:hint="eastAsia" w:ascii="仿宋_GB2312" w:hAnsi="仿宋_GB2312" w:eastAsia="仿宋_GB2312" w:cs="仿宋_GB2312"/>
          <w:color w:val="000000" w:themeColor="text1"/>
          <w:sz w:val="32"/>
          <w:szCs w:val="32"/>
          <w:lang w:val="en-US" w:eastAsia="zh-CN"/>
        </w:rPr>
        <w:t>以委托人的名义与</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签订合同，并办理合同履约过程中的一切</w:t>
      </w:r>
      <w:r>
        <w:rPr>
          <w:rFonts w:hint="eastAsia" w:ascii="仿宋_GB2312" w:hAnsi="仿宋_GB2312" w:eastAsia="仿宋_GB2312" w:cs="仿宋_GB2312"/>
          <w:color w:val="000000" w:themeColor="text1"/>
          <w:sz w:val="32"/>
          <w:szCs w:val="32"/>
          <w:lang w:val="en-US" w:eastAsia="zh-CN"/>
        </w:rPr>
        <w:t>相关</w:t>
      </w:r>
      <w:r>
        <w:rPr>
          <w:rFonts w:hint="eastAsia" w:ascii="仿宋_GB2312" w:hAnsi="仿宋_GB2312" w:eastAsia="仿宋_GB2312" w:cs="仿宋_GB2312"/>
          <w:color w:val="000000" w:themeColor="text1"/>
          <w:sz w:val="32"/>
          <w:szCs w:val="32"/>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本公司对代理人的</w:t>
      </w:r>
      <w:r>
        <w:rPr>
          <w:rFonts w:hint="eastAsia" w:ascii="仿宋_GB2312" w:hAnsi="仿宋_GB2312" w:eastAsia="仿宋_GB2312" w:cs="仿宋_GB2312"/>
          <w:color w:val="000000" w:themeColor="text1"/>
          <w:sz w:val="32"/>
          <w:szCs w:val="32"/>
          <w:lang w:val="en-US" w:eastAsia="zh-CN"/>
        </w:rPr>
        <w:t>上述</w:t>
      </w:r>
      <w:r>
        <w:rPr>
          <w:rFonts w:hint="eastAsia" w:ascii="仿宋_GB2312" w:hAnsi="仿宋_GB2312" w:eastAsia="仿宋_GB2312" w:cs="仿宋_GB2312"/>
          <w:color w:val="000000" w:themeColor="text1"/>
          <w:sz w:val="32"/>
          <w:szCs w:val="32"/>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本授权委托书自授权之日起生效，并</w:t>
      </w:r>
      <w:r>
        <w:rPr>
          <w:rFonts w:hint="eastAsia" w:ascii="仿宋_GB2312" w:hAnsi="仿宋_GB2312" w:eastAsia="仿宋_GB2312" w:cs="仿宋_GB2312"/>
          <w:color w:val="000000" w:themeColor="text1"/>
          <w:sz w:val="32"/>
          <w:szCs w:val="32"/>
          <w:u w:val="single"/>
        </w:rPr>
        <w:t>长期</w:t>
      </w:r>
      <w:r>
        <w:rPr>
          <w:rFonts w:hint="eastAsia" w:ascii="仿宋_GB2312" w:hAnsi="仿宋_GB2312" w:eastAsia="仿宋_GB2312" w:cs="仿宋_GB2312"/>
          <w:color w:val="000000" w:themeColor="text1"/>
          <w:sz w:val="32"/>
          <w:szCs w:val="32"/>
          <w:u w:val="single"/>
          <w:lang w:val="en-US" w:eastAsia="zh-CN"/>
        </w:rPr>
        <w:t>/202*年**月**日前</w:t>
      </w:r>
      <w:r>
        <w:rPr>
          <w:rFonts w:hint="eastAsia" w:ascii="仿宋_GB2312" w:hAnsi="仿宋_GB2312" w:eastAsia="仿宋_GB2312" w:cs="仿宋_GB2312"/>
          <w:color w:val="000000" w:themeColor="text1"/>
          <w:sz w:val="32"/>
          <w:szCs w:val="32"/>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代理人</w:t>
      </w:r>
      <w:r>
        <w:rPr>
          <w:rFonts w:hint="eastAsia" w:ascii="仿宋_GB2312" w:hAnsi="仿宋_GB2312" w:eastAsia="仿宋_GB2312" w:cs="仿宋_GB2312"/>
          <w:color w:val="000000" w:themeColor="text1"/>
          <w:sz w:val="32"/>
          <w:szCs w:val="32"/>
        </w:rPr>
        <w:t>身份证正反面</w:t>
      </w:r>
      <w:r>
        <w:rPr>
          <w:rFonts w:hint="eastAsia" w:ascii="仿宋_GB2312" w:hAnsi="仿宋_GB2312" w:eastAsia="仿宋_GB2312" w:cs="仿宋_GB2312"/>
          <w:color w:val="000000" w:themeColor="text1"/>
          <w:sz w:val="32"/>
          <w:szCs w:val="32"/>
          <w:lang w:val="en-US" w:eastAsia="zh-CN"/>
        </w:rPr>
        <w:t>粘贴处</w:t>
      </w:r>
      <w:r>
        <w:rPr>
          <w:rFonts w:hint="eastAsia" w:ascii="仿宋_GB2312" w:hAnsi="仿宋_GB2312" w:eastAsia="仿宋_GB2312" w:cs="仿宋_GB2312"/>
          <w:color w:val="000000" w:themeColor="text1"/>
          <w:sz w:val="32"/>
          <w:szCs w:val="32"/>
        </w:rPr>
        <w:t>：</w:t>
      </w:r>
    </w:p>
    <w:p>
      <w:pPr>
        <w:ind w:left="13" w:leftChars="-70" w:hanging="160" w:hangingChars="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单位名称（盖章）：</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lang w:val="en-US" w:eastAsia="zh-CN"/>
        </w:rPr>
        <w:t>法定代表人或负责人</w:t>
      </w:r>
      <w:r>
        <w:rPr>
          <w:rFonts w:hint="eastAsia" w:ascii="仿宋_GB2312" w:hAnsi="仿宋_GB2312" w:eastAsia="仿宋_GB2312" w:cs="仿宋_GB2312"/>
          <w:color w:val="000000" w:themeColor="text1"/>
          <w:sz w:val="32"/>
          <w:szCs w:val="32"/>
        </w:rPr>
        <w:t>（签</w:t>
      </w:r>
      <w:r>
        <w:rPr>
          <w:rFonts w:hint="eastAsia" w:ascii="仿宋_GB2312" w:hAnsi="仿宋_GB2312" w:eastAsia="仿宋_GB2312" w:cs="仿宋_GB2312"/>
          <w:color w:val="000000" w:themeColor="text1"/>
          <w:sz w:val="32"/>
          <w:szCs w:val="32"/>
          <w:lang w:val="en-US" w:eastAsia="zh-CN"/>
        </w:rPr>
        <w:t>字或盖</w:t>
      </w:r>
      <w:r>
        <w:rPr>
          <w:rFonts w:hint="eastAsia" w:ascii="仿宋_GB2312" w:hAnsi="仿宋_GB2312" w:eastAsia="仿宋_GB2312" w:cs="仿宋_GB2312"/>
          <w:color w:val="000000" w:themeColor="text1"/>
          <w:sz w:val="32"/>
          <w:szCs w:val="32"/>
        </w:rPr>
        <w:t>章）：</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autoSpaceDE w:val="0"/>
        <w:autoSpaceDN w:val="0"/>
        <w:adjustRightInd w:val="0"/>
        <w:snapToGrid w:val="0"/>
        <w:spacing w:line="360" w:lineRule="atLeast"/>
        <w:ind w:firstLine="2320" w:firstLineChars="725"/>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u w:val="single"/>
          <w:lang w:eastAsia="zh-CN"/>
        </w:rPr>
        <w:t>授权日期</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D0ACE79-5907-4BD3-8DD3-978AAEA9FD93}"/>
  </w:font>
  <w:font w:name="Arial">
    <w:panose1 w:val="020B0604020202020204"/>
    <w:charset w:val="01"/>
    <w:family w:val="swiss"/>
    <w:pitch w:val="default"/>
    <w:sig w:usb0="E0002EFF" w:usb1="C000785B" w:usb2="00000009" w:usb3="00000000" w:csb0="400001FF" w:csb1="FFFF0000"/>
    <w:embedRegular r:id="rId2" w:fontKey="{1787DF2E-9DEC-40C8-9B13-79764A620C97}"/>
  </w:font>
  <w:font w:name="黑体">
    <w:panose1 w:val="02010609060101010101"/>
    <w:charset w:val="86"/>
    <w:family w:val="auto"/>
    <w:pitch w:val="default"/>
    <w:sig w:usb0="800002BF" w:usb1="38CF7CFA" w:usb2="00000016" w:usb3="00000000" w:csb0="00040001" w:csb1="00000000"/>
    <w:embedRegular r:id="rId3" w:fontKey="{C6828821-D752-4874-90C3-8A2E45782D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60988191-040F-46C9-8128-CBF10D80013F}"/>
  </w:font>
  <w:font w:name="方正小标宋_GBK">
    <w:panose1 w:val="02000000000000000000"/>
    <w:charset w:val="86"/>
    <w:family w:val="script"/>
    <w:pitch w:val="default"/>
    <w:sig w:usb0="A00002BF" w:usb1="38CF7CFA" w:usb2="00082016" w:usb3="00000000" w:csb0="00040001" w:csb1="00000000"/>
    <w:embedRegular r:id="rId5" w:fontKey="{672231F0-3B38-4265-998E-3716C6ECDBB7}"/>
  </w:font>
  <w:font w:name="仿宋_GB2312">
    <w:panose1 w:val="02010609030101010101"/>
    <w:charset w:val="86"/>
    <w:family w:val="modern"/>
    <w:pitch w:val="default"/>
    <w:sig w:usb0="00000001" w:usb1="080E0000" w:usb2="00000000" w:usb3="00000000" w:csb0="00040000" w:csb1="00000000"/>
    <w:embedRegular r:id="rId6" w:fontKey="{1DD6221A-9BEE-4E93-868C-7D05DDE17065}"/>
  </w:font>
  <w:font w:name="方正仿宋_GB2312">
    <w:panose1 w:val="02000000000000000000"/>
    <w:charset w:val="86"/>
    <w:family w:val="auto"/>
    <w:pitch w:val="default"/>
    <w:sig w:usb0="A00002BF" w:usb1="184F6CFA" w:usb2="00000012" w:usb3="00000000" w:csb0="00040001" w:csb1="00000000"/>
    <w:embedRegular r:id="rId7" w:fontKey="{B9182825-495A-4AC3-A2BE-0A91DCF7424A}"/>
  </w:font>
  <w:font w:name="楷体">
    <w:panose1 w:val="02010609060101010101"/>
    <w:charset w:val="86"/>
    <w:family w:val="auto"/>
    <w:pitch w:val="default"/>
    <w:sig w:usb0="800002BF" w:usb1="38CF7CFA" w:usb2="00000016" w:usb3="00000000" w:csb0="00040001" w:csb1="00000000"/>
    <w:embedRegular r:id="rId8" w:fontKey="{841EB2F0-93AE-4B29-B0E0-082B95F844AB}"/>
  </w:font>
  <w:font w:name="方正小标宋简体">
    <w:altName w:val="Arial Unicode MS"/>
    <w:panose1 w:val="00000000000000000000"/>
    <w:charset w:val="00"/>
    <w:family w:val="auto"/>
    <w:pitch w:val="default"/>
    <w:sig w:usb0="00000000" w:usb1="00000000" w:usb2="00000000" w:usb3="00000000" w:csb0="00000000" w:csb1="00000000"/>
    <w:embedRegular r:id="rId9" w:fontKey="{D511663D-BE22-469B-85DB-BCBB5CB89772}"/>
  </w:font>
  <w:font w:name="Times">
    <w:altName w:val="Times New Roman"/>
    <w:panose1 w:val="02020603050405020304"/>
    <w:charset w:val="00"/>
    <w:family w:val="roman"/>
    <w:pitch w:val="default"/>
    <w:sig w:usb0="00000000" w:usb1="00000000" w:usb2="00000009" w:usb3="00000000" w:csb0="000001FF" w:csb1="00000000"/>
    <w:embedRegular r:id="rId10" w:fontKey="{F2653B50-7F8E-48C4-8DDA-A3F3EBD7B48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22</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0AD2"/>
    <w:multiLevelType w:val="singleLevel"/>
    <w:tmpl w:val="AF790AD2"/>
    <w:lvl w:ilvl="0" w:tentative="0">
      <w:start w:val="3"/>
      <w:numFmt w:val="decimal"/>
      <w:suff w:val="nothing"/>
      <w:lvlText w:val="%1、"/>
      <w:lvlJc w:val="left"/>
    </w:lvl>
  </w:abstractNum>
  <w:abstractNum w:abstractNumId="1">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4ZDJlYjI1Y2RkMmQ5OWRiZGEwNWZkYTBjMTYyZTE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CA5"/>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2881E0B"/>
    <w:rsid w:val="02E132C9"/>
    <w:rsid w:val="05151950"/>
    <w:rsid w:val="05FE23E4"/>
    <w:rsid w:val="06336531"/>
    <w:rsid w:val="067B3A34"/>
    <w:rsid w:val="06976AC0"/>
    <w:rsid w:val="06E23AB3"/>
    <w:rsid w:val="07E0402E"/>
    <w:rsid w:val="08114650"/>
    <w:rsid w:val="09104908"/>
    <w:rsid w:val="091837BC"/>
    <w:rsid w:val="09B039F5"/>
    <w:rsid w:val="0A6E5D8A"/>
    <w:rsid w:val="0B70168E"/>
    <w:rsid w:val="0BE669F2"/>
    <w:rsid w:val="0C476893"/>
    <w:rsid w:val="0CAC3A72"/>
    <w:rsid w:val="0E572FD9"/>
    <w:rsid w:val="0FD03043"/>
    <w:rsid w:val="10EE7C4B"/>
    <w:rsid w:val="123D6042"/>
    <w:rsid w:val="12F20174"/>
    <w:rsid w:val="13426790"/>
    <w:rsid w:val="1355671B"/>
    <w:rsid w:val="13673B1E"/>
    <w:rsid w:val="13AD6967"/>
    <w:rsid w:val="15746707"/>
    <w:rsid w:val="165146DE"/>
    <w:rsid w:val="168D57EA"/>
    <w:rsid w:val="16E011DB"/>
    <w:rsid w:val="174F2A9F"/>
    <w:rsid w:val="18AC5CCF"/>
    <w:rsid w:val="197F10A2"/>
    <w:rsid w:val="19903293"/>
    <w:rsid w:val="1A903AFB"/>
    <w:rsid w:val="1B0E496A"/>
    <w:rsid w:val="1B39309C"/>
    <w:rsid w:val="1C346708"/>
    <w:rsid w:val="1C366868"/>
    <w:rsid w:val="1CAE0268"/>
    <w:rsid w:val="1CB56A05"/>
    <w:rsid w:val="1D34536A"/>
    <w:rsid w:val="1E0A27E9"/>
    <w:rsid w:val="1EAA4A5F"/>
    <w:rsid w:val="1EB61656"/>
    <w:rsid w:val="1F29462A"/>
    <w:rsid w:val="1F387521"/>
    <w:rsid w:val="1F472153"/>
    <w:rsid w:val="1F536EA5"/>
    <w:rsid w:val="1FD53D5E"/>
    <w:rsid w:val="1FE50F5E"/>
    <w:rsid w:val="1FF70178"/>
    <w:rsid w:val="213B4094"/>
    <w:rsid w:val="21A97250"/>
    <w:rsid w:val="224A458F"/>
    <w:rsid w:val="22CA3153"/>
    <w:rsid w:val="22D537B8"/>
    <w:rsid w:val="237607F8"/>
    <w:rsid w:val="23936B58"/>
    <w:rsid w:val="24AD2B4B"/>
    <w:rsid w:val="24BA7B31"/>
    <w:rsid w:val="25C30F87"/>
    <w:rsid w:val="25D725DE"/>
    <w:rsid w:val="26695200"/>
    <w:rsid w:val="272C6959"/>
    <w:rsid w:val="27982240"/>
    <w:rsid w:val="27EC60E8"/>
    <w:rsid w:val="28B470E3"/>
    <w:rsid w:val="293E0BC6"/>
    <w:rsid w:val="29714AF7"/>
    <w:rsid w:val="29BB4940"/>
    <w:rsid w:val="2A7E6F4A"/>
    <w:rsid w:val="2A84085A"/>
    <w:rsid w:val="2A924DF2"/>
    <w:rsid w:val="2AC46EA9"/>
    <w:rsid w:val="2B1C0A72"/>
    <w:rsid w:val="2BB4374E"/>
    <w:rsid w:val="2C033176"/>
    <w:rsid w:val="2CD94E8D"/>
    <w:rsid w:val="2D8A43D9"/>
    <w:rsid w:val="2DD97A5B"/>
    <w:rsid w:val="2F766495"/>
    <w:rsid w:val="2FF10740"/>
    <w:rsid w:val="300119A1"/>
    <w:rsid w:val="300E30A0"/>
    <w:rsid w:val="30B005FB"/>
    <w:rsid w:val="32252923"/>
    <w:rsid w:val="325657EE"/>
    <w:rsid w:val="32C72628"/>
    <w:rsid w:val="33A45AC9"/>
    <w:rsid w:val="350031D3"/>
    <w:rsid w:val="36AF3103"/>
    <w:rsid w:val="36BB0D38"/>
    <w:rsid w:val="36EE3C2B"/>
    <w:rsid w:val="375B2943"/>
    <w:rsid w:val="37A4253C"/>
    <w:rsid w:val="38D34E86"/>
    <w:rsid w:val="39161217"/>
    <w:rsid w:val="39201F20"/>
    <w:rsid w:val="3A8D5509"/>
    <w:rsid w:val="3AAD7959"/>
    <w:rsid w:val="3C447867"/>
    <w:rsid w:val="3CAA23A2"/>
    <w:rsid w:val="3CDF6A29"/>
    <w:rsid w:val="3D676F9B"/>
    <w:rsid w:val="3D7861A5"/>
    <w:rsid w:val="3E063608"/>
    <w:rsid w:val="3E077380"/>
    <w:rsid w:val="3E247F32"/>
    <w:rsid w:val="3EC7360C"/>
    <w:rsid w:val="3F8213B4"/>
    <w:rsid w:val="3F9410E8"/>
    <w:rsid w:val="40267F92"/>
    <w:rsid w:val="40D86629"/>
    <w:rsid w:val="418056DE"/>
    <w:rsid w:val="41E81277"/>
    <w:rsid w:val="42310E70"/>
    <w:rsid w:val="43193DDE"/>
    <w:rsid w:val="434D5399"/>
    <w:rsid w:val="43503578"/>
    <w:rsid w:val="4404683C"/>
    <w:rsid w:val="447B5628"/>
    <w:rsid w:val="44D37FBC"/>
    <w:rsid w:val="45F66658"/>
    <w:rsid w:val="462F2145"/>
    <w:rsid w:val="46BF6A4A"/>
    <w:rsid w:val="470D3C59"/>
    <w:rsid w:val="48A14F82"/>
    <w:rsid w:val="48B00D40"/>
    <w:rsid w:val="48F66061"/>
    <w:rsid w:val="49862820"/>
    <w:rsid w:val="49C64593"/>
    <w:rsid w:val="49E61842"/>
    <w:rsid w:val="4AD36F68"/>
    <w:rsid w:val="4ADA68D5"/>
    <w:rsid w:val="4AE01685"/>
    <w:rsid w:val="4B46773A"/>
    <w:rsid w:val="4C305B0A"/>
    <w:rsid w:val="4E3E294A"/>
    <w:rsid w:val="4EED5944"/>
    <w:rsid w:val="4F082F58"/>
    <w:rsid w:val="4FC652ED"/>
    <w:rsid w:val="50483F54"/>
    <w:rsid w:val="50707047"/>
    <w:rsid w:val="50E37EC6"/>
    <w:rsid w:val="5156444F"/>
    <w:rsid w:val="51DD247A"/>
    <w:rsid w:val="521E31BF"/>
    <w:rsid w:val="52662EE7"/>
    <w:rsid w:val="5399084F"/>
    <w:rsid w:val="53E126F6"/>
    <w:rsid w:val="53F817ED"/>
    <w:rsid w:val="54420CBA"/>
    <w:rsid w:val="549C486F"/>
    <w:rsid w:val="5503044A"/>
    <w:rsid w:val="556233C2"/>
    <w:rsid w:val="55E62390"/>
    <w:rsid w:val="55F56C32"/>
    <w:rsid w:val="57315742"/>
    <w:rsid w:val="57672F12"/>
    <w:rsid w:val="57C714AE"/>
    <w:rsid w:val="582C1DA9"/>
    <w:rsid w:val="591A2206"/>
    <w:rsid w:val="5B895EF4"/>
    <w:rsid w:val="5C311D40"/>
    <w:rsid w:val="5C6E060C"/>
    <w:rsid w:val="5C974299"/>
    <w:rsid w:val="5CD30027"/>
    <w:rsid w:val="5D8C64C8"/>
    <w:rsid w:val="5D981B49"/>
    <w:rsid w:val="5F5B19A6"/>
    <w:rsid w:val="5FCC0611"/>
    <w:rsid w:val="61BC20AC"/>
    <w:rsid w:val="61E10886"/>
    <w:rsid w:val="648F78A0"/>
    <w:rsid w:val="65077AE2"/>
    <w:rsid w:val="66100C18"/>
    <w:rsid w:val="66212E26"/>
    <w:rsid w:val="66B71094"/>
    <w:rsid w:val="67127C7D"/>
    <w:rsid w:val="674B4575"/>
    <w:rsid w:val="6774187F"/>
    <w:rsid w:val="68212C69"/>
    <w:rsid w:val="683C102F"/>
    <w:rsid w:val="68662D72"/>
    <w:rsid w:val="68BC5088"/>
    <w:rsid w:val="69034881"/>
    <w:rsid w:val="69A41DA4"/>
    <w:rsid w:val="6AB853DB"/>
    <w:rsid w:val="6C691082"/>
    <w:rsid w:val="6C9F733D"/>
    <w:rsid w:val="6CA36342"/>
    <w:rsid w:val="6D4E68CC"/>
    <w:rsid w:val="6E5C1623"/>
    <w:rsid w:val="6EDF387E"/>
    <w:rsid w:val="6F54043A"/>
    <w:rsid w:val="6F9208F0"/>
    <w:rsid w:val="6FDE2304"/>
    <w:rsid w:val="704E69FB"/>
    <w:rsid w:val="70587444"/>
    <w:rsid w:val="70730722"/>
    <w:rsid w:val="708C17E3"/>
    <w:rsid w:val="71E27257"/>
    <w:rsid w:val="71F87130"/>
    <w:rsid w:val="7278201F"/>
    <w:rsid w:val="731735E6"/>
    <w:rsid w:val="73C31078"/>
    <w:rsid w:val="73E3796C"/>
    <w:rsid w:val="73F3714B"/>
    <w:rsid w:val="741C69DA"/>
    <w:rsid w:val="751678CE"/>
    <w:rsid w:val="760D678C"/>
    <w:rsid w:val="775F555C"/>
    <w:rsid w:val="7774670A"/>
    <w:rsid w:val="77A13DC6"/>
    <w:rsid w:val="780879A1"/>
    <w:rsid w:val="786F5C73"/>
    <w:rsid w:val="78EA69DA"/>
    <w:rsid w:val="79261B70"/>
    <w:rsid w:val="797B2A6C"/>
    <w:rsid w:val="799A287B"/>
    <w:rsid w:val="7A17211E"/>
    <w:rsid w:val="7A5549F4"/>
    <w:rsid w:val="7B707D38"/>
    <w:rsid w:val="7BDC53CD"/>
    <w:rsid w:val="7BE43041"/>
    <w:rsid w:val="7C815F74"/>
    <w:rsid w:val="7D2B345D"/>
    <w:rsid w:val="7D564CF1"/>
    <w:rsid w:val="7D8A5D91"/>
    <w:rsid w:val="7E4C4054"/>
    <w:rsid w:val="7E53633E"/>
    <w:rsid w:val="7E576F8D"/>
    <w:rsid w:val="7EC167AD"/>
    <w:rsid w:val="7F3379FA"/>
    <w:rsid w:val="7F802513"/>
    <w:rsid w:val="7F912972"/>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1"/>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52"/>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3"/>
    <w:autoRedefine/>
    <w:qFormat/>
    <w:uiPriority w:val="0"/>
    <w:pPr>
      <w:keepNext/>
      <w:spacing w:line="440" w:lineRule="exact"/>
      <w:ind w:left="360"/>
      <w:outlineLvl w:val="5"/>
    </w:pPr>
    <w:rPr>
      <w:b/>
      <w:spacing w:val="2"/>
      <w:sz w:val="2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5"/>
    <w:autoRedefine/>
    <w:qFormat/>
    <w:uiPriority w:val="99"/>
    <w:pPr>
      <w:jc w:val="left"/>
    </w:pPr>
  </w:style>
  <w:style w:type="paragraph" w:styleId="10">
    <w:name w:val="Body Text"/>
    <w:basedOn w:val="1"/>
    <w:link w:val="60"/>
    <w:autoRedefine/>
    <w:semiHidden/>
    <w:unhideWhenUsed/>
    <w:qFormat/>
    <w:uiPriority w:val="99"/>
    <w:pPr>
      <w:spacing w:after="120"/>
    </w:pPr>
  </w:style>
  <w:style w:type="paragraph" w:styleId="11">
    <w:name w:val="Body Text Indent"/>
    <w:basedOn w:val="1"/>
    <w:next w:val="12"/>
    <w:autoRedefine/>
    <w:qFormat/>
    <w:uiPriority w:val="0"/>
  </w:style>
  <w:style w:type="paragraph" w:styleId="12">
    <w:name w:val="envelope return"/>
    <w:basedOn w:val="1"/>
    <w:autoRedefine/>
    <w:qFormat/>
    <w:uiPriority w:val="0"/>
    <w:pPr>
      <w:snapToGrid w:val="0"/>
    </w:pPr>
    <w:rPr>
      <w:rFonts w:ascii="Arial" w:hAnsi="Arial"/>
    </w:rPr>
  </w:style>
  <w:style w:type="paragraph" w:styleId="13">
    <w:name w:val="Plain Text"/>
    <w:basedOn w:val="1"/>
    <w:next w:val="5"/>
    <w:link w:val="33"/>
    <w:autoRedefine/>
    <w:qFormat/>
    <w:uiPriority w:val="0"/>
    <w:rPr>
      <w:rFonts w:ascii="宋体" w:hAnsi="Courier New"/>
      <w:szCs w:val="20"/>
    </w:rPr>
  </w:style>
  <w:style w:type="paragraph" w:styleId="14">
    <w:name w:val="Date"/>
    <w:basedOn w:val="1"/>
    <w:next w:val="1"/>
    <w:link w:val="32"/>
    <w:autoRedefine/>
    <w:semiHidden/>
    <w:unhideWhenUsed/>
    <w:qFormat/>
    <w:uiPriority w:val="99"/>
    <w:pPr>
      <w:ind w:left="100" w:leftChars="2500"/>
    </w:pPr>
  </w:style>
  <w:style w:type="paragraph" w:styleId="15">
    <w:name w:val="Body Text Indent 2"/>
    <w:basedOn w:val="1"/>
    <w:link w:val="54"/>
    <w:autoRedefine/>
    <w:qFormat/>
    <w:uiPriority w:val="0"/>
    <w:pPr>
      <w:spacing w:line="440" w:lineRule="exact"/>
      <w:ind w:left="360"/>
    </w:pPr>
    <w:rPr>
      <w:color w:val="000000"/>
      <w:spacing w:val="2"/>
      <w:sz w:val="22"/>
    </w:rPr>
  </w:style>
  <w:style w:type="paragraph" w:styleId="16">
    <w:name w:val="Balloon Text"/>
    <w:basedOn w:val="1"/>
    <w:link w:val="37"/>
    <w:autoRedefine/>
    <w:unhideWhenUsed/>
    <w:qFormat/>
    <w:uiPriority w:val="0"/>
    <w:rPr>
      <w:sz w:val="18"/>
      <w:szCs w:val="18"/>
    </w:rPr>
  </w:style>
  <w:style w:type="paragraph" w:styleId="17">
    <w:name w:val="footer"/>
    <w:basedOn w:val="1"/>
    <w:link w:val="44"/>
    <w:autoRedefine/>
    <w:qFormat/>
    <w:uiPriority w:val="0"/>
    <w:pPr>
      <w:tabs>
        <w:tab w:val="center" w:pos="4153"/>
        <w:tab w:val="right" w:pos="8306"/>
      </w:tabs>
      <w:snapToGrid w:val="0"/>
      <w:jc w:val="left"/>
    </w:pPr>
    <w:rPr>
      <w:sz w:val="18"/>
    </w:rPr>
  </w:style>
  <w:style w:type="paragraph" w:styleId="18">
    <w:name w:val="header"/>
    <w:basedOn w:val="1"/>
    <w:link w:val="4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style>
  <w:style w:type="paragraph" w:styleId="20">
    <w:name w:val="Body Text 2"/>
    <w:basedOn w:val="1"/>
    <w:link w:val="55"/>
    <w:autoRedefine/>
    <w:qFormat/>
    <w:uiPriority w:val="0"/>
    <w:pPr>
      <w:spacing w:line="440" w:lineRule="exact"/>
    </w:pPr>
    <w:rPr>
      <w:rFonts w:ascii="CG Times" w:hAnsi="CG Times"/>
      <w:b/>
      <w:spacing w:val="2"/>
    </w:rPr>
  </w:style>
  <w:style w:type="paragraph" w:styleId="21">
    <w:name w:val="annotation subject"/>
    <w:basedOn w:val="9"/>
    <w:next w:val="9"/>
    <w:link w:val="42"/>
    <w:autoRedefine/>
    <w:unhideWhenUsed/>
    <w:qFormat/>
    <w:uiPriority w:val="99"/>
    <w:rPr>
      <w:b/>
      <w:bCs/>
      <w:szCs w:val="22"/>
    </w:rPr>
  </w:style>
  <w:style w:type="paragraph" w:styleId="22">
    <w:name w:val="Body Text First Indent 2"/>
    <w:basedOn w:val="11"/>
    <w:next w:val="1"/>
    <w:autoRedefine/>
    <w:qFormat/>
    <w:uiPriority w:val="0"/>
    <w:pPr>
      <w:spacing w:after="120"/>
      <w:ind w:left="420" w:leftChars="200" w:firstLine="420" w:firstLineChars="200"/>
    </w:pPr>
  </w:style>
  <w:style w:type="table" w:styleId="24">
    <w:name w:val="Table Grid"/>
    <w:basedOn w:val="23"/>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99"/>
    <w:rPr>
      <w:sz w:val="21"/>
      <w:szCs w:val="21"/>
    </w:rPr>
  </w:style>
  <w:style w:type="character" w:customStyle="1" w:styleId="29">
    <w:name w:val="apple-style-span"/>
    <w:basedOn w:val="25"/>
    <w:autoRedefine/>
    <w:qFormat/>
    <w:uiPriority w:val="0"/>
  </w:style>
  <w:style w:type="paragraph" w:customStyle="1" w:styleId="30">
    <w:name w:val="列出段落1"/>
    <w:basedOn w:val="1"/>
    <w:autoRedefine/>
    <w:qFormat/>
    <w:uiPriority w:val="0"/>
    <w:pPr>
      <w:ind w:firstLine="420" w:firstLineChars="200"/>
    </w:pPr>
  </w:style>
  <w:style w:type="paragraph" w:customStyle="1" w:styleId="31">
    <w:name w:val="Char"/>
    <w:basedOn w:val="1"/>
    <w:autoRedefine/>
    <w:qFormat/>
    <w:uiPriority w:val="0"/>
    <w:pPr>
      <w:snapToGrid w:val="0"/>
      <w:spacing w:line="360" w:lineRule="auto"/>
      <w:ind w:firstLine="200" w:firstLineChars="200"/>
    </w:pPr>
  </w:style>
  <w:style w:type="character" w:customStyle="1" w:styleId="32">
    <w:name w:val="日期 Char"/>
    <w:basedOn w:val="25"/>
    <w:link w:val="14"/>
    <w:autoRedefine/>
    <w:semiHidden/>
    <w:qFormat/>
    <w:uiPriority w:val="99"/>
    <w:rPr>
      <w:kern w:val="2"/>
      <w:sz w:val="21"/>
      <w:szCs w:val="24"/>
    </w:rPr>
  </w:style>
  <w:style w:type="character" w:customStyle="1" w:styleId="33">
    <w:name w:val="纯文本 Char"/>
    <w:link w:val="13"/>
    <w:autoRedefine/>
    <w:qFormat/>
    <w:uiPriority w:val="0"/>
    <w:rPr>
      <w:rFonts w:ascii="宋体" w:hAnsi="Courier New"/>
      <w:kern w:val="2"/>
      <w:sz w:val="21"/>
    </w:rPr>
  </w:style>
  <w:style w:type="character" w:customStyle="1" w:styleId="34">
    <w:name w:val="纯文本 Char1"/>
    <w:basedOn w:val="25"/>
    <w:autoRedefine/>
    <w:semiHidden/>
    <w:qFormat/>
    <w:uiPriority w:val="99"/>
    <w:rPr>
      <w:rFonts w:ascii="宋体" w:hAnsi="Courier New" w:cs="Courier New"/>
      <w:kern w:val="2"/>
      <w:sz w:val="21"/>
      <w:szCs w:val="21"/>
    </w:rPr>
  </w:style>
  <w:style w:type="character" w:customStyle="1" w:styleId="35">
    <w:name w:val="批注文字 Char"/>
    <w:link w:val="9"/>
    <w:autoRedefine/>
    <w:qFormat/>
    <w:uiPriority w:val="99"/>
    <w:rPr>
      <w:kern w:val="2"/>
      <w:sz w:val="21"/>
      <w:szCs w:val="24"/>
    </w:rPr>
  </w:style>
  <w:style w:type="character" w:customStyle="1" w:styleId="36">
    <w:name w:val="批注文字 Char1"/>
    <w:basedOn w:val="25"/>
    <w:autoRedefine/>
    <w:semiHidden/>
    <w:qFormat/>
    <w:uiPriority w:val="99"/>
    <w:rPr>
      <w:kern w:val="2"/>
      <w:sz w:val="21"/>
      <w:szCs w:val="24"/>
    </w:rPr>
  </w:style>
  <w:style w:type="character" w:customStyle="1" w:styleId="37">
    <w:name w:val="批注框文本 Char"/>
    <w:basedOn w:val="25"/>
    <w:link w:val="16"/>
    <w:autoRedefine/>
    <w:semiHidden/>
    <w:qFormat/>
    <w:uiPriority w:val="99"/>
    <w:rPr>
      <w:kern w:val="2"/>
      <w:sz w:val="18"/>
      <w:szCs w:val="18"/>
    </w:rPr>
  </w:style>
  <w:style w:type="table" w:customStyle="1" w:styleId="38">
    <w:name w:val="网格型1"/>
    <w:basedOn w:val="23"/>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9">
    <w:name w:val="List Paragraph"/>
    <w:basedOn w:val="1"/>
    <w:autoRedefine/>
    <w:qFormat/>
    <w:uiPriority w:val="34"/>
    <w:pPr>
      <w:ind w:firstLine="420" w:firstLineChars="200"/>
    </w:pPr>
  </w:style>
  <w:style w:type="character" w:customStyle="1" w:styleId="40">
    <w:name w:val="标题 2 Char"/>
    <w:basedOn w:val="25"/>
    <w:link w:val="3"/>
    <w:autoRedefine/>
    <w:qFormat/>
    <w:uiPriority w:val="9"/>
    <w:rPr>
      <w:rFonts w:ascii="Cambria" w:hAnsi="Cambria"/>
      <w:b/>
      <w:bCs/>
      <w:kern w:val="2"/>
      <w:sz w:val="32"/>
      <w:szCs w:val="32"/>
    </w:rPr>
  </w:style>
  <w:style w:type="character" w:customStyle="1" w:styleId="41">
    <w:name w:val="标题 3 Char"/>
    <w:basedOn w:val="25"/>
    <w:link w:val="4"/>
    <w:autoRedefine/>
    <w:qFormat/>
    <w:uiPriority w:val="9"/>
    <w:rPr>
      <w:rFonts w:ascii="Calibri" w:hAnsi="Calibri"/>
      <w:b/>
      <w:bCs/>
      <w:kern w:val="2"/>
      <w:sz w:val="32"/>
      <w:szCs w:val="32"/>
    </w:rPr>
  </w:style>
  <w:style w:type="character" w:customStyle="1" w:styleId="42">
    <w:name w:val="批注主题 Char"/>
    <w:link w:val="21"/>
    <w:autoRedefine/>
    <w:qFormat/>
    <w:uiPriority w:val="99"/>
    <w:rPr>
      <w:b/>
      <w:bCs/>
      <w:kern w:val="2"/>
      <w:sz w:val="21"/>
      <w:szCs w:val="22"/>
    </w:rPr>
  </w:style>
  <w:style w:type="character" w:customStyle="1" w:styleId="43">
    <w:name w:val="页眉 Char"/>
    <w:link w:val="18"/>
    <w:autoRedefine/>
    <w:qFormat/>
    <w:uiPriority w:val="99"/>
    <w:rPr>
      <w:kern w:val="2"/>
      <w:sz w:val="18"/>
      <w:szCs w:val="24"/>
    </w:rPr>
  </w:style>
  <w:style w:type="character" w:customStyle="1" w:styleId="44">
    <w:name w:val="页脚 Char"/>
    <w:link w:val="17"/>
    <w:autoRedefine/>
    <w:qFormat/>
    <w:uiPriority w:val="99"/>
    <w:rPr>
      <w:kern w:val="2"/>
      <w:sz w:val="18"/>
      <w:szCs w:val="24"/>
    </w:rPr>
  </w:style>
  <w:style w:type="character" w:customStyle="1" w:styleId="45">
    <w:name w:val="样式 标题 2 + Times New Roman 四号 非加粗 段前: 5 磅 段后: 0 磅 行距: 固定值 20... Char"/>
    <w:link w:val="46"/>
    <w:autoRedefine/>
    <w:qFormat/>
    <w:locked/>
    <w:uiPriority w:val="0"/>
    <w:rPr>
      <w:rFonts w:eastAsia="黑体"/>
      <w:sz w:val="28"/>
    </w:rPr>
  </w:style>
  <w:style w:type="paragraph" w:customStyle="1" w:styleId="46">
    <w:name w:val="样式 标题 2 + Times New Roman 四号 非加粗 段前: 5 磅 段后: 0 磅 行距: 固定值 20..."/>
    <w:basedOn w:val="3"/>
    <w:link w:val="45"/>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7">
    <w:name w:val="标题 1 Char"/>
    <w:link w:val="2"/>
    <w:autoRedefine/>
    <w:qFormat/>
    <w:uiPriority w:val="9"/>
    <w:rPr>
      <w:b/>
      <w:bCs/>
      <w:kern w:val="44"/>
      <w:sz w:val="44"/>
      <w:szCs w:val="44"/>
    </w:rPr>
  </w:style>
  <w:style w:type="character" w:customStyle="1" w:styleId="48">
    <w:name w:val="批注主题 Char1"/>
    <w:basedOn w:val="35"/>
    <w:autoRedefine/>
    <w:semiHidden/>
    <w:qFormat/>
    <w:uiPriority w:val="99"/>
    <w:rPr>
      <w:b/>
      <w:bCs/>
      <w:kern w:val="2"/>
      <w:sz w:val="21"/>
      <w:szCs w:val="24"/>
    </w:rPr>
  </w:style>
  <w:style w:type="paragraph" w:customStyle="1" w:styleId="49">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50">
    <w:name w:val="网格型浅色1"/>
    <w:basedOn w:val="23"/>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51">
    <w:name w:val="标题 4 Char"/>
    <w:basedOn w:val="25"/>
    <w:link w:val="5"/>
    <w:autoRedefine/>
    <w:qFormat/>
    <w:uiPriority w:val="0"/>
    <w:rPr>
      <w:rFonts w:ascii="CG Times" w:hAnsi="CG Times"/>
      <w:b/>
      <w:bCs/>
      <w:spacing w:val="2"/>
      <w:kern w:val="2"/>
      <w:sz w:val="24"/>
      <w:szCs w:val="24"/>
    </w:rPr>
  </w:style>
  <w:style w:type="character" w:customStyle="1" w:styleId="52">
    <w:name w:val="标题 5 Char"/>
    <w:basedOn w:val="25"/>
    <w:link w:val="6"/>
    <w:autoRedefine/>
    <w:qFormat/>
    <w:uiPriority w:val="0"/>
    <w:rPr>
      <w:rFonts w:ascii="CG Times" w:hAnsi="CG Times"/>
      <w:b/>
      <w:bCs/>
      <w:color w:val="000000"/>
      <w:spacing w:val="2"/>
      <w:kern w:val="2"/>
      <w:sz w:val="24"/>
      <w:szCs w:val="24"/>
    </w:rPr>
  </w:style>
  <w:style w:type="character" w:customStyle="1" w:styleId="53">
    <w:name w:val="标题 6 Char"/>
    <w:basedOn w:val="25"/>
    <w:link w:val="7"/>
    <w:autoRedefine/>
    <w:qFormat/>
    <w:uiPriority w:val="0"/>
    <w:rPr>
      <w:b/>
      <w:spacing w:val="2"/>
      <w:kern w:val="2"/>
      <w:sz w:val="22"/>
      <w:szCs w:val="24"/>
    </w:rPr>
  </w:style>
  <w:style w:type="character" w:customStyle="1" w:styleId="54">
    <w:name w:val="正文文本缩进 2 Char"/>
    <w:basedOn w:val="25"/>
    <w:link w:val="15"/>
    <w:autoRedefine/>
    <w:qFormat/>
    <w:uiPriority w:val="0"/>
    <w:rPr>
      <w:color w:val="000000"/>
      <w:spacing w:val="2"/>
      <w:kern w:val="2"/>
      <w:sz w:val="22"/>
      <w:szCs w:val="24"/>
    </w:rPr>
  </w:style>
  <w:style w:type="character" w:customStyle="1" w:styleId="55">
    <w:name w:val="正文文本 2 Char"/>
    <w:basedOn w:val="25"/>
    <w:link w:val="20"/>
    <w:autoRedefine/>
    <w:qFormat/>
    <w:uiPriority w:val="0"/>
    <w:rPr>
      <w:rFonts w:ascii="CG Times" w:hAnsi="CG Times"/>
      <w:b/>
      <w:spacing w:val="2"/>
      <w:kern w:val="2"/>
      <w:sz w:val="21"/>
      <w:szCs w:val="24"/>
    </w:rPr>
  </w:style>
  <w:style w:type="paragraph" w:styleId="56">
    <w:name w:val="No Spacing"/>
    <w:basedOn w:val="1"/>
    <w:autoRedefine/>
    <w:qFormat/>
    <w:uiPriority w:val="99"/>
    <w:pPr>
      <w:ind w:left="59" w:right="23" w:hanging="59" w:hangingChars="59"/>
    </w:pPr>
  </w:style>
  <w:style w:type="character" w:customStyle="1" w:styleId="57">
    <w:name w:val="font61"/>
    <w:basedOn w:val="25"/>
    <w:autoRedefine/>
    <w:qFormat/>
    <w:uiPriority w:val="0"/>
    <w:rPr>
      <w:rFonts w:hint="eastAsia" w:ascii="宋体" w:hAnsi="宋体" w:eastAsia="宋体" w:cs="宋体"/>
      <w:b/>
      <w:color w:val="000000"/>
      <w:sz w:val="21"/>
      <w:szCs w:val="21"/>
      <w:u w:val="none"/>
    </w:rPr>
  </w:style>
  <w:style w:type="paragraph" w:customStyle="1" w:styleId="58">
    <w:name w:val="Table Paragraph"/>
    <w:basedOn w:val="1"/>
    <w:autoRedefine/>
    <w:qFormat/>
    <w:uiPriority w:val="1"/>
    <w:pPr>
      <w:spacing w:line="300" w:lineRule="auto"/>
    </w:pPr>
    <w:rPr>
      <w:rFonts w:ascii="宋体" w:hAnsi="Courier New"/>
      <w:sz w:val="24"/>
      <w:szCs w:val="20"/>
    </w:rPr>
  </w:style>
  <w:style w:type="paragraph" w:customStyle="1" w:styleId="59">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60">
    <w:name w:val="正文文本 Char"/>
    <w:basedOn w:val="25"/>
    <w:link w:val="10"/>
    <w:autoRedefine/>
    <w:semiHidden/>
    <w:qFormat/>
    <w:uiPriority w:val="99"/>
    <w:rPr>
      <w:kern w:val="2"/>
      <w:sz w:val="21"/>
      <w:szCs w:val="24"/>
    </w:rPr>
  </w:style>
  <w:style w:type="character" w:customStyle="1" w:styleId="61">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62">
    <w:name w:val="font31"/>
    <w:basedOn w:val="2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27</Pages>
  <Words>2283</Words>
  <Characters>13014</Characters>
  <Lines>108</Lines>
  <Paragraphs>30</Paragraphs>
  <TotalTime>0</TotalTime>
  <ScaleCrop>false</ScaleCrop>
  <LinksUpToDate>false</LinksUpToDate>
  <CharactersWithSpaces>15267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鑫妞仔酷</cp:lastModifiedBy>
  <cp:lastPrinted>2018-03-23T04:20:00Z</cp:lastPrinted>
  <dcterms:modified xsi:type="dcterms:W3CDTF">2024-05-21T01:32:28Z</dcterms:modified>
  <dc:title>水投公司内控建设招标咨询单位</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