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广告标识项目谈判/询价文件</w:t>
      </w:r>
      <w:bookmarkStart w:id="0" w:name="_Toc152045512"/>
      <w:bookmarkStart w:id="1" w:name="_Toc152042288"/>
      <w:bookmarkStart w:id="2" w:name="_Toc144974480"/>
      <w:bookmarkStart w:id="3" w:name="_Toc271905052"/>
      <w:bookmarkStart w:id="4" w:name="_Toc18564"/>
    </w:p>
    <w:p>
      <w:pPr>
        <w:jc w:val="left"/>
        <w:rPr>
          <w:rFonts w:ascii="华文仿宋" w:hAnsi="华文仿宋" w:eastAsia="华文仿宋"/>
          <w:sz w:val="28"/>
          <w:szCs w:val="28"/>
        </w:rPr>
      </w:pPr>
      <w:r>
        <w:rPr>
          <w:rFonts w:hint="eastAsia" w:ascii="华文仿宋" w:hAnsi="华文仿宋" w:eastAsia="华文仿宋"/>
          <w:sz w:val="28"/>
          <w:szCs w:val="28"/>
        </w:rPr>
        <w:t>1、招标条件</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val="en-US" w:eastAsia="zh-CN"/>
        </w:rPr>
        <w:t>新源</w:t>
      </w:r>
      <w:r>
        <w:rPr>
          <w:rFonts w:hint="eastAsia" w:ascii="华文仿宋" w:hAnsi="华文仿宋" w:eastAsia="华文仿宋"/>
          <w:sz w:val="28"/>
          <w:szCs w:val="28"/>
        </w:rPr>
        <w:t>糖业公司，项目已具备采购条件，邀请合格的投标单位参加项目投标。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本次</w:t>
      </w:r>
      <w:r>
        <w:rPr>
          <w:rFonts w:hint="eastAsia" w:ascii="华文仿宋" w:hAnsi="华文仿宋" w:eastAsia="华文仿宋" w:cs="宋体"/>
          <w:sz w:val="28"/>
          <w:szCs w:val="28"/>
        </w:rPr>
        <w:t>采购</w:t>
      </w:r>
      <w:r>
        <w:rPr>
          <w:rFonts w:ascii="华文仿宋" w:hAnsi="华文仿宋" w:eastAsia="华文仿宋" w:cs="宋体"/>
          <w:sz w:val="28"/>
          <w:szCs w:val="28"/>
        </w:rPr>
        <w:t>要求投标人须具备以下资质及业绩，并在人员、设备、资金等方面具有相应的施工能力。</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2</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具备合格投标人资格的公司不能将其资格授予下属公司使用参与投标，本次招标不允许联合体参与投标；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3</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4</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5</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最近三年内没有骗取中标和严重违约及重大工程质量和安全问题；</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6</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具有</w:t>
      </w:r>
      <w:r>
        <w:rPr>
          <w:rFonts w:hint="eastAsia" w:ascii="华文仿宋" w:hAnsi="华文仿宋" w:eastAsia="华文仿宋" w:cs="宋体"/>
          <w:sz w:val="28"/>
          <w:szCs w:val="28"/>
          <w:lang w:val="en-US" w:eastAsia="zh-CN"/>
        </w:rPr>
        <w:t>广告设计安装</w:t>
      </w:r>
      <w:r>
        <w:rPr>
          <w:rFonts w:ascii="华文仿宋" w:hAnsi="华文仿宋" w:eastAsia="华文仿宋" w:cs="宋体"/>
          <w:sz w:val="28"/>
          <w:szCs w:val="28"/>
        </w:rPr>
        <w:t>资质</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7</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投标人应具有类似工程项目业绩且信誉良好。</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8</w:t>
      </w:r>
      <w:r>
        <w:rPr>
          <w:rFonts w:ascii="华文仿宋" w:hAnsi="华文仿宋" w:eastAsia="华文仿宋" w:cs="宋体"/>
          <w:sz w:val="28"/>
          <w:szCs w:val="28"/>
        </w:rPr>
        <w:t>) 法定代表人为同一个人的两个及两个以上法人，母公司、全资子公司及其控股公司，都不得同时投标。</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9）上传系统要求的廉洁承诺书及质量承诺书及其他资质文件。</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3.1项目名称：广告标识项目</w:t>
      </w:r>
    </w:p>
    <w:p>
      <w:pPr>
        <w:spacing w:line="360" w:lineRule="auto"/>
        <w:ind w:firstLine="560" w:firstLineChars="200"/>
        <w:jc w:val="left"/>
        <w:rPr>
          <w:rFonts w:ascii="华文仿宋" w:hAnsi="华文仿宋" w:eastAsia="华文仿宋"/>
          <w:color w:val="auto"/>
          <w:sz w:val="28"/>
          <w:szCs w:val="28"/>
        </w:rPr>
      </w:pPr>
      <w:r>
        <w:rPr>
          <w:rFonts w:hint="eastAsia" w:ascii="华文仿宋" w:hAnsi="华文仿宋" w:eastAsia="华文仿宋"/>
          <w:color w:val="auto"/>
          <w:sz w:val="28"/>
          <w:szCs w:val="28"/>
        </w:rPr>
        <w:t>3.2招标范围、清单、图纸、技术要求</w:t>
      </w:r>
    </w:p>
    <w:tbl>
      <w:tblPr>
        <w:tblStyle w:val="6"/>
        <w:tblW w:w="9112" w:type="dxa"/>
        <w:tblInd w:w="0" w:type="dxa"/>
        <w:tblLayout w:type="autofit"/>
        <w:tblCellMar>
          <w:top w:w="0" w:type="dxa"/>
          <w:left w:w="0" w:type="dxa"/>
          <w:bottom w:w="0" w:type="dxa"/>
          <w:right w:w="0" w:type="dxa"/>
        </w:tblCellMar>
      </w:tblPr>
      <w:tblGrid>
        <w:gridCol w:w="731"/>
        <w:gridCol w:w="870"/>
        <w:gridCol w:w="765"/>
        <w:gridCol w:w="731"/>
        <w:gridCol w:w="731"/>
        <w:gridCol w:w="732"/>
        <w:gridCol w:w="738"/>
        <w:gridCol w:w="732"/>
        <w:gridCol w:w="732"/>
        <w:gridCol w:w="732"/>
        <w:gridCol w:w="1611"/>
        <w:gridCol w:w="7"/>
      </w:tblGrid>
      <w:tr>
        <w:tblPrEx>
          <w:tblCellMar>
            <w:top w:w="0" w:type="dxa"/>
            <w:left w:w="0" w:type="dxa"/>
            <w:bottom w:w="0" w:type="dxa"/>
            <w:right w:w="0" w:type="dxa"/>
          </w:tblCellMar>
        </w:tblPrEx>
        <w:trPr>
          <w:gridAfter w:val="1"/>
          <w:wAfter w:w="7" w:type="dxa"/>
          <w:trHeight w:val="103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物料名称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材质</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数量</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单价</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总价</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交货日期</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验收标准</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r>
              <w:rPr>
                <w:rFonts w:hint="eastAsia"/>
              </w:rPr>
              <w:t>备注（品牌要求）</w:t>
            </w: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A4铜版纸彩印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eastAsia="zh-CN"/>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张</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default"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符合公司要求</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A3铜版纸彩印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张</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A4过塑</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张</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A3过塑</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eastAsia="zh-CN"/>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张</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lang w:val="en-US" w:eastAsia="zh-CN"/>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即时贴刻字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厘米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背胶纸异形模切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封皮+胶装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本</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横幅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卡布灯箱</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灯箱布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防风布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写真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车贴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反光贴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写真/车贴+卡板+边条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车贴+铁皮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反光贴+铁皮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喷绘+2*2方管架子</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喷绘+4*4方管架子</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落地式成品展架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门型展架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X展架</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不锈钢宣传栏</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不锈钢宣传栏+雨棚+玻璃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无边字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冲孔字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不锈钢包边字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铁皮字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户外单色P10（白）电子屏</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户外单色P10（红）电子屏</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铝合金门牌</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40*60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铝合金门牌-双面</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强磁台签</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三角桌签</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锦旗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荣誉证书+内页</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红木托奖牌</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PVC相框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80*180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照片打印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80*180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旗帜布印刷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120*240（画面）</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A4铜版纸彩印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120*240（画面）</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A3铜版纸彩印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A4过塑</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A3过塑</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即时贴刻字</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背胶纸异形模切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封皮+胶装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横幅</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卡布灯箱</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灯箱布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防风布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写真</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车贴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15*10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反光贴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大号</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写真/车贴+卡板+边条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中号</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车贴+铁皮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小号</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反光贴+铁皮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喷绘+2*2方管架子</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A5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喷绘+4*4方管架子</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35*55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10*15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版</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gridAfter w:val="1"/>
          <w:wAfter w:w="7" w:type="dxa"/>
          <w:trHeight w:val="52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2.0PVCuv</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宋体" w:hAnsi="宋体" w:eastAsia="宋体" w:cs="宋体"/>
                <w:sz w:val="21"/>
                <w:szCs w:val="21"/>
              </w:rPr>
            </w:pPr>
          </w:p>
        </w:tc>
      </w:tr>
      <w:tr>
        <w:tblPrEx>
          <w:tblCellMar>
            <w:top w:w="0" w:type="dxa"/>
            <w:left w:w="0" w:type="dxa"/>
            <w:bottom w:w="0" w:type="dxa"/>
            <w:right w:w="0" w:type="dxa"/>
          </w:tblCellMar>
        </w:tblPrEx>
        <w:trPr>
          <w:trHeight w:val="214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r>
              <w:rPr>
                <w:rFonts w:hint="eastAsia"/>
              </w:rPr>
              <w:t>项目说明</w:t>
            </w:r>
          </w:p>
        </w:tc>
        <w:tc>
          <w:tcPr>
            <w:tcW w:w="83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14"/>
              <w:numPr>
                <w:ilvl w:val="0"/>
                <w:numId w:val="1"/>
              </w:numPr>
              <w:ind w:firstLineChars="0"/>
            </w:pPr>
            <w:r>
              <w:rPr>
                <w:rFonts w:hint="eastAsia"/>
              </w:rPr>
              <w:t>报价范围</w:t>
            </w:r>
            <w:r>
              <w:rPr>
                <w:rFonts w:hint="eastAsia"/>
                <w:lang w:eastAsia="zh-CN"/>
              </w:rPr>
              <w:t>：</w:t>
            </w:r>
            <w:r>
              <w:rPr>
                <w:rFonts w:hint="eastAsia"/>
                <w:lang w:val="en-US" w:eastAsia="zh-CN"/>
              </w:rPr>
              <w:t>按实际报价</w:t>
            </w:r>
          </w:p>
          <w:p>
            <w:pPr>
              <w:pStyle w:val="14"/>
              <w:numPr>
                <w:ilvl w:val="0"/>
                <w:numId w:val="1"/>
              </w:numPr>
              <w:ind w:firstLineChars="0"/>
            </w:pPr>
            <w:r>
              <w:rPr>
                <w:rFonts w:hint="eastAsia"/>
              </w:rPr>
              <w:t>施工方案：</w:t>
            </w:r>
            <w:r>
              <w:rPr>
                <w:rFonts w:hint="eastAsia"/>
                <w:lang w:val="en-US" w:eastAsia="zh-CN"/>
              </w:rPr>
              <w:t>按照公司现场要求进行设计安装</w:t>
            </w:r>
          </w:p>
          <w:p>
            <w:pPr>
              <w:pStyle w:val="14"/>
              <w:numPr>
                <w:ilvl w:val="0"/>
                <w:numId w:val="1"/>
              </w:numPr>
              <w:ind w:firstLineChars="0"/>
            </w:pPr>
            <w:r>
              <w:rPr>
                <w:rFonts w:hint="eastAsia"/>
              </w:rPr>
              <w:t>用电结算</w:t>
            </w:r>
            <w:r>
              <w:rPr>
                <w:rFonts w:hint="eastAsia"/>
                <w:lang w:eastAsia="zh-CN"/>
              </w:rPr>
              <w:t>：</w:t>
            </w:r>
            <w:r>
              <w:rPr>
                <w:rFonts w:hint="eastAsia"/>
                <w:lang w:val="en-US" w:eastAsia="zh-CN"/>
              </w:rPr>
              <w:t>公司负责；</w:t>
            </w:r>
            <w:r>
              <w:rPr>
                <w:rFonts w:hint="eastAsia"/>
              </w:rPr>
              <w:t>现场管理</w:t>
            </w:r>
            <w:r>
              <w:rPr>
                <w:rFonts w:hint="eastAsia"/>
                <w:lang w:eastAsia="zh-CN"/>
              </w:rPr>
              <w:t>：</w:t>
            </w:r>
            <w:r>
              <w:rPr>
                <w:rFonts w:hint="eastAsia"/>
                <w:lang w:val="en-US" w:eastAsia="zh-CN"/>
              </w:rPr>
              <w:t>符合公司安全管理要求，</w:t>
            </w:r>
            <w:r>
              <w:rPr>
                <w:rFonts w:hint="eastAsia"/>
              </w:rPr>
              <w:t>付款方式</w:t>
            </w:r>
            <w:r>
              <w:rPr>
                <w:rFonts w:hint="eastAsia"/>
                <w:lang w:eastAsia="zh-CN"/>
              </w:rPr>
              <w:t>：</w:t>
            </w:r>
            <w:r>
              <w:rPr>
                <w:rFonts w:hint="eastAsia"/>
                <w:lang w:val="en-US" w:eastAsia="zh-CN"/>
              </w:rPr>
              <w:t>现金付款；</w:t>
            </w:r>
            <w:r>
              <w:rPr>
                <w:rFonts w:hint="eastAsia"/>
              </w:rPr>
              <w:t>交工标准</w:t>
            </w:r>
            <w:r>
              <w:rPr>
                <w:rFonts w:hint="eastAsia"/>
                <w:lang w:eastAsia="zh-CN"/>
              </w:rPr>
              <w:t>：</w:t>
            </w:r>
            <w:r>
              <w:rPr>
                <w:rFonts w:hint="eastAsia"/>
                <w:lang w:val="en-US" w:eastAsia="zh-CN"/>
              </w:rPr>
              <w:t>公司验收合格签字。</w:t>
            </w:r>
          </w:p>
          <w:p>
            <w:pPr>
              <w:pStyle w:val="14"/>
              <w:numPr>
                <w:ilvl w:val="0"/>
                <w:numId w:val="1"/>
              </w:numPr>
              <w:ind w:firstLineChars="0"/>
            </w:pPr>
            <w:r>
              <w:rPr>
                <w:rFonts w:hint="eastAsia"/>
              </w:rPr>
              <w:t>可附图纸</w:t>
            </w:r>
          </w:p>
        </w:tc>
      </w:tr>
    </w:tbl>
    <w:p>
      <w:pPr>
        <w:spacing w:line="360" w:lineRule="auto"/>
        <w:ind w:firstLine="560" w:firstLineChars="200"/>
        <w:jc w:val="left"/>
        <w:rPr>
          <w:rFonts w:ascii="华文仿宋" w:hAnsi="华文仿宋" w:eastAsia="华文仿宋"/>
          <w:color w:val="FF0000"/>
          <w:sz w:val="28"/>
          <w:szCs w:val="28"/>
        </w:rPr>
      </w:pP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3.3项目总工期：</w:t>
      </w:r>
      <w:r>
        <w:rPr>
          <w:rFonts w:hint="eastAsia" w:ascii="华文仿宋" w:hAnsi="华文仿宋" w:eastAsia="华文仿宋" w:cs="宋体"/>
          <w:sz w:val="28"/>
          <w:szCs w:val="28"/>
          <w:lang w:val="en-US" w:eastAsia="zh-CN"/>
        </w:rPr>
        <w:t>2024年-2025年6月</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3.4施工地点：</w:t>
      </w:r>
      <w:r>
        <w:rPr>
          <w:rFonts w:hint="eastAsia" w:ascii="华文仿宋" w:hAnsi="华文仿宋" w:eastAsia="华文仿宋" w:cs="宋体"/>
          <w:sz w:val="28"/>
          <w:szCs w:val="28"/>
          <w:lang w:val="en-US" w:eastAsia="zh-CN"/>
        </w:rPr>
        <w:t>新源糖业</w:t>
      </w:r>
    </w:p>
    <w:p>
      <w:pPr>
        <w:snapToGrid w:val="0"/>
        <w:spacing w:line="360" w:lineRule="auto"/>
        <w:jc w:val="left"/>
        <w:rPr>
          <w:rFonts w:hint="eastAsia" w:ascii="华文仿宋" w:hAnsi="华文仿宋" w:eastAsia="华文仿宋" w:cs="宋体"/>
          <w:sz w:val="28"/>
          <w:szCs w:val="28"/>
          <w:lang w:val="en-US" w:eastAsia="zh-CN"/>
        </w:rPr>
      </w:pPr>
      <w:r>
        <w:rPr>
          <w:rFonts w:hint="eastAsia" w:ascii="华文仿宋" w:hAnsi="华文仿宋" w:eastAsia="华文仿宋" w:cs="宋体"/>
          <w:sz w:val="28"/>
          <w:szCs w:val="28"/>
        </w:rPr>
        <w:t>3.5联系人：</w:t>
      </w:r>
      <w:r>
        <w:rPr>
          <w:rFonts w:hint="eastAsia" w:ascii="华文仿宋" w:hAnsi="华文仿宋" w:eastAsia="华文仿宋" w:cs="宋体"/>
          <w:sz w:val="28"/>
          <w:szCs w:val="28"/>
          <w:lang w:val="en-US" w:eastAsia="zh-CN"/>
        </w:rPr>
        <w:t>李强</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4、采购方式：询比价</w:t>
      </w:r>
      <w:r>
        <w:rPr>
          <w:rFonts w:hint="eastAsia" w:ascii="华文仿宋" w:hAnsi="华文仿宋" w:eastAsia="华文仿宋" w:cs="宋体"/>
          <w:sz w:val="28"/>
          <w:szCs w:val="28"/>
          <w:lang w:val="en-US" w:eastAsia="zh-CN"/>
        </w:rPr>
        <w:t>/现金报价</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5、定价方式：低价中标</w:t>
      </w:r>
      <w:r>
        <w:rPr>
          <w:rFonts w:hint="eastAsia" w:ascii="华文仿宋" w:hAnsi="华文仿宋" w:eastAsia="华文仿宋" w:cs="宋体"/>
          <w:sz w:val="28"/>
          <w:szCs w:val="28"/>
          <w:lang w:val="en-US" w:eastAsia="zh-CN"/>
        </w:rPr>
        <w:t>/现金付款</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6、投标保证金：</w:t>
      </w:r>
      <w:r>
        <w:rPr>
          <w:rFonts w:hint="eastAsia" w:ascii="华文仿宋" w:hAnsi="华文仿宋" w:eastAsia="华文仿宋" w:cs="宋体"/>
          <w:sz w:val="28"/>
          <w:szCs w:val="28"/>
          <w:lang w:val="en-US" w:eastAsia="zh-CN"/>
        </w:rPr>
        <w:t>1000元</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7、采购程序：（EPS平台程序）项目审核后发布、供应商编制响应文件、报价响应、谈判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8、报名截止时间：根据EPS时间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9、报名地点：EPS</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10、监督方式：附件2</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11、合同草案：附件3（含付款方式）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12、投标文件上传：</w:t>
      </w:r>
    </w:p>
    <w:p>
      <w:pPr>
        <w:snapToGrid w:val="0"/>
        <w:spacing w:line="360" w:lineRule="auto"/>
        <w:ind w:firstLine="843" w:firstLineChars="300"/>
        <w:jc w:val="left"/>
        <w:rPr>
          <w:rFonts w:ascii="华文仿宋" w:hAnsi="华文仿宋" w:eastAsia="华文仿宋" w:cs="宋体"/>
          <w:b/>
          <w:sz w:val="28"/>
          <w:szCs w:val="28"/>
          <w:highlight w:val="yellow"/>
        </w:rPr>
      </w:pPr>
      <w:r>
        <w:rPr>
          <w:rFonts w:hint="eastAsia" w:ascii="华文仿宋" w:hAnsi="华文仿宋" w:eastAsia="华文仿宋" w:cs="宋体"/>
          <w:b/>
          <w:sz w:val="28"/>
          <w:szCs w:val="28"/>
          <w:highlight w:val="yellow"/>
        </w:rPr>
        <w:t>1）商务标书按标的/清单列示内容格式上传报价单。</w:t>
      </w:r>
    </w:p>
    <w:p>
      <w:pPr>
        <w:snapToGrid w:val="0"/>
        <w:spacing w:line="360" w:lineRule="auto"/>
        <w:ind w:firstLine="843" w:firstLineChars="300"/>
        <w:jc w:val="left"/>
        <w:rPr>
          <w:rFonts w:ascii="华文仿宋" w:hAnsi="华文仿宋" w:eastAsia="华文仿宋" w:cs="宋体"/>
          <w:b/>
          <w:sz w:val="28"/>
          <w:szCs w:val="28"/>
        </w:rPr>
      </w:pPr>
      <w:r>
        <w:rPr>
          <w:rFonts w:hint="eastAsia" w:ascii="华文仿宋" w:hAnsi="华文仿宋" w:eastAsia="华文仿宋" w:cs="宋体"/>
          <w:b/>
          <w:sz w:val="28"/>
          <w:szCs w:val="28"/>
          <w:highlight w:val="yellow"/>
        </w:rPr>
        <w:t>2）技术标书按照评分办法编制投标文件并上传，后续如有改变可作为谈判附件上传。</w:t>
      </w:r>
    </w:p>
    <w:p>
      <w:pPr>
        <w:snapToGrid w:val="0"/>
        <w:spacing w:line="360" w:lineRule="auto"/>
        <w:jc w:val="left"/>
        <w:rPr>
          <w:rFonts w:ascii="华文仿宋" w:hAnsi="华文仿宋" w:eastAsia="华文仿宋" w:cs="宋体"/>
          <w:sz w:val="28"/>
          <w:szCs w:val="28"/>
          <w:highlight w:val="none"/>
        </w:rPr>
      </w:pPr>
    </w:p>
    <w:p>
      <w:pPr>
        <w:snapToGrid w:val="0"/>
        <w:spacing w:line="360" w:lineRule="auto"/>
        <w:jc w:val="left"/>
        <w:rPr>
          <w:rFonts w:ascii="华文仿宋" w:hAnsi="华文仿宋" w:eastAsia="华文仿宋" w:cs="宋体"/>
          <w:sz w:val="28"/>
          <w:szCs w:val="28"/>
          <w:highlight w:val="none"/>
        </w:rPr>
      </w:pPr>
      <w:r>
        <w:rPr>
          <w:rFonts w:hint="eastAsia" w:ascii="华文仿宋" w:hAnsi="华文仿宋" w:eastAsia="华文仿宋" w:cs="宋体"/>
          <w:sz w:val="28"/>
          <w:szCs w:val="28"/>
          <w:highlight w:val="none"/>
        </w:rPr>
        <w:t>附件1：评分办法（根据项目特点自行编制设备类货物类价格分占6</w:t>
      </w:r>
      <w:r>
        <w:rPr>
          <w:rFonts w:ascii="华文仿宋" w:hAnsi="华文仿宋" w:eastAsia="华文仿宋" w:cs="宋体"/>
          <w:sz w:val="28"/>
          <w:szCs w:val="28"/>
          <w:highlight w:val="none"/>
        </w:rPr>
        <w:t>0分。</w:t>
      </w:r>
      <w:r>
        <w:rPr>
          <w:rFonts w:hint="eastAsia" w:ascii="华文仿宋" w:hAnsi="华文仿宋" w:eastAsia="华文仿宋" w:cs="宋体"/>
          <w:sz w:val="28"/>
          <w:szCs w:val="28"/>
          <w:highlight w:val="none"/>
        </w:rPr>
        <w:t>）</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4：安全协议</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5：环保协议</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附件1：</w:t>
      </w:r>
      <w:r>
        <w:rPr>
          <w:rFonts w:hint="eastAsia" w:ascii="华文仿宋" w:hAnsi="华文仿宋" w:eastAsia="华文仿宋" w:cs="宋体"/>
          <w:color w:val="FF0000"/>
          <w:sz w:val="28"/>
          <w:szCs w:val="28"/>
          <w:highlight w:val="yellow"/>
        </w:rPr>
        <w:t>评分办法</w:t>
      </w:r>
      <w:r>
        <w:rPr>
          <w:rFonts w:hint="eastAsia" w:ascii="华文仿宋" w:hAnsi="华文仿宋" w:eastAsia="华文仿宋" w:cs="宋体"/>
          <w:color w:val="FF0000"/>
          <w:sz w:val="28"/>
          <w:szCs w:val="28"/>
          <w:highlight w:val="yellow"/>
          <w:lang w:val="en-US" w:eastAsia="zh-CN"/>
        </w:rPr>
        <w:t>此项不涉及</w:t>
      </w:r>
    </w:p>
    <w:p>
      <w:pPr>
        <w:spacing w:line="440" w:lineRule="exact"/>
        <w:jc w:val="left"/>
        <w:rPr>
          <w:b/>
          <w:sz w:val="28"/>
          <w:szCs w:val="28"/>
        </w:rPr>
      </w:pPr>
      <w:r>
        <w:rPr>
          <w:rFonts w:hint="eastAsia"/>
          <w:b/>
          <w:sz w:val="28"/>
          <w:szCs w:val="28"/>
        </w:rPr>
        <w:t>1.分值构成</w:t>
      </w:r>
    </w:p>
    <w:tbl>
      <w:tblPr>
        <w:tblStyle w:val="6"/>
        <w:tblW w:w="8640" w:type="dxa"/>
        <w:tblInd w:w="-8" w:type="dxa"/>
        <w:tblLayout w:type="fixed"/>
        <w:tblCellMar>
          <w:top w:w="0" w:type="dxa"/>
          <w:left w:w="108" w:type="dxa"/>
          <w:bottom w:w="0" w:type="dxa"/>
          <w:right w:w="108" w:type="dxa"/>
        </w:tblCellMar>
      </w:tblPr>
      <w:tblGrid>
        <w:gridCol w:w="1080"/>
        <w:gridCol w:w="1440"/>
        <w:gridCol w:w="6120"/>
      </w:tblGrid>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条款号</w:t>
            </w:r>
          </w:p>
        </w:tc>
        <w:tc>
          <w:tcPr>
            <w:tcW w:w="144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条款内容</w:t>
            </w:r>
          </w:p>
        </w:tc>
        <w:tc>
          <w:tcPr>
            <w:tcW w:w="612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编列内容</w:t>
            </w:r>
          </w:p>
        </w:tc>
      </w:tr>
      <w:tr>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1.1</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分值构成</w:t>
            </w:r>
          </w:p>
          <w:p>
            <w:pPr>
              <w:adjustRightInd w:val="0"/>
              <w:snapToGrid w:val="0"/>
              <w:spacing w:line="360" w:lineRule="auto"/>
              <w:jc w:val="center"/>
              <w:textAlignment w:val="baseline"/>
              <w:rPr>
                <w:sz w:val="18"/>
                <w:szCs w:val="18"/>
              </w:rPr>
            </w:pPr>
            <w:r>
              <w:rPr>
                <w:sz w:val="18"/>
                <w:szCs w:val="18"/>
              </w:rPr>
              <w:t>(</w:t>
            </w:r>
            <w:r>
              <w:rPr>
                <w:rFonts w:hint="eastAsia"/>
                <w:sz w:val="18"/>
                <w:szCs w:val="18"/>
              </w:rPr>
              <w:t>总分</w:t>
            </w:r>
            <w:r>
              <w:rPr>
                <w:sz w:val="18"/>
                <w:szCs w:val="18"/>
              </w:rPr>
              <w:t>100</w:t>
            </w:r>
            <w:r>
              <w:rPr>
                <w:rFonts w:hint="eastAsia"/>
                <w:sz w:val="18"/>
                <w:szCs w:val="18"/>
              </w:rPr>
              <w:t>分</w:t>
            </w:r>
            <w:r>
              <w:rPr>
                <w:sz w:val="18"/>
                <w:szCs w:val="18"/>
              </w:rPr>
              <w:t>)</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textAlignment w:val="baseline"/>
              <w:rPr>
                <w:rFonts w:ascii="宋体"/>
                <w:sz w:val="18"/>
                <w:szCs w:val="18"/>
              </w:rPr>
            </w:pPr>
            <w:r>
              <w:rPr>
                <w:rFonts w:hint="eastAsia" w:ascii="宋体" w:hAnsi="宋体"/>
                <w:sz w:val="18"/>
                <w:szCs w:val="18"/>
              </w:rPr>
              <w:t>投标报价：</w:t>
            </w:r>
            <w:r>
              <w:rPr>
                <w:rFonts w:ascii="宋体" w:hAnsi="宋体"/>
                <w:sz w:val="18"/>
                <w:szCs w:val="18"/>
              </w:rPr>
              <w:t>6</w:t>
            </w:r>
            <w:r>
              <w:rPr>
                <w:rFonts w:hint="eastAsia" w:ascii="宋体" w:hAnsi="宋体"/>
                <w:sz w:val="18"/>
                <w:szCs w:val="18"/>
              </w:rPr>
              <w:t>0%；</w:t>
            </w:r>
          </w:p>
          <w:p>
            <w:pPr>
              <w:adjustRightInd w:val="0"/>
              <w:snapToGrid w:val="0"/>
              <w:spacing w:line="360" w:lineRule="auto"/>
              <w:jc w:val="left"/>
              <w:textAlignment w:val="baseline"/>
              <w:rPr>
                <w:rFonts w:ascii="宋体"/>
                <w:b/>
                <w:bCs/>
                <w:color w:val="000000"/>
                <w:sz w:val="18"/>
                <w:szCs w:val="18"/>
                <w:highlight w:val="yellow"/>
              </w:rPr>
            </w:pPr>
            <w:r>
              <w:rPr>
                <w:rFonts w:hint="eastAsia" w:ascii="宋体" w:hAnsi="宋体"/>
                <w:sz w:val="18"/>
                <w:szCs w:val="18"/>
              </w:rPr>
              <w:t>商务技术：4</w:t>
            </w:r>
            <w:r>
              <w:rPr>
                <w:rFonts w:ascii="宋体" w:hAnsi="宋体"/>
                <w:sz w:val="18"/>
                <w:szCs w:val="18"/>
              </w:rPr>
              <w:t>0%</w:t>
            </w:r>
          </w:p>
        </w:tc>
      </w:tr>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Times New Roman"/>
                <w:sz w:val="18"/>
                <w:szCs w:val="18"/>
              </w:rPr>
            </w:pPr>
            <w:r>
              <w:rPr>
                <w:sz w:val="18"/>
                <w:szCs w:val="18"/>
              </w:rPr>
              <w:t>1</w:t>
            </w:r>
            <w:r>
              <w:rPr>
                <w:rFonts w:hint="eastAsia"/>
                <w:sz w:val="18"/>
                <w:szCs w:val="18"/>
              </w:rPr>
              <w:t>.2</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b/>
                <w:bCs/>
                <w:sz w:val="18"/>
                <w:szCs w:val="18"/>
              </w:rPr>
            </w:pPr>
            <w:r>
              <w:rPr>
                <w:rFonts w:hint="eastAsia"/>
                <w:sz w:val="18"/>
                <w:szCs w:val="18"/>
              </w:rPr>
              <w:t>评标基准价计算方法</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textAlignment w:val="baseline"/>
              <w:rPr>
                <w:sz w:val="18"/>
                <w:szCs w:val="18"/>
              </w:rPr>
            </w:pPr>
            <w:r>
              <w:rPr>
                <w:sz w:val="18"/>
                <w:szCs w:val="18"/>
              </w:rPr>
              <w:t>根据实际项目进行设置。</w:t>
            </w:r>
          </w:p>
        </w:tc>
      </w:tr>
    </w:tbl>
    <w:p>
      <w:pPr>
        <w:spacing w:line="440" w:lineRule="exact"/>
        <w:rPr>
          <w:rFonts w:ascii="宋体" w:hAnsi="Times New Roman" w:cs="Times New Roman"/>
          <w:b/>
          <w:bCs/>
          <w:szCs w:val="21"/>
        </w:rPr>
      </w:pPr>
    </w:p>
    <w:p>
      <w:pPr>
        <w:spacing w:line="440" w:lineRule="exact"/>
        <w:rPr>
          <w:rFonts w:ascii="宋体"/>
          <w:b/>
          <w:bCs/>
          <w:sz w:val="28"/>
          <w:szCs w:val="28"/>
        </w:rPr>
      </w:pPr>
      <w:r>
        <w:rPr>
          <w:rFonts w:ascii="宋体" w:hAnsi="宋体"/>
          <w:b/>
          <w:bCs/>
          <w:sz w:val="28"/>
          <w:szCs w:val="28"/>
        </w:rPr>
        <w:t>2.</w:t>
      </w:r>
      <w:r>
        <w:rPr>
          <w:rFonts w:hint="eastAsia" w:ascii="宋体" w:hAnsi="宋体"/>
          <w:b/>
          <w:bCs/>
          <w:sz w:val="28"/>
          <w:szCs w:val="28"/>
        </w:rPr>
        <w:t>施工组织设计（满分</w:t>
      </w:r>
      <w:r>
        <w:rPr>
          <w:rFonts w:ascii="宋体" w:hAnsi="宋体"/>
          <w:b/>
          <w:bCs/>
          <w:sz w:val="28"/>
          <w:szCs w:val="28"/>
        </w:rPr>
        <w:t>40</w:t>
      </w:r>
      <w:r>
        <w:rPr>
          <w:rFonts w:hint="eastAsia" w:ascii="宋体" w:hAnsi="宋体"/>
          <w:b/>
          <w:bCs/>
          <w:sz w:val="28"/>
          <w:szCs w:val="28"/>
        </w:rPr>
        <w:t>分）</w:t>
      </w:r>
    </w:p>
    <w:tbl>
      <w:tblPr>
        <w:tblStyle w:val="6"/>
        <w:tblW w:w="8522" w:type="dxa"/>
        <w:tblInd w:w="-8" w:type="dxa"/>
        <w:tblLayout w:type="fixed"/>
        <w:tblCellMar>
          <w:top w:w="0" w:type="dxa"/>
          <w:left w:w="108" w:type="dxa"/>
          <w:bottom w:w="0" w:type="dxa"/>
          <w:right w:w="108" w:type="dxa"/>
        </w:tblCellMar>
      </w:tblPr>
      <w:tblGrid>
        <w:gridCol w:w="704"/>
        <w:gridCol w:w="2554"/>
        <w:gridCol w:w="880"/>
        <w:gridCol w:w="1822"/>
        <w:gridCol w:w="1403"/>
        <w:gridCol w:w="1159"/>
      </w:tblGrid>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序号</w:t>
            </w:r>
          </w:p>
        </w:tc>
        <w:tc>
          <w:tcPr>
            <w:tcW w:w="2554"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评分项目</w:t>
            </w:r>
          </w:p>
        </w:tc>
        <w:tc>
          <w:tcPr>
            <w:tcW w:w="880"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标准分</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评分标准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分值</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备注</w:t>
            </w: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施工方案</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sz w:val="18"/>
                <w:szCs w:val="18"/>
              </w:rPr>
              <w:t>0</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10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劳动力计划安排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3</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材料供应安排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1.5～3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关键部位施工方法</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2.1</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欠可行、方案一般</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5</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质量安全保证措施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1</w:t>
            </w:r>
            <w:r>
              <w:rPr>
                <w:rFonts w:hint="eastAsia" w:ascii="宋体" w:hAnsi="宋体"/>
                <w:sz w:val="18"/>
                <w:szCs w:val="18"/>
              </w:rPr>
              <w:t>～</w:t>
            </w:r>
            <w:r>
              <w:rPr>
                <w:rFonts w:ascii="宋体" w:hAnsi="宋体"/>
                <w:sz w:val="18"/>
                <w:szCs w:val="18"/>
              </w:rPr>
              <w:t>2.5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机械设备配置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安排合理满足招标文件要求</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7</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工期计划合理，保证措施切实可行且满足招标文件要求</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8</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具有可行的提高工程质量、保证工期、降低造价的合理化建议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9</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施工现场采取环保、消防、降噪声、文明等施工技术措施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1.5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1</w:t>
            </w:r>
          </w:p>
        </w:tc>
        <w:tc>
          <w:tcPr>
            <w:tcW w:w="2554" w:type="dxa"/>
            <w:vMerge w:val="restart"/>
            <w:tcBorders>
              <w:top w:val="nil"/>
              <w:left w:val="nil"/>
              <w:right w:val="single" w:color="auto" w:sz="4" w:space="0"/>
            </w:tcBorders>
            <w:vAlign w:val="center"/>
          </w:tcPr>
          <w:p>
            <w:pPr>
              <w:snapToGrid w:val="0"/>
              <w:spacing w:line="360" w:lineRule="auto"/>
              <w:rPr>
                <w:rFonts w:ascii="宋体"/>
                <w:sz w:val="18"/>
                <w:szCs w:val="18"/>
              </w:rPr>
            </w:pPr>
            <w:r>
              <w:rPr>
                <w:rFonts w:hint="eastAsia" w:ascii="宋体" w:hAnsi="宋体"/>
                <w:sz w:val="18"/>
                <w:szCs w:val="18"/>
              </w:rPr>
              <w:t>符合招标文件要求的质量及质保期</w:t>
            </w:r>
          </w:p>
        </w:tc>
        <w:tc>
          <w:tcPr>
            <w:tcW w:w="880" w:type="dxa"/>
            <w:vMerge w:val="restart"/>
            <w:tcBorders>
              <w:top w:val="nil"/>
              <w:left w:val="nil"/>
              <w:right w:val="single" w:color="auto" w:sz="4" w:space="0"/>
            </w:tcBorders>
            <w:vAlign w:val="center"/>
          </w:tcPr>
          <w:p>
            <w:pPr>
              <w:snapToGrid w:val="0"/>
              <w:spacing w:line="360" w:lineRule="auto"/>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sz w:val="18"/>
                <w:szCs w:val="18"/>
              </w:rPr>
            </w:pPr>
            <w:r>
              <w:rPr>
                <w:rFonts w:hint="eastAsia" w:ascii="宋体" w:hAnsi="宋体" w:cs="MingLiU"/>
                <w:kern w:val="0"/>
                <w:sz w:val="18"/>
                <w:szCs w:val="18"/>
              </w:rPr>
              <w:t>内容完整和编制水平最好得3分，</w:t>
            </w:r>
            <w:r>
              <w:rPr>
                <w:rFonts w:ascii="宋体"/>
                <w:sz w:val="18"/>
                <w:szCs w:val="18"/>
              </w:rPr>
              <w:t xml:space="preserve"> </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cs="MingLiU"/>
                <w:kern w:val="0"/>
                <w:sz w:val="18"/>
                <w:szCs w:val="18"/>
              </w:rPr>
              <w:t>零乱结构不清晰</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sz w:val="18"/>
                <w:szCs w:val="18"/>
              </w:rPr>
              <w:t>2.9</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2</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投标人过往工程业绩</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近</w:t>
            </w:r>
            <w:r>
              <w:rPr>
                <w:rFonts w:ascii="宋体" w:hAnsi="宋体"/>
                <w:sz w:val="18"/>
                <w:szCs w:val="18"/>
              </w:rPr>
              <w:t>3</w:t>
            </w:r>
            <w:r>
              <w:rPr>
                <w:rFonts w:hint="eastAsia" w:ascii="宋体" w:hAnsi="宋体"/>
                <w:sz w:val="18"/>
                <w:szCs w:val="18"/>
              </w:rPr>
              <w:t>年，1个两个含两个2分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两个含两个及以上分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3</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响应项目单位付款方式</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1</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同意项目单位付款</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不同意</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5</w:t>
            </w:r>
          </w:p>
        </w:tc>
        <w:tc>
          <w:tcPr>
            <w:tcW w:w="2554" w:type="dxa"/>
            <w:vMerge w:val="restart"/>
            <w:tcBorders>
              <w:top w:val="nil"/>
              <w:left w:val="nil"/>
              <w:right w:val="single" w:color="auto" w:sz="4" w:space="0"/>
            </w:tcBorders>
            <w:vAlign w:val="center"/>
          </w:tcPr>
          <w:p>
            <w:pPr>
              <w:snapToGrid w:val="0"/>
              <w:rPr>
                <w:rFonts w:ascii="宋体"/>
                <w:color w:val="000000"/>
                <w:szCs w:val="21"/>
              </w:rPr>
            </w:pPr>
            <w:r>
              <w:rPr>
                <w:rFonts w:hint="eastAsia" w:ascii="宋体" w:hAnsi="宋体"/>
                <w:color w:val="000000"/>
                <w:szCs w:val="21"/>
              </w:rPr>
              <w:t>标书内容符合招标文件要求</w:t>
            </w:r>
          </w:p>
        </w:tc>
        <w:tc>
          <w:tcPr>
            <w:tcW w:w="880" w:type="dxa"/>
            <w:vMerge w:val="restart"/>
            <w:tcBorders>
              <w:top w:val="nil"/>
              <w:left w:val="nil"/>
              <w:right w:val="single" w:color="auto" w:sz="4" w:space="0"/>
            </w:tcBorders>
            <w:vAlign w:val="center"/>
          </w:tcPr>
          <w:p>
            <w:pPr>
              <w:snapToGrid w:val="0"/>
              <w:jc w:val="center"/>
              <w:rPr>
                <w:rFonts w:ascii="宋体"/>
                <w:color w:val="000000"/>
                <w:szCs w:val="21"/>
              </w:rPr>
            </w:pPr>
            <w:r>
              <w:rPr>
                <w:rFonts w:ascii="宋体" w:hAnsi="宋体"/>
                <w:color w:val="000000"/>
                <w:szCs w:val="21"/>
              </w:rPr>
              <w:t>1</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逻辑表述明确，内容齐全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1.5～2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880"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欠考虑周全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color w:val="000000"/>
                <w:szCs w:val="21"/>
              </w:rPr>
              <w:t>0</w:t>
            </w:r>
            <w:r>
              <w:rPr>
                <w:rFonts w:hint="eastAsia" w:ascii="宋体" w:hAnsi="宋体"/>
                <w:color w:val="000000"/>
                <w:szCs w:val="21"/>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bl>
    <w:p>
      <w:pPr>
        <w:snapToGrid w:val="0"/>
        <w:spacing w:line="360" w:lineRule="auto"/>
        <w:ind w:firstLine="420" w:firstLineChars="200"/>
        <w:rPr>
          <w:rFonts w:ascii="宋体" w:hAnsi="Times New Roman"/>
          <w:szCs w:val="21"/>
        </w:rPr>
      </w:pPr>
      <w:r>
        <w:rPr>
          <w:rFonts w:hint="eastAsia" w:ascii="宋体" w:hAnsi="宋体"/>
          <w:szCs w:val="21"/>
        </w:rPr>
        <w:t>注：</w:t>
      </w:r>
    </w:p>
    <w:p>
      <w:pPr>
        <w:snapToGrid w:val="0"/>
        <w:spacing w:line="360" w:lineRule="auto"/>
        <w:ind w:firstLine="539" w:firstLineChars="257"/>
        <w:rPr>
          <w:rFonts w:ascii="宋体" w:hAnsi="宋体"/>
          <w:color w:val="000000"/>
          <w:szCs w:val="21"/>
        </w:rPr>
      </w:pPr>
      <w:r>
        <w:rPr>
          <w:rFonts w:hint="eastAsia" w:ascii="宋体" w:hAnsi="宋体"/>
          <w:color w:val="000000"/>
          <w:szCs w:val="21"/>
        </w:rPr>
        <w:t>1．同类型工程主要</w:t>
      </w:r>
      <w:r>
        <w:rPr>
          <w:rFonts w:hint="eastAsia" w:ascii="宋体" w:hAnsi="宋体"/>
          <w:color w:val="000000"/>
          <w:szCs w:val="21"/>
          <w:highlight w:val="cyan"/>
        </w:rPr>
        <w:t>指</w:t>
      </w:r>
      <w:r>
        <w:rPr>
          <w:rFonts w:hint="eastAsia" w:ascii="宋体" w:hAnsi="宋体"/>
          <w:color w:val="000000"/>
          <w:szCs w:val="21"/>
          <w:highlight w:val="cyan"/>
          <w:lang w:val="en-US" w:eastAsia="zh-CN"/>
        </w:rPr>
        <w:t>广告设计制作</w:t>
      </w:r>
      <w:r>
        <w:rPr>
          <w:rFonts w:hint="eastAsia" w:ascii="宋体" w:hAnsi="宋体"/>
          <w:color w:val="000000"/>
          <w:szCs w:val="21"/>
          <w:highlight w:val="cyan"/>
        </w:rPr>
        <w:t>类似工程，</w:t>
      </w:r>
      <w:r>
        <w:rPr>
          <w:rFonts w:hint="eastAsia" w:ascii="宋体" w:hAnsi="宋体"/>
          <w:color w:val="000000"/>
          <w:szCs w:val="21"/>
        </w:rPr>
        <w:t>所有的业绩（中标通知书、合同、竣工验收证明）扫描件，按要求上传至采购平台。</w:t>
      </w:r>
    </w:p>
    <w:p>
      <w:pPr>
        <w:snapToGrid w:val="0"/>
        <w:spacing w:line="360" w:lineRule="auto"/>
        <w:ind w:firstLine="539" w:firstLineChars="257"/>
        <w:rPr>
          <w:rFonts w:ascii="宋体"/>
          <w:color w:val="000000"/>
          <w:szCs w:val="21"/>
        </w:rPr>
      </w:pPr>
      <w:r>
        <w:rPr>
          <w:rFonts w:hint="eastAsia" w:ascii="宋体" w:hAnsi="宋体"/>
          <w:color w:val="000000"/>
          <w:szCs w:val="21"/>
        </w:rPr>
        <w:t>2．上述四部分相加为最后得分，将按照得分高低顺序依次推荐中标候选人，得分相同时，以投标报价最接近标底价的投标人排名在前。</w:t>
      </w:r>
    </w:p>
    <w:p>
      <w:pPr>
        <w:adjustRightInd w:val="0"/>
        <w:snapToGrid w:val="0"/>
        <w:ind w:firstLine="539" w:firstLineChars="257"/>
        <w:rPr>
          <w:rFonts w:ascii="宋体"/>
          <w:szCs w:val="21"/>
        </w:rPr>
      </w:pPr>
      <w:r>
        <w:rPr>
          <w:rFonts w:hint="eastAsia" w:ascii="宋体" w:hAnsi="宋体"/>
          <w:szCs w:val="21"/>
        </w:rPr>
        <w:t>3．近两年从20</w:t>
      </w:r>
      <w:r>
        <w:rPr>
          <w:rFonts w:ascii="宋体" w:hAnsi="宋体"/>
          <w:szCs w:val="21"/>
        </w:rPr>
        <w:t>***</w:t>
      </w:r>
      <w:r>
        <w:rPr>
          <w:rFonts w:hint="eastAsia" w:ascii="宋体" w:hAnsi="宋体"/>
          <w:szCs w:val="21"/>
        </w:rPr>
        <w:t>年1月1日起至至今；</w:t>
      </w:r>
    </w:p>
    <w:p>
      <w:pPr>
        <w:adjustRightInd w:val="0"/>
        <w:spacing w:line="360" w:lineRule="auto"/>
        <w:ind w:firstLine="539" w:firstLineChars="257"/>
        <w:rPr>
          <w:rFonts w:ascii="Times New Roman"/>
          <w:szCs w:val="21"/>
        </w:rPr>
      </w:pPr>
      <w:r>
        <w:rPr>
          <w:rFonts w:hint="eastAsia" w:ascii="宋体" w:hAnsi="宋体"/>
          <w:szCs w:val="21"/>
        </w:rPr>
        <w:t>4．如果发现投标人在证明文件中有弄虚作假情况，则该文件作废标处理。</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一、寄信</w:t>
      </w:r>
      <w:r>
        <w:rPr>
          <w:rFonts w:ascii="华文仿宋" w:hAnsi="华文仿宋" w:eastAsia="华文仿宋" w:cs="宋体"/>
          <w:sz w:val="28"/>
          <w:szCs w:val="28"/>
        </w:rPr>
        <w:t xml:space="preserve"> 通信地址：北京市朝阳区朝阳门南大街8号中粮福临门大厦9层905房间，中粮糖业纪委办公室收，邮编100020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二、致电</w:t>
      </w:r>
      <w:r>
        <w:rPr>
          <w:rFonts w:ascii="华文仿宋" w:hAnsi="华文仿宋" w:eastAsia="华文仿宋" w:cs="宋体"/>
          <w:sz w:val="28"/>
          <w:szCs w:val="28"/>
        </w:rPr>
        <w:t xml:space="preserve"> 举报电话：010-85017235。</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三、采购项目监督人员联系方式</w:t>
      </w:r>
    </w:p>
    <w:p>
      <w:pPr>
        <w:snapToGrid w:val="0"/>
        <w:spacing w:line="360" w:lineRule="auto"/>
        <w:jc w:val="left"/>
        <w:rPr>
          <w:rFonts w:hint="eastAsia" w:ascii="华文仿宋" w:hAnsi="华文仿宋" w:eastAsia="华文仿宋" w:cs="宋体"/>
          <w:sz w:val="28"/>
          <w:szCs w:val="28"/>
          <w:lang w:val="en-US"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val="en-US" w:eastAsia="zh-CN"/>
        </w:rPr>
        <w:t>邵科瑞</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联系电话：13319992991</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电子邮箱：346393371@qq.com</w:t>
      </w:r>
    </w:p>
    <w:p/>
    <w:p/>
    <w:p/>
    <w:p/>
    <w:p/>
    <w:p/>
    <w:p/>
    <w:p/>
    <w:p>
      <w:r>
        <w:rPr>
          <w:rFonts w:hint="eastAsia"/>
        </w:rPr>
        <w:t>附件3：合同草案</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24 </w:t>
      </w:r>
      <w:r>
        <w:rPr>
          <w:rFonts w:hint="eastAsia" w:ascii="仿宋_GB2312" w:eastAsia="仿宋_GB2312"/>
          <w:b/>
          <w:bCs/>
          <w:color w:val="000000"/>
          <w:sz w:val="28"/>
          <w:szCs w:val="28"/>
        </w:rPr>
        <w:t>年  月   日</w:t>
      </w:r>
    </w:p>
    <w:p>
      <w:pPr>
        <w:spacing w:line="460" w:lineRule="exact"/>
        <w:ind w:left="4536" w:leftChars="2160"/>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w:t>
      </w:r>
      <w:r>
        <w:rPr>
          <w:rFonts w:hint="eastAsia" w:ascii="仿宋_GB2312" w:eastAsia="仿宋_GB2312"/>
          <w:color w:val="000000"/>
          <w:sz w:val="28"/>
          <w:szCs w:val="28"/>
          <w:highlight w:val="yellow"/>
        </w:rPr>
        <w:t>（请根据合同实际情况勾选）。</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pPr>
        <w:tabs>
          <w:tab w:val="left" w:pos="900"/>
        </w:tabs>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pPr>
        <w:widowControl/>
        <w:spacing w:line="460" w:lineRule="exact"/>
        <w:ind w:firstLine="555"/>
        <w:rPr>
          <w:rFonts w:hint="eastAsia" w:ascii="仿宋_GB2312" w:eastAsia="仿宋_GB2312"/>
          <w:b/>
          <w:color w:val="000000"/>
          <w:sz w:val="28"/>
          <w:szCs w:val="28"/>
        </w:rPr>
      </w:pPr>
      <w:r>
        <w:rPr>
          <w:rFonts w:hint="eastAsia" w:ascii="仿宋_GB2312" w:eastAsia="仿宋_GB2312"/>
          <w:b/>
          <w:color w:val="000000"/>
          <w:sz w:val="28"/>
          <w:szCs w:val="28"/>
        </w:rPr>
        <w:t>付款方式：</w:t>
      </w:r>
    </w:p>
    <w:p>
      <w:pPr>
        <w:widowControl/>
        <w:tabs>
          <w:tab w:val="left" w:pos="0"/>
        </w:tabs>
        <w:spacing w:line="460" w:lineRule="exact"/>
        <w:jc w:val="left"/>
        <w:rPr>
          <w:rFonts w:hint="eastAsia"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项目施工设备、施工材料、人员进场，乙方需提供相关材料的材质检验合格证书给甲方，所有资料必须盖有公章。材料验收合格，并提供对应付款比例的金额发票后，甲方以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w:t>
      </w:r>
    </w:p>
    <w:p>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】%向甲方提供合法合规的增值税专用发票、结算资料等必要文件；</w:t>
      </w:r>
    </w:p>
    <w:p>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榨季结束后，经验收，工程无质量问题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方式按合同金额的【】%，即【】元支付给乙方（累计付款额不超过审定金额的9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w:t>
      </w:r>
    </w:p>
    <w:p>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质保金：剩余款项作为质保金为合同金额的【3】</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pPr>
        <w:widowControl/>
        <w:tabs>
          <w:tab w:val="left" w:pos="0"/>
        </w:tabs>
        <w:spacing w:line="460" w:lineRule="exact"/>
        <w:rPr>
          <w:rFonts w:hint="eastAsia" w:ascii="仿宋_GB2312" w:eastAsia="仿宋_GB2312"/>
          <w:color w:val="00000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pPr>
        <w:tabs>
          <w:tab w:val="left" w:pos="1004"/>
        </w:tabs>
        <w:spacing w:line="460" w:lineRule="exact"/>
        <w:rPr>
          <w:rFonts w:hint="eastAsia" w:ascii="仿宋_GB2312" w:eastAsia="仿宋_GB2312"/>
          <w:b/>
          <w:color w:val="00000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pPr>
        <w:numPr>
          <w:ilvl w:val="0"/>
          <w:numId w:val="3"/>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numPr>
          <w:ilvl w:val="0"/>
          <w:numId w:val="3"/>
        </w:numPr>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u w:val="single"/>
        </w:rPr>
        <w:t xml:space="preserve">                 </w:t>
      </w:r>
    </w:p>
    <w:p>
      <w:pPr>
        <w:numPr>
          <w:ilvl w:val="0"/>
          <w:numId w:val="3"/>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spacing w:line="460" w:lineRule="exact"/>
        <w:ind w:left="420"/>
        <w:rPr>
          <w:rFonts w:ascii="仿宋_GB2312" w:eastAsia="仿宋_GB2312"/>
          <w:b/>
          <w:color w:val="000000"/>
          <w:sz w:val="28"/>
          <w:szCs w:val="28"/>
          <w:u w:val="single"/>
        </w:rPr>
      </w:pPr>
    </w:p>
    <w:p>
      <w:pPr>
        <w:adjustRightInd w:val="0"/>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或根据项目具体情况签订相关附件：</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w:t>
      </w:r>
      <w:r>
        <w:rPr>
          <w:rFonts w:hint="eastAsia" w:ascii="仿宋_GB2312" w:eastAsia="仿宋_GB2312"/>
          <w:bCs/>
          <w:color w:val="000000"/>
          <w:sz w:val="28"/>
          <w:szCs w:val="28"/>
        </w:rPr>
        <w:t>技术要求</w:t>
      </w:r>
      <w:r>
        <w:rPr>
          <w:rFonts w:hint="eastAsia" w:ascii="仿宋_GB2312" w:eastAsia="仿宋_GB2312"/>
          <w:bCs/>
          <w:color w:val="000000"/>
          <w:sz w:val="28"/>
          <w:szCs w:val="28"/>
          <w:lang w:val="zh-CN"/>
        </w:rPr>
        <w:t>》。</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按合同附件-《质量验收标准》。</w:t>
      </w:r>
    </w:p>
    <w:p>
      <w:pPr>
        <w:spacing w:line="460" w:lineRule="exact"/>
        <w:ind w:left="284"/>
        <w:rPr>
          <w:rFonts w:hint="eastAsia" w:ascii="仿宋_GB2312" w:eastAsia="仿宋_GB2312"/>
          <w:b/>
          <w:color w:val="000000"/>
          <w:sz w:val="28"/>
          <w:szCs w:val="28"/>
        </w:rPr>
      </w:pPr>
    </w:p>
    <w:p>
      <w:pPr>
        <w:spacing w:line="460" w:lineRule="exact"/>
        <w:ind w:left="284"/>
        <w:rPr>
          <w:rFonts w:hint="eastAsia" w:ascii="仿宋_GB2312" w:eastAsia="仿宋_GB2312"/>
          <w:b/>
          <w:color w:val="000000"/>
          <w:sz w:val="28"/>
          <w:szCs w:val="28"/>
        </w:rPr>
      </w:pPr>
    </w:p>
    <w:p>
      <w:pPr>
        <w:spacing w:line="460" w:lineRule="exact"/>
        <w:ind w:right="-710" w:rightChars="-338"/>
        <w:rPr>
          <w:rFonts w:hint="eastAsia" w:ascii="仿宋_GB2312" w:eastAsia="仿宋_GB2312"/>
          <w:color w:val="00000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pPr>
        <w:numPr>
          <w:ilvl w:val="0"/>
          <w:numId w:val="2"/>
        </w:numPr>
        <w:tabs>
          <w:tab w:val="left" w:pos="900"/>
          <w:tab w:val="left" w:pos="1004"/>
        </w:tabs>
        <w:spacing w:line="460" w:lineRule="exact"/>
        <w:rPr>
          <w:rFonts w:hint="eastAsia"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甲方权利、义务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pPr>
        <w:spacing w:line="46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pPr>
        <w:numPr>
          <w:ilvl w:val="0"/>
          <w:numId w:val="2"/>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乙方提供的项目服务内容完毕投入使用后，质保期限为【2】个生产期，即甲方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pPr>
        <w:spacing w:line="460" w:lineRule="exact"/>
        <w:ind w:left="42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_GB2312" w:eastAsia="仿宋_GB2312"/>
          <w:b/>
          <w:color w:val="00000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b/>
          <w:color w:val="000000"/>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违约责任</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合同变更</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pPr>
        <w:pStyle w:val="3"/>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000000"/>
          <w:sz w:val="28"/>
          <w:szCs w:val="28"/>
        </w:rPr>
      </w:pPr>
    </w:p>
    <w:p>
      <w:pPr>
        <w:pStyle w:val="3"/>
        <w:spacing w:line="460" w:lineRule="exact"/>
        <w:ind w:left="480" w:leftChars="162" w:hanging="140" w:hangingChars="50"/>
        <w:rPr>
          <w:rFonts w:hint="eastAsia" w:ascii="仿宋_GB2312" w:eastAsia="仿宋_GB2312"/>
          <w:color w:val="000000"/>
          <w:szCs w:val="28"/>
        </w:rPr>
      </w:pPr>
      <w:r>
        <w:rPr>
          <w:rFonts w:hint="eastAsia" w:ascii="仿宋_GB2312" w:eastAsia="仿宋_GB2312"/>
          <w:color w:val="000000"/>
          <w:szCs w:val="28"/>
        </w:rPr>
        <w:t xml:space="preserve"> </w:t>
      </w:r>
    </w:p>
    <w:tbl>
      <w:tblPr>
        <w:tblStyle w:val="6"/>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pPr>
              <w:spacing w:line="460" w:lineRule="exact"/>
              <w:rPr>
                <w:rFonts w:hint="eastAsia" w:ascii="仿宋_GB2312" w:eastAsia="仿宋_GB2312"/>
                <w:color w:val="000000"/>
                <w:sz w:val="28"/>
                <w:szCs w:val="28"/>
              </w:rPr>
            </w:pPr>
          </w:p>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帐号：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邮编：</w:t>
            </w:r>
          </w:p>
        </w:tc>
      </w:tr>
    </w:tbl>
    <w:p>
      <w:pPr>
        <w:pStyle w:val="3"/>
        <w:spacing w:line="460" w:lineRule="exact"/>
        <w:ind w:left="1029" w:leftChars="190" w:hanging="630" w:hangingChars="225"/>
        <w:rPr>
          <w:rFonts w:hint="eastAsia" w:ascii="仿宋_GB2312" w:eastAsia="仿宋_GB2312"/>
          <w:color w:val="000000"/>
          <w:szCs w:val="28"/>
        </w:rPr>
      </w:pPr>
    </w:p>
    <w:p>
      <w:bookmarkStart w:id="5" w:name="_GoBack"/>
      <w:bookmarkEnd w:id="5"/>
    </w:p>
    <w:p>
      <w:r>
        <w:rPr>
          <w:rFonts w:hint="eastAsia"/>
        </w:rPr>
        <w:t>附件</w:t>
      </w:r>
      <w:r>
        <w:t>4：安全协议</w:t>
      </w:r>
    </w:p>
    <w:p>
      <w:pPr>
        <w:rPr>
          <w:rFonts w:hint="eastAsia" w:eastAsiaTheme="minorEastAsia"/>
          <w:lang w:eastAsia="zh-CN"/>
        </w:rPr>
      </w:pPr>
      <w:r>
        <w:rPr>
          <w:rFonts w:hint="eastAsia"/>
          <w:highlight w:val="yellow"/>
          <w:lang w:val="en-US" w:eastAsia="zh-CN"/>
        </w:rPr>
        <w:t>不涉及</w:t>
      </w:r>
    </w:p>
    <w:p/>
    <w:p>
      <w:r>
        <w:rPr>
          <w:rFonts w:hint="eastAsia"/>
        </w:rPr>
        <w:t>附件</w:t>
      </w:r>
      <w:r>
        <w:t>5：环保协议</w:t>
      </w:r>
    </w:p>
    <w:p>
      <w:pPr>
        <w:rPr>
          <w:rFonts w:hint="eastAsia" w:eastAsiaTheme="minorEastAsia"/>
          <w:lang w:eastAsia="zh-CN"/>
        </w:rPr>
      </w:pPr>
      <w:r>
        <w:rPr>
          <w:rFonts w:hint="eastAsia"/>
          <w:highlight w:val="yellow"/>
          <w:lang w:val="en-US" w:eastAsia="zh-CN"/>
        </w:rPr>
        <w:t>不涉及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FF508"/>
    <w:multiLevelType w:val="singleLevel"/>
    <w:tmpl w:val="CBBFF508"/>
    <w:lvl w:ilvl="0" w:tentative="0">
      <w:start w:val="1"/>
      <w:numFmt w:val="decimal"/>
      <w:suff w:val="space"/>
      <w:lvlText w:val="%1、"/>
      <w:lvlJc w:val="left"/>
    </w:lvl>
  </w:abstractNum>
  <w:abstractNum w:abstractNumId="1">
    <w:nsid w:val="05292D34"/>
    <w:multiLevelType w:val="multilevel"/>
    <w:tmpl w:val="05292D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RkNjYzNjQ2MDUzMDM2ZjY3OGRiMjQzNWMwYzhkYWIifQ=="/>
  </w:docVars>
  <w:rsids>
    <w:rsidRoot w:val="003A308F"/>
    <w:rsid w:val="0002010D"/>
    <w:rsid w:val="000845B6"/>
    <w:rsid w:val="00086847"/>
    <w:rsid w:val="00092D68"/>
    <w:rsid w:val="001253D7"/>
    <w:rsid w:val="001A5466"/>
    <w:rsid w:val="00237540"/>
    <w:rsid w:val="002A74E5"/>
    <w:rsid w:val="002B6A38"/>
    <w:rsid w:val="003565DF"/>
    <w:rsid w:val="003A308F"/>
    <w:rsid w:val="003C3907"/>
    <w:rsid w:val="003D597A"/>
    <w:rsid w:val="004B1675"/>
    <w:rsid w:val="0052728A"/>
    <w:rsid w:val="006B0770"/>
    <w:rsid w:val="00770BA6"/>
    <w:rsid w:val="00812135"/>
    <w:rsid w:val="008B3454"/>
    <w:rsid w:val="009105C9"/>
    <w:rsid w:val="009136F4"/>
    <w:rsid w:val="00974B3E"/>
    <w:rsid w:val="00994EF0"/>
    <w:rsid w:val="009A6EE9"/>
    <w:rsid w:val="009B32DA"/>
    <w:rsid w:val="00A47F9D"/>
    <w:rsid w:val="00A54B08"/>
    <w:rsid w:val="00AA3292"/>
    <w:rsid w:val="00B737DB"/>
    <w:rsid w:val="00B7677E"/>
    <w:rsid w:val="00C2797C"/>
    <w:rsid w:val="00E626EF"/>
    <w:rsid w:val="00E73073"/>
    <w:rsid w:val="00EB377E"/>
    <w:rsid w:val="00EE157C"/>
    <w:rsid w:val="00EF2887"/>
    <w:rsid w:val="00F7693C"/>
    <w:rsid w:val="00F83E71"/>
    <w:rsid w:val="00FB2BE2"/>
    <w:rsid w:val="6B0B3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1"/>
    <w:qFormat/>
    <w:uiPriority w:val="0"/>
    <w:pPr>
      <w:ind w:left="191" w:leftChars="-9" w:hanging="200" w:hangingChars="200"/>
    </w:pPr>
    <w:rPr>
      <w:sz w:val="2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customStyle="1" w:styleId="10">
    <w:name w:val="样式 标题 2 + Times New Roman 四号 非加粗 段前: 5 磅 段后: 0 磅 行距: 固定值 20..."/>
    <w:basedOn w:val="2"/>
    <w:uiPriority w:val="0"/>
    <w:pPr>
      <w:spacing w:before="100" w:after="0" w:line="400" w:lineRule="exact"/>
    </w:pPr>
    <w:rPr>
      <w:rFonts w:ascii="Times New Roman" w:hAnsi="Times New Roman" w:eastAsia="黑体" w:cs="宋体"/>
      <w:b w:val="0"/>
      <w:bCs w:val="0"/>
      <w:kern w:val="0"/>
      <w:sz w:val="28"/>
      <w:szCs w:val="20"/>
    </w:rPr>
  </w:style>
  <w:style w:type="character" w:customStyle="1" w:styleId="11">
    <w:name w:val="标题 2 Char"/>
    <w:basedOn w:val="7"/>
    <w:link w:val="2"/>
    <w:semiHidden/>
    <w:uiPriority w:val="9"/>
    <w:rPr>
      <w:rFonts w:asciiTheme="majorHAnsi" w:hAnsiTheme="majorHAnsi" w:eastAsiaTheme="majorEastAsia" w:cstheme="majorBidi"/>
      <w:b/>
      <w:bCs/>
      <w:sz w:val="32"/>
      <w:szCs w:val="32"/>
    </w:rPr>
  </w:style>
  <w:style w:type="character" w:customStyle="1" w:styleId="12">
    <w:name w:val="表格文字 Char"/>
    <w:link w:val="13"/>
    <w:qFormat/>
    <w:uiPriority w:val="2"/>
    <w:rPr>
      <w:szCs w:val="21"/>
    </w:rPr>
  </w:style>
  <w:style w:type="paragraph" w:customStyle="1" w:styleId="13">
    <w:name w:val="表格文字"/>
    <w:basedOn w:val="1"/>
    <w:link w:val="12"/>
    <w:qFormat/>
    <w:uiPriority w:val="2"/>
    <w:rPr>
      <w:szCs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1811</Words>
  <Characters>1931</Characters>
  <Lines>17</Lines>
  <Paragraphs>4</Paragraphs>
  <TotalTime>0</TotalTime>
  <ScaleCrop>false</ScaleCrop>
  <LinksUpToDate>false</LinksUpToDate>
  <CharactersWithSpaces>2025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0.0</cp:lastModifiedBy>
  <dcterms:modified xsi:type="dcterms:W3CDTF">2024-06-02T15:57:33Z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D3A513D2FABE4C5698FA20208629B66D_12</vt:lpwstr>
  </property>
</Properties>
</file>