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黄小平</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15816253032</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5</w:t>
            </w:r>
            <w:r>
              <w:rPr>
                <w:rFonts w:hint="default" w:ascii="Times New Roman" w:hAnsi="Times New Roman" w:eastAsia="黑体" w:cs="Times New Roman"/>
                <w:sz w:val="24"/>
                <w:lang w:eastAsia="zh-CN"/>
              </w:rPr>
              <w:t>月</w:t>
            </w:r>
            <w:r>
              <w:rPr>
                <w:rFonts w:hint="eastAsia" w:eastAsia="黑体" w:cs="Times New Roman"/>
                <w:sz w:val="24"/>
                <w:lang w:val="en-US" w:eastAsia="zh-CN"/>
              </w:rPr>
              <w:t>30</w:t>
            </w:r>
            <w:bookmarkStart w:id="0" w:name="_GoBack"/>
            <w:bookmarkEnd w:id="0"/>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w:t>
      </w:r>
      <w:r>
        <w:rPr>
          <w:rFonts w:hint="eastAsia" w:eastAsia="仿宋_GB2312" w:cs="Times New Roman"/>
          <w:color w:val="auto"/>
          <w:kern w:val="0"/>
          <w:sz w:val="32"/>
          <w:szCs w:val="32"/>
          <w:lang w:val="en-US" w:eastAsia="zh-CN"/>
        </w:rPr>
        <w:t>粤北糖业</w:t>
      </w:r>
      <w:r>
        <w:rPr>
          <w:rFonts w:hint="default" w:ascii="Times New Roman" w:hAnsi="Times New Roman" w:eastAsia="仿宋_GB2312" w:cs="Times New Roman"/>
          <w:color w:val="auto"/>
          <w:kern w:val="0"/>
          <w:sz w:val="32"/>
          <w:szCs w:val="32"/>
          <w:lang w:eastAsia="zh-CN"/>
        </w:rPr>
        <w:t>氧气、乙炔等物资年度定点询价项目进行询比采购，请各供应商根据项目要求进行报名报价。具体要求如下：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ascii="Times New Roman" w:hAnsi="Times New Roman" w:eastAsia="仿宋_GB2312" w:cs="Times New Roman"/>
          <w:sz w:val="32"/>
          <w:szCs w:val="32"/>
          <w:lang w:val="en-US" w:eastAsia="zh-CN"/>
        </w:rPr>
        <w:t>供应商应具备独立签订合同能力，为中华人民共和国境内注册的企业法人或其他组织或自然人或特殊的民事主体。</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氧气</w:t>
            </w:r>
          </w:p>
        </w:tc>
        <w:tc>
          <w:tcPr>
            <w:tcW w:w="675"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瓶</w:t>
            </w:r>
          </w:p>
        </w:tc>
        <w:tc>
          <w:tcPr>
            <w:tcW w:w="8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394</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乙炔</w:t>
            </w:r>
          </w:p>
        </w:tc>
        <w:tc>
          <w:tcPr>
            <w:tcW w:w="675" w:type="dxa"/>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cs="宋体"/>
                <w:i w:val="0"/>
                <w:color w:val="000000"/>
                <w:kern w:val="0"/>
                <w:sz w:val="22"/>
                <w:szCs w:val="22"/>
                <w:u w:val="none"/>
                <w:lang w:val="en-US" w:eastAsia="zh-CN" w:bidi="ar"/>
              </w:rPr>
              <w:t>瓶</w:t>
            </w:r>
          </w:p>
        </w:tc>
        <w:tc>
          <w:tcPr>
            <w:tcW w:w="8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氩气</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瓶</w:t>
            </w:r>
          </w:p>
        </w:tc>
        <w:tc>
          <w:tcPr>
            <w:tcW w:w="81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二氧化碳</w:t>
            </w:r>
            <w:r>
              <w:rPr>
                <w:rStyle w:val="19"/>
                <w:rFonts w:eastAsia="仿宋_GB2312"/>
                <w:lang w:val="en-US" w:eastAsia="zh-CN" w:bidi="ar"/>
              </w:rPr>
              <w:t xml:space="preserve"> </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瓶</w:t>
            </w:r>
          </w:p>
        </w:tc>
        <w:tc>
          <w:tcPr>
            <w:tcW w:w="81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5</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氮气</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瓶</w:t>
            </w:r>
          </w:p>
        </w:tc>
        <w:tc>
          <w:tcPr>
            <w:tcW w:w="81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6</w:t>
            </w:r>
          </w:p>
        </w:tc>
        <w:tc>
          <w:tcPr>
            <w:tcW w:w="1547"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高纯氩气</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瓶</w:t>
            </w:r>
          </w:p>
        </w:tc>
        <w:tc>
          <w:tcPr>
            <w:tcW w:w="810" w:type="dxa"/>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color w:val="FF0000"/>
          <w:sz w:val="32"/>
          <w:szCs w:val="32"/>
          <w:lang w:val="en-US" w:eastAsia="zh-CN"/>
        </w:rPr>
      </w:pPr>
      <w:r>
        <w:rPr>
          <w:rFonts w:hint="eastAsia" w:ascii="仿宋_GB2312" w:hAnsi="黑体" w:eastAsia="仿宋_GB2312" w:cs="黑体"/>
          <w:color w:val="FF0000"/>
          <w:sz w:val="32"/>
          <w:szCs w:val="32"/>
          <w:lang w:val="en-US" w:eastAsia="zh-CN"/>
        </w:rPr>
        <w:t>报价含送货上门等所有费用；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交货地址：</w:t>
      </w:r>
      <w:r>
        <w:rPr>
          <w:rFonts w:hint="eastAsia" w:eastAsia="黑体" w:cs="Times New Roman"/>
          <w:sz w:val="32"/>
          <w:szCs w:val="32"/>
          <w:lang w:val="en-US" w:eastAsia="zh-CN"/>
        </w:rPr>
        <w:t>英德市浛洸镇西郊粤北糖业有限公司工厂内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pStyle w:val="2"/>
        <w:rPr>
          <w:rFonts w:hint="default"/>
        </w:rPr>
      </w:pPr>
    </w:p>
    <w:p>
      <w:pPr>
        <w:jc w:val="center"/>
        <w:rPr>
          <w:rFonts w:ascii="宋体" w:hAnsi="宋体"/>
          <w:sz w:val="30"/>
        </w:rPr>
      </w:pPr>
      <w:r>
        <w:rPr>
          <w:rFonts w:hint="eastAsia" w:ascii="方正小标宋_GBK" w:hAnsi="宋体" w:eastAsia="方正小标宋_GBK"/>
          <w:sz w:val="36"/>
          <w:szCs w:val="36"/>
        </w:rPr>
        <w:t>氧气、乙炔等物资</w:t>
      </w:r>
      <w:r>
        <w:rPr>
          <w:rFonts w:hint="eastAsia" w:ascii="方正小标宋_GBK" w:hAnsi="宋体" w:eastAsia="方正小标宋_GBK"/>
          <w:sz w:val="36"/>
          <w:szCs w:val="36"/>
          <w:u w:val="none"/>
          <w:lang w:eastAsia="zh-CN"/>
        </w:rPr>
        <w:t>定点</w:t>
      </w:r>
      <w:r>
        <w:rPr>
          <w:rFonts w:hint="eastAsia" w:ascii="方正小标宋_GBK" w:hAnsi="宋体" w:eastAsia="方正小标宋_GBK"/>
          <w:sz w:val="36"/>
          <w:szCs w:val="36"/>
          <w:lang w:eastAsia="zh-CN"/>
        </w:rPr>
        <w:t>采购</w:t>
      </w:r>
      <w:r>
        <w:rPr>
          <w:rFonts w:hint="eastAsia" w:ascii="方正小标宋_GBK" w:hAnsi="宋体" w:eastAsia="方正小标宋_GBK"/>
          <w:sz w:val="36"/>
          <w:szCs w:val="36"/>
        </w:rPr>
        <w:t>合同</w:t>
      </w:r>
    </w:p>
    <w:p>
      <w:pPr>
        <w:spacing w:line="500" w:lineRule="exact"/>
        <w:rPr>
          <w:rFonts w:hint="eastAsia" w:eastAsia="仿宋_GB2312"/>
          <w:sz w:val="32"/>
          <w:szCs w:val="32"/>
          <w:lang w:val="en-US" w:eastAsia="zh-CN"/>
        </w:rPr>
      </w:pPr>
      <w:r>
        <w:rPr>
          <w:rFonts w:eastAsia="仿宋_GB2312"/>
          <w:sz w:val="32"/>
          <w:szCs w:val="32"/>
        </w:rPr>
        <w:t>甲方：</w:t>
      </w:r>
      <w:r>
        <w:rPr>
          <w:rFonts w:hint="eastAsia" w:eastAsia="仿宋_GB2312"/>
          <w:sz w:val="32"/>
          <w:szCs w:val="32"/>
          <w:lang w:eastAsia="zh-CN"/>
        </w:rPr>
        <w:t>英德市粤北糖业有限公司</w:t>
      </w:r>
      <w:r>
        <w:rPr>
          <w:rFonts w:hint="eastAsia" w:eastAsia="仿宋_GB2312"/>
          <w:sz w:val="32"/>
          <w:szCs w:val="32"/>
        </w:rPr>
        <w:t xml:space="preserve">  </w:t>
      </w:r>
      <w:r>
        <w:rPr>
          <w:rFonts w:hint="eastAsia" w:eastAsia="仿宋_GB2312"/>
          <w:sz w:val="32"/>
          <w:szCs w:val="32"/>
          <w:lang w:val="en-US" w:eastAsia="zh-CN"/>
        </w:rPr>
        <w:t xml:space="preserve"> </w:t>
      </w:r>
    </w:p>
    <w:p>
      <w:pPr>
        <w:spacing w:line="500" w:lineRule="exact"/>
        <w:rPr>
          <w:rFonts w:hint="eastAsia" w:eastAsia="仿宋_GB2312"/>
          <w:sz w:val="32"/>
          <w:szCs w:val="32"/>
          <w:lang w:eastAsia="zh-CN"/>
        </w:rPr>
      </w:pPr>
      <w:r>
        <w:rPr>
          <w:rFonts w:eastAsia="仿宋_GB2312"/>
          <w:sz w:val="32"/>
          <w:szCs w:val="32"/>
        </w:rPr>
        <w:t>乙方：</w:t>
      </w:r>
    </w:p>
    <w:p>
      <w:pPr>
        <w:spacing w:line="500" w:lineRule="exact"/>
        <w:rPr>
          <w:rFonts w:eastAsia="仿宋_GB2312"/>
          <w:sz w:val="32"/>
          <w:szCs w:val="32"/>
        </w:rPr>
      </w:pPr>
      <w:r>
        <w:rPr>
          <w:rFonts w:eastAsia="仿宋_GB2312"/>
          <w:sz w:val="32"/>
          <w:szCs w:val="32"/>
        </w:rPr>
        <w:t>合同编号：</w:t>
      </w:r>
      <w:r>
        <w:rPr>
          <w:rFonts w:hint="eastAsia" w:eastAsia="仿宋_GB2312"/>
          <w:bCs/>
          <w:sz w:val="32"/>
          <w:szCs w:val="32"/>
          <w:lang w:val="en-US" w:eastAsia="zh-CN"/>
        </w:rPr>
        <w:t xml:space="preserve">CTYB-SC-CG2024-        </w:t>
      </w:r>
      <w:r>
        <w:rPr>
          <w:rFonts w:eastAsia="仿宋_GB2312"/>
          <w:color w:val="000000"/>
          <w:sz w:val="32"/>
          <w:szCs w:val="32"/>
        </w:rPr>
        <w:t>签订地点：</w:t>
      </w:r>
      <w:r>
        <w:rPr>
          <w:rFonts w:hint="eastAsia" w:eastAsia="仿宋_GB2312"/>
          <w:color w:val="000000"/>
          <w:sz w:val="32"/>
          <w:szCs w:val="32"/>
          <w:lang w:eastAsia="zh-CN"/>
        </w:rPr>
        <w:t>英德市</w:t>
      </w:r>
      <w:r>
        <w:rPr>
          <w:rFonts w:eastAsia="仿宋_GB2312"/>
          <w:sz w:val="32"/>
          <w:szCs w:val="32"/>
        </w:rPr>
        <w:t xml:space="preserve">                                                </w:t>
      </w:r>
    </w:p>
    <w:p>
      <w:pPr>
        <w:spacing w:line="420" w:lineRule="exact"/>
        <w:ind w:firstLine="425" w:firstLineChars="133"/>
        <w:rPr>
          <w:rFonts w:eastAsia="仿宋_GB2312"/>
          <w:color w:val="auto"/>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经甲、乙双方友好协商，</w:t>
      </w:r>
      <w:r>
        <w:rPr>
          <w:rFonts w:hint="eastAsia" w:eastAsia="仿宋_GB2312"/>
          <w:color w:val="auto"/>
          <w:sz w:val="32"/>
          <w:szCs w:val="32"/>
        </w:rPr>
        <w:t>就甲方向乙方采购氧气、乙炔等物资</w:t>
      </w:r>
      <w:r>
        <w:rPr>
          <w:rFonts w:eastAsia="仿宋_GB2312"/>
          <w:color w:val="auto"/>
          <w:sz w:val="32"/>
          <w:szCs w:val="32"/>
        </w:rPr>
        <w:t>达成以下协议，以资共同遵守：</w:t>
      </w:r>
    </w:p>
    <w:p>
      <w:pPr>
        <w:numPr>
          <w:ilvl w:val="0"/>
          <w:numId w:val="0"/>
        </w:numPr>
        <w:spacing w:beforeLines="50" w:line="420" w:lineRule="exact"/>
        <w:ind w:leftChars="304"/>
        <w:rPr>
          <w:rFonts w:eastAsia="仿宋_GB2312"/>
          <w:b/>
          <w:color w:val="auto"/>
          <w:sz w:val="32"/>
          <w:szCs w:val="32"/>
        </w:rPr>
      </w:pPr>
      <w:r>
        <w:rPr>
          <w:rFonts w:hint="eastAsia" w:eastAsia="仿宋_GB2312"/>
          <w:b/>
          <w:color w:val="auto"/>
          <w:sz w:val="32"/>
          <w:szCs w:val="32"/>
          <w:lang w:eastAsia="zh-CN"/>
        </w:rPr>
        <w:t>一、</w:t>
      </w:r>
      <w:r>
        <w:rPr>
          <w:rFonts w:eastAsia="仿宋_GB2312"/>
          <w:b/>
          <w:color w:val="auto"/>
          <w:sz w:val="32"/>
          <w:szCs w:val="32"/>
        </w:rPr>
        <w:t>合同标的：</w:t>
      </w:r>
    </w:p>
    <w:p>
      <w:pPr>
        <w:keepNext w:val="0"/>
        <w:keepLines w:val="0"/>
        <w:pageBreakBefore w:val="0"/>
        <w:widowControl w:val="0"/>
        <w:kinsoku/>
        <w:wordWrap/>
        <w:overflowPunct/>
        <w:topLinePunct w:val="0"/>
        <w:autoSpaceDE/>
        <w:autoSpaceDN/>
        <w:bidi w:val="0"/>
        <w:adjustRightInd/>
        <w:snapToGrid/>
        <w:spacing w:beforeLines="50" w:line="420" w:lineRule="exact"/>
        <w:ind w:firstLine="640" w:firstLineChars="200"/>
        <w:textAlignment w:val="auto"/>
        <w:rPr>
          <w:rFonts w:eastAsia="仿宋_GB2312"/>
          <w:b/>
          <w:color w:val="auto"/>
          <w:sz w:val="32"/>
          <w:szCs w:val="32"/>
        </w:rPr>
      </w:pPr>
      <w:r>
        <w:rPr>
          <w:rFonts w:hint="eastAsia" w:eastAsia="仿宋_GB2312"/>
          <w:b w:val="0"/>
          <w:bCs/>
          <w:color w:val="auto"/>
          <w:sz w:val="32"/>
          <w:szCs w:val="32"/>
        </w:rPr>
        <w:t>见定点</w:t>
      </w:r>
      <w:r>
        <w:rPr>
          <w:rFonts w:hint="eastAsia" w:eastAsia="仿宋_GB2312"/>
          <w:b w:val="0"/>
          <w:bCs/>
          <w:color w:val="auto"/>
          <w:sz w:val="32"/>
          <w:szCs w:val="32"/>
          <w:lang w:eastAsia="zh-CN"/>
        </w:rPr>
        <w:t>采购</w:t>
      </w:r>
      <w:r>
        <w:rPr>
          <w:rFonts w:hint="eastAsia" w:eastAsia="仿宋_GB2312"/>
          <w:b w:val="0"/>
          <w:bCs/>
          <w:color w:val="auto"/>
          <w:sz w:val="32"/>
          <w:szCs w:val="32"/>
        </w:rPr>
        <w:t>合同附表。附表是本合同不可分割的组成部分，与合同正文具有同等法律效力。</w:t>
      </w:r>
      <w:r>
        <w:rPr>
          <w:rFonts w:eastAsia="仿宋_GB2312"/>
          <w:b/>
          <w:color w:val="auto"/>
          <w:sz w:val="32"/>
          <w:szCs w:val="32"/>
        </w:rPr>
        <w:t xml:space="preserve"> </w:t>
      </w:r>
    </w:p>
    <w:p>
      <w:pPr>
        <w:spacing w:line="420" w:lineRule="exact"/>
        <w:ind w:left="420" w:leftChars="200" w:firstLine="218" w:firstLineChars="68"/>
        <w:rPr>
          <w:rFonts w:hint="eastAsia" w:eastAsia="仿宋_GB2312"/>
          <w:b/>
          <w:color w:val="auto"/>
          <w:sz w:val="32"/>
          <w:szCs w:val="32"/>
          <w:lang w:eastAsia="zh-CN"/>
        </w:rPr>
      </w:pPr>
      <w:r>
        <w:rPr>
          <w:rFonts w:eastAsia="仿宋_GB2312"/>
          <w:b/>
          <w:color w:val="auto"/>
          <w:sz w:val="32"/>
          <w:szCs w:val="32"/>
        </w:rPr>
        <w:t>二、</w:t>
      </w:r>
      <w:r>
        <w:rPr>
          <w:rFonts w:hint="eastAsia" w:eastAsia="仿宋_GB2312"/>
          <w:b/>
          <w:color w:val="auto"/>
          <w:sz w:val="32"/>
          <w:szCs w:val="32"/>
        </w:rPr>
        <w:t>合同年限</w:t>
      </w:r>
      <w:r>
        <w:rPr>
          <w:rFonts w:hint="eastAsia" w:eastAsia="仿宋_GB2312"/>
          <w:b/>
          <w:color w:val="auto"/>
          <w:sz w:val="32"/>
          <w:szCs w:val="32"/>
          <w:lang w:eastAsia="zh-CN"/>
        </w:rPr>
        <w:t>：</w:t>
      </w:r>
      <w:r>
        <w:rPr>
          <w:rFonts w:hint="eastAsia" w:eastAsia="仿宋_GB2312"/>
          <w:color w:val="auto"/>
          <w:sz w:val="32"/>
          <w:szCs w:val="32"/>
          <w:u w:val="single"/>
        </w:rPr>
        <w:t xml:space="preserve">    </w:t>
      </w:r>
      <w:r>
        <w:rPr>
          <w:rFonts w:hint="eastAsia" w:eastAsia="仿宋_GB2312"/>
          <w:color w:val="auto"/>
          <w:sz w:val="32"/>
          <w:szCs w:val="32"/>
          <w:u w:val="single"/>
          <w:lang w:eastAsia="zh-CN"/>
        </w:rPr>
        <w:t>壹年</w:t>
      </w:r>
      <w:r>
        <w:rPr>
          <w:rFonts w:hint="eastAsia" w:eastAsia="仿宋_GB2312"/>
          <w:color w:val="auto"/>
          <w:sz w:val="32"/>
          <w:szCs w:val="32"/>
          <w:u w:val="single"/>
        </w:rPr>
        <w:t xml:space="preserve">     </w:t>
      </w:r>
      <w:r>
        <w:rPr>
          <w:rFonts w:hint="eastAsia" w:eastAsia="仿宋_GB2312"/>
          <w:color w:val="auto"/>
          <w:sz w:val="32"/>
          <w:szCs w:val="32"/>
          <w:u w:val="none"/>
        </w:rPr>
        <w:t>（按合同盖章生效之日起算）</w:t>
      </w:r>
    </w:p>
    <w:p>
      <w:pPr>
        <w:spacing w:line="420" w:lineRule="exact"/>
        <w:ind w:left="420" w:leftChars="200" w:firstLine="218" w:firstLineChars="68"/>
        <w:rPr>
          <w:rFonts w:eastAsia="仿宋_GB2312"/>
          <w:b/>
          <w:sz w:val="32"/>
          <w:szCs w:val="32"/>
        </w:rPr>
      </w:pPr>
      <w:r>
        <w:rPr>
          <w:rFonts w:hint="eastAsia" w:eastAsia="仿宋_GB2312"/>
          <w:b/>
          <w:sz w:val="32"/>
          <w:szCs w:val="32"/>
          <w:lang w:eastAsia="zh-CN"/>
        </w:rPr>
        <w:t>三、</w:t>
      </w:r>
      <w:r>
        <w:rPr>
          <w:rFonts w:eastAsia="仿宋_GB2312"/>
          <w:b/>
          <w:sz w:val="32"/>
          <w:szCs w:val="32"/>
        </w:rPr>
        <w:t>技术标准及相关要求：</w:t>
      </w:r>
    </w:p>
    <w:p>
      <w:pPr>
        <w:spacing w:line="420" w:lineRule="exact"/>
        <w:ind w:firstLine="480" w:firstLineChars="150"/>
        <w:rPr>
          <w:rFonts w:eastAsia="仿宋_GB2312"/>
          <w:sz w:val="32"/>
          <w:szCs w:val="32"/>
        </w:rPr>
      </w:pPr>
      <w:r>
        <w:rPr>
          <w:rFonts w:hint="eastAsia" w:eastAsia="仿宋_GB2312"/>
          <w:sz w:val="32"/>
          <w:szCs w:val="32"/>
        </w:rPr>
        <w:t>（一）乙方所供氧气必须符合国标GB/T3868-2008《工业氧》质量标准，乙炔符合国标GB6819-2004《溶解乙炔》质量标准，氩气符合国家质量标准，产品质量实行“三包”。</w:t>
      </w:r>
    </w:p>
    <w:p>
      <w:pPr>
        <w:spacing w:line="420" w:lineRule="exact"/>
        <w:ind w:firstLine="480" w:firstLineChars="150"/>
        <w:rPr>
          <w:rFonts w:eastAsia="仿宋_GB2312"/>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）所有的充装钢瓶必须在有效期内，附属元件必须符合安全要求，超期钢瓶一律不能充装。</w:t>
      </w:r>
    </w:p>
    <w:p>
      <w:pPr>
        <w:spacing w:line="420" w:lineRule="exact"/>
        <w:ind w:firstLine="480" w:firstLineChars="150"/>
        <w:rPr>
          <w:rFonts w:eastAsia="仿宋_GB2312"/>
          <w:sz w:val="32"/>
          <w:szCs w:val="32"/>
        </w:rPr>
      </w:pPr>
      <w:r>
        <w:rPr>
          <w:rFonts w:hint="eastAsia" w:eastAsia="仿宋_GB2312"/>
          <w:sz w:val="32"/>
          <w:szCs w:val="32"/>
        </w:rPr>
        <w:t>（</w:t>
      </w:r>
      <w:r>
        <w:rPr>
          <w:rFonts w:hint="eastAsia" w:eastAsia="仿宋_GB2312"/>
          <w:sz w:val="32"/>
          <w:szCs w:val="32"/>
          <w:lang w:eastAsia="zh-CN"/>
        </w:rPr>
        <w:t>三</w:t>
      </w:r>
      <w:r>
        <w:rPr>
          <w:rFonts w:hint="eastAsia" w:eastAsia="仿宋_GB2312"/>
          <w:sz w:val="32"/>
          <w:szCs w:val="32"/>
        </w:rPr>
        <w:t xml:space="preserve">）氧气、乙炔全部由甲方的氧气、乙炔瓶来充装。若甲方因氧气、乙炔用量增加造成氧气、乙炔瓶周转紧张的，由乙方免费提供符合国家要求的气瓶充装，以满足甲方的用气需求，乙方免费提钢瓶的规格型号必须与甲方钢瓶相一致；氩气钢瓶由乙方免费提供检测合格的钢瓶，同时，乙方所提供钢瓶的规格型号必须与甲方钢瓶相一致。                    </w:t>
      </w:r>
    </w:p>
    <w:p>
      <w:pPr>
        <w:spacing w:line="420" w:lineRule="exact"/>
        <w:ind w:firstLine="480" w:firstLineChars="150"/>
        <w:rPr>
          <w:rFonts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）空瓶由乙方安排车辆到甲方装车，乙方到甲方仓库提取空瓶时，甲乙双方现场对每个钢瓶号进行记录，并在《氧气、乙炔入库验收记录表》上签字确认。</w:t>
      </w:r>
    </w:p>
    <w:p>
      <w:pPr>
        <w:spacing w:line="420" w:lineRule="exact"/>
        <w:ind w:firstLine="480" w:firstLineChars="150"/>
        <w:rPr>
          <w:rFonts w:eastAsia="仿宋_GB2312"/>
          <w:sz w:val="32"/>
          <w:szCs w:val="32"/>
        </w:rPr>
      </w:pPr>
      <w:r>
        <w:rPr>
          <w:rFonts w:hint="eastAsia" w:eastAsia="仿宋_GB2312"/>
          <w:sz w:val="32"/>
          <w:szCs w:val="32"/>
        </w:rPr>
        <w:t>（</w:t>
      </w:r>
      <w:r>
        <w:rPr>
          <w:rFonts w:hint="eastAsia" w:eastAsia="仿宋_GB2312"/>
          <w:sz w:val="32"/>
          <w:szCs w:val="32"/>
          <w:lang w:eastAsia="zh-CN"/>
        </w:rPr>
        <w:t>五</w:t>
      </w:r>
      <w:r>
        <w:rPr>
          <w:rFonts w:hint="eastAsia" w:eastAsia="仿宋_GB2312"/>
          <w:sz w:val="32"/>
          <w:szCs w:val="32"/>
        </w:rPr>
        <w:t>）乙方必须按国家相关规定对送甲方氧气、乙炔瓶的安全性能进行定期检验，并把检测结果传真甲方，甲方自有钢瓶的检测费用由甲方负责。</w:t>
      </w:r>
    </w:p>
    <w:p>
      <w:pPr>
        <w:spacing w:line="420" w:lineRule="exact"/>
        <w:ind w:firstLine="480" w:firstLineChars="15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）甲乙双方有责任保护好钢瓶的零配件，如有损坏或丢失由乙方负责更换，费用由责任方负责。若是甲方责任，乙方需通知甲方，甲方确认维修项目后，再通知乙方维修更换配件。</w:t>
      </w:r>
    </w:p>
    <w:p>
      <w:pPr>
        <w:spacing w:line="420" w:lineRule="exact"/>
        <w:ind w:firstLine="707" w:firstLineChars="220"/>
        <w:rPr>
          <w:rFonts w:hint="eastAsia" w:eastAsia="仿宋_GB2312"/>
          <w:b/>
          <w:sz w:val="32"/>
          <w:szCs w:val="32"/>
          <w:lang w:eastAsia="zh-CN"/>
        </w:rPr>
      </w:pPr>
      <w:r>
        <w:rPr>
          <w:rFonts w:hint="eastAsia" w:eastAsia="仿宋_GB2312"/>
          <w:b/>
          <w:sz w:val="32"/>
          <w:szCs w:val="32"/>
          <w:lang w:eastAsia="zh-CN"/>
        </w:rPr>
        <w:t>四</w:t>
      </w:r>
      <w:r>
        <w:rPr>
          <w:rFonts w:eastAsia="仿宋_GB2312"/>
          <w:b/>
          <w:sz w:val="32"/>
          <w:szCs w:val="32"/>
        </w:rPr>
        <w:t>、交货地点及期限</w:t>
      </w:r>
      <w:r>
        <w:rPr>
          <w:rFonts w:hint="eastAsia" w:eastAsia="仿宋_GB2312"/>
          <w:b/>
          <w:sz w:val="32"/>
          <w:szCs w:val="32"/>
          <w:lang w:eastAsia="zh-CN"/>
        </w:rPr>
        <w:t>：</w:t>
      </w:r>
    </w:p>
    <w:p>
      <w:pPr>
        <w:spacing w:line="420" w:lineRule="exact"/>
        <w:ind w:firstLine="707" w:firstLineChars="221"/>
        <w:rPr>
          <w:rFonts w:eastAsia="仿宋_GB2312"/>
          <w:sz w:val="32"/>
          <w:szCs w:val="32"/>
          <w:u w:val="single"/>
        </w:rPr>
      </w:pPr>
      <w:r>
        <w:rPr>
          <w:rFonts w:eastAsia="仿宋_GB2312"/>
          <w:sz w:val="32"/>
          <w:szCs w:val="32"/>
        </w:rPr>
        <w:t>交货地点：</w:t>
      </w:r>
      <w:r>
        <w:rPr>
          <w:rFonts w:hint="eastAsia" w:eastAsia="仿宋_GB2312"/>
          <w:sz w:val="32"/>
          <w:szCs w:val="32"/>
        </w:rPr>
        <w:t>甲方仓库。</w:t>
      </w:r>
    </w:p>
    <w:p>
      <w:pPr>
        <w:spacing w:line="420" w:lineRule="exact"/>
        <w:ind w:firstLine="707" w:firstLineChars="221"/>
        <w:rPr>
          <w:rFonts w:eastAsia="仿宋_GB2312"/>
          <w:sz w:val="32"/>
          <w:szCs w:val="32"/>
          <w:u w:val="single"/>
        </w:rPr>
      </w:pPr>
      <w:r>
        <w:rPr>
          <w:rFonts w:eastAsia="仿宋_GB2312"/>
          <w:sz w:val="32"/>
          <w:szCs w:val="32"/>
        </w:rPr>
        <w:t>交货期限：</w:t>
      </w:r>
      <w:r>
        <w:rPr>
          <w:rFonts w:hint="eastAsia" w:eastAsia="仿宋_GB2312"/>
          <w:sz w:val="32"/>
          <w:szCs w:val="32"/>
        </w:rPr>
        <w:t>甲方每次根据车间使用量需求，再以电话或传真方式通知乙方，乙方接到通知后</w:t>
      </w:r>
      <w:r>
        <w:rPr>
          <w:rFonts w:hint="eastAsia" w:eastAsia="仿宋_GB2312"/>
          <w:sz w:val="32"/>
          <w:szCs w:val="32"/>
          <w:lang w:val="en-US" w:eastAsia="zh-CN"/>
        </w:rPr>
        <w:t>48</w:t>
      </w:r>
      <w:r>
        <w:rPr>
          <w:rFonts w:hint="eastAsia" w:eastAsia="仿宋_GB2312"/>
          <w:sz w:val="32"/>
          <w:szCs w:val="32"/>
        </w:rPr>
        <w:t>小时内送货到甲方。</w:t>
      </w:r>
    </w:p>
    <w:p>
      <w:pPr>
        <w:numPr>
          <w:ilvl w:val="0"/>
          <w:numId w:val="2"/>
        </w:numPr>
        <w:spacing w:line="420" w:lineRule="exact"/>
        <w:ind w:firstLine="707" w:firstLineChars="220"/>
        <w:rPr>
          <w:rFonts w:eastAsia="仿宋_GB2312"/>
          <w:b/>
          <w:sz w:val="32"/>
          <w:szCs w:val="32"/>
        </w:rPr>
      </w:pPr>
      <w:r>
        <w:rPr>
          <w:rFonts w:eastAsia="仿宋_GB2312"/>
          <w:b/>
          <w:sz w:val="32"/>
          <w:szCs w:val="32"/>
        </w:rPr>
        <w:t>物资包装及运输：</w:t>
      </w:r>
      <w:r>
        <w:rPr>
          <w:rFonts w:hint="eastAsia" w:eastAsia="仿宋_GB2312"/>
          <w:b/>
          <w:sz w:val="32"/>
          <w:szCs w:val="32"/>
          <w:lang w:val="en-US" w:eastAsia="zh-CN"/>
        </w:rPr>
        <w:t xml:space="preserve">  </w:t>
      </w:r>
    </w:p>
    <w:p>
      <w:pPr>
        <w:spacing w:line="420" w:lineRule="exact"/>
        <w:ind w:firstLine="707" w:firstLineChars="221"/>
        <w:rPr>
          <w:rFonts w:eastAsia="仿宋_GB2312"/>
          <w:sz w:val="32"/>
          <w:szCs w:val="32"/>
        </w:rPr>
      </w:pPr>
      <w:r>
        <w:rPr>
          <w:rFonts w:hint="eastAsia" w:eastAsia="仿宋_GB2312"/>
          <w:sz w:val="32"/>
          <w:szCs w:val="32"/>
        </w:rPr>
        <w:t>（一）乙方负责装运，产生的装运费由乙方负责。</w:t>
      </w:r>
    </w:p>
    <w:p>
      <w:pPr>
        <w:spacing w:line="420" w:lineRule="exact"/>
        <w:ind w:firstLine="707" w:firstLineChars="221"/>
        <w:rPr>
          <w:rFonts w:eastAsia="仿宋_GB2312"/>
          <w:sz w:val="32"/>
          <w:szCs w:val="32"/>
        </w:rPr>
      </w:pPr>
      <w:r>
        <w:rPr>
          <w:rFonts w:hint="eastAsia" w:eastAsia="仿宋_GB2312"/>
          <w:sz w:val="32"/>
          <w:szCs w:val="32"/>
        </w:rPr>
        <w:t>（二）氧气、乙炔、氩气送甲方前，必须加装防震胶圈，否则甲方有权拒绝接收，同时按乙方不按时供货处理。运输过程中的安全由乙方负责，氧气、乙炔、氩气以安全到达甲方厂内为准。</w:t>
      </w:r>
    </w:p>
    <w:p>
      <w:pPr>
        <w:spacing w:line="420" w:lineRule="exact"/>
        <w:ind w:firstLine="707" w:firstLineChars="220"/>
        <w:rPr>
          <w:rFonts w:eastAsia="仿宋_GB2312"/>
          <w:sz w:val="32"/>
          <w:szCs w:val="32"/>
        </w:rPr>
      </w:pPr>
      <w:r>
        <w:rPr>
          <w:rFonts w:hint="eastAsia" w:eastAsia="仿宋_GB2312"/>
          <w:b/>
          <w:sz w:val="32"/>
          <w:szCs w:val="32"/>
          <w:lang w:eastAsia="zh-CN"/>
        </w:rPr>
        <w:t>六</w:t>
      </w:r>
      <w:r>
        <w:rPr>
          <w:rFonts w:eastAsia="仿宋_GB2312"/>
          <w:b/>
          <w:sz w:val="32"/>
          <w:szCs w:val="32"/>
        </w:rPr>
        <w:t>、验收标准、方法：</w:t>
      </w:r>
    </w:p>
    <w:p>
      <w:pPr>
        <w:spacing w:line="420" w:lineRule="exact"/>
        <w:ind w:firstLine="704" w:firstLineChars="220"/>
        <w:rPr>
          <w:rFonts w:eastAsia="仿宋_GB2312"/>
          <w:sz w:val="32"/>
          <w:szCs w:val="32"/>
        </w:rPr>
      </w:pPr>
      <w:r>
        <w:rPr>
          <w:rFonts w:hint="eastAsia" w:eastAsia="仿宋_GB2312"/>
          <w:sz w:val="32"/>
          <w:szCs w:val="32"/>
        </w:rPr>
        <w:t>货到甲方后，甲乙双方按照《氧气、乙炔入库验收记录表》确认的钢瓶，氧气、乙炔、氩气进行</w:t>
      </w:r>
      <w:r>
        <w:rPr>
          <w:rFonts w:hint="eastAsia" w:eastAsia="仿宋_GB2312"/>
          <w:sz w:val="32"/>
          <w:szCs w:val="32"/>
          <w:lang w:eastAsia="zh-CN"/>
        </w:rPr>
        <w:t>抽检</w:t>
      </w:r>
      <w:r>
        <w:rPr>
          <w:rFonts w:hint="eastAsia" w:eastAsia="仿宋_GB2312"/>
          <w:sz w:val="32"/>
          <w:szCs w:val="32"/>
        </w:rPr>
        <w:t>验收</w:t>
      </w:r>
      <w:r>
        <w:rPr>
          <w:rFonts w:hint="eastAsia" w:eastAsia="仿宋_GB2312"/>
          <w:sz w:val="32"/>
          <w:szCs w:val="32"/>
          <w:lang w:eastAsia="zh-CN"/>
        </w:rPr>
        <w:t>。</w:t>
      </w:r>
      <w:r>
        <w:rPr>
          <w:rFonts w:hint="eastAsia" w:eastAsia="仿宋_GB2312"/>
          <w:sz w:val="32"/>
          <w:szCs w:val="32"/>
        </w:rPr>
        <w:t>氧气必须符合国标GB/T3868-2008《工业氧》质量标准，乙炔符合国标GB6819-2004《溶解乙炔》质量标准，氩气符合国家质量标准，</w:t>
      </w:r>
      <w:r>
        <w:rPr>
          <w:rFonts w:hint="eastAsia" w:eastAsia="仿宋_GB2312"/>
          <w:sz w:val="32"/>
          <w:szCs w:val="32"/>
          <w:lang w:eastAsia="zh-CN"/>
        </w:rPr>
        <w:t>对达不到要求的作</w:t>
      </w:r>
      <w:r>
        <w:rPr>
          <w:rFonts w:hint="eastAsia" w:eastAsia="仿宋_GB2312"/>
          <w:sz w:val="32"/>
          <w:szCs w:val="32"/>
        </w:rPr>
        <w:t>退货处理，退货所发生的费用由乙方负担。</w:t>
      </w:r>
    </w:p>
    <w:p>
      <w:pPr>
        <w:spacing w:line="420" w:lineRule="exact"/>
        <w:rPr>
          <w:rFonts w:hint="eastAsia" w:eastAsia="仿宋_GB2312"/>
          <w:sz w:val="32"/>
          <w:szCs w:val="32"/>
        </w:rPr>
      </w:pPr>
    </w:p>
    <w:p>
      <w:pPr>
        <w:spacing w:line="420" w:lineRule="exact"/>
        <w:ind w:firstLine="707" w:firstLineChars="220"/>
        <w:rPr>
          <w:rFonts w:eastAsia="仿宋_GB2312"/>
          <w:b/>
          <w:sz w:val="32"/>
          <w:szCs w:val="32"/>
        </w:rPr>
      </w:pPr>
      <w:r>
        <w:rPr>
          <w:rFonts w:hint="eastAsia" w:eastAsia="仿宋_GB2312"/>
          <w:b/>
          <w:sz w:val="32"/>
          <w:szCs w:val="32"/>
          <w:lang w:eastAsia="zh-CN"/>
        </w:rPr>
        <w:t>七</w:t>
      </w:r>
      <w:r>
        <w:rPr>
          <w:rFonts w:eastAsia="仿宋_GB2312"/>
          <w:b/>
          <w:sz w:val="32"/>
          <w:szCs w:val="32"/>
        </w:rPr>
        <w:t>、付款方式：</w:t>
      </w:r>
    </w:p>
    <w:p>
      <w:pPr>
        <w:numPr>
          <w:ilvl w:val="0"/>
          <w:numId w:val="3"/>
        </w:numPr>
        <w:tabs>
          <w:tab w:val="left" w:pos="0"/>
          <w:tab w:val="clear" w:pos="1680"/>
        </w:tabs>
        <w:spacing w:line="480" w:lineRule="exact"/>
        <w:ind w:left="0" w:firstLine="709"/>
        <w:jc w:val="left"/>
        <w:rPr>
          <w:rFonts w:eastAsia="仿宋_GB2312"/>
          <w:sz w:val="32"/>
          <w:szCs w:val="32"/>
        </w:rPr>
      </w:pPr>
      <w:r>
        <w:rPr>
          <w:rFonts w:hint="eastAsia" w:eastAsia="仿宋_GB2312"/>
          <w:sz w:val="32"/>
          <w:szCs w:val="32"/>
        </w:rPr>
        <w:t>氧气、乙炔、氩气按瓶进行结算，具体以实际到库验收合格标准数量结算。</w:t>
      </w:r>
    </w:p>
    <w:p>
      <w:pPr>
        <w:spacing w:line="4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甲方在30个工作日内根据乙方开具的全额的1</w:t>
      </w:r>
      <w:r>
        <w:rPr>
          <w:rFonts w:hint="eastAsia" w:eastAsia="仿宋_GB2312"/>
          <w:sz w:val="32"/>
          <w:szCs w:val="32"/>
          <w:lang w:val="en-US" w:eastAsia="zh-CN"/>
        </w:rPr>
        <w:t>3</w:t>
      </w:r>
      <w:r>
        <w:rPr>
          <w:rFonts w:eastAsia="仿宋_GB2312"/>
          <w:sz w:val="32"/>
          <w:szCs w:val="32"/>
        </w:rPr>
        <w:t>%增值税发票支付乙方货款。</w:t>
      </w:r>
    </w:p>
    <w:p>
      <w:pPr>
        <w:spacing w:line="420" w:lineRule="exact"/>
        <w:ind w:firstLine="729" w:firstLineChars="227"/>
        <w:rPr>
          <w:rFonts w:eastAsia="仿宋_GB2312"/>
          <w:b/>
          <w:sz w:val="32"/>
          <w:szCs w:val="32"/>
        </w:rPr>
      </w:pPr>
      <w:r>
        <w:rPr>
          <w:rFonts w:hint="eastAsia" w:eastAsia="仿宋_GB2312"/>
          <w:b/>
          <w:sz w:val="32"/>
          <w:szCs w:val="32"/>
          <w:lang w:eastAsia="zh-CN"/>
        </w:rPr>
        <w:t>八</w:t>
      </w:r>
      <w:r>
        <w:rPr>
          <w:rFonts w:eastAsia="仿宋_GB2312"/>
          <w:b/>
          <w:sz w:val="32"/>
          <w:szCs w:val="32"/>
        </w:rPr>
        <w:t>、违约责任：</w:t>
      </w:r>
    </w:p>
    <w:p>
      <w:pPr>
        <w:spacing w:line="420" w:lineRule="exact"/>
        <w:ind w:firstLine="566" w:firstLineChars="177"/>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bCs/>
          <w:sz w:val="32"/>
          <w:szCs w:val="32"/>
        </w:rPr>
        <w:t>甲方未按合同规定的条款付款，造成的后期供货延迟，乙方不承担由此造成的损失，责任由甲方承担。</w:t>
      </w:r>
    </w:p>
    <w:p>
      <w:pPr>
        <w:spacing w:line="420" w:lineRule="exact"/>
        <w:ind w:firstLine="566" w:firstLineChars="177"/>
        <w:rPr>
          <w:rFonts w:eastAsia="仿宋_GB2312"/>
          <w:sz w:val="32"/>
          <w:szCs w:val="32"/>
        </w:rPr>
      </w:pPr>
      <w:r>
        <w:rPr>
          <w:rFonts w:eastAsia="仿宋_GB2312"/>
          <w:sz w:val="32"/>
          <w:szCs w:val="32"/>
        </w:rPr>
        <w:t>（</w:t>
      </w:r>
      <w:r>
        <w:rPr>
          <w:rFonts w:hint="eastAsia" w:eastAsia="仿宋_GB2312"/>
          <w:sz w:val="32"/>
          <w:szCs w:val="32"/>
          <w:lang w:eastAsia="zh-CN"/>
        </w:rPr>
        <w:t>二</w:t>
      </w:r>
      <w:r>
        <w:rPr>
          <w:rFonts w:eastAsia="仿宋_GB2312"/>
          <w:sz w:val="32"/>
          <w:szCs w:val="32"/>
        </w:rPr>
        <w:t>）乙方不能按时供货（如交付的</w:t>
      </w:r>
      <w:r>
        <w:rPr>
          <w:rFonts w:hint="eastAsia" w:eastAsia="仿宋_GB2312"/>
          <w:sz w:val="32"/>
          <w:szCs w:val="32"/>
        </w:rPr>
        <w:t>物资</w:t>
      </w:r>
      <w:r>
        <w:rPr>
          <w:rFonts w:eastAsia="仿宋_GB2312"/>
          <w:sz w:val="32"/>
          <w:szCs w:val="32"/>
        </w:rPr>
        <w:t>质量要求、技术标准达不到要求造成退货的也视为不按时交货），每项物资每逾期壹天支付违约金</w:t>
      </w:r>
      <w:r>
        <w:rPr>
          <w:rFonts w:hint="eastAsia" w:eastAsia="仿宋_GB2312"/>
          <w:sz w:val="32"/>
          <w:szCs w:val="32"/>
          <w:u w:val="single"/>
        </w:rPr>
        <w:t xml:space="preserve"> </w:t>
      </w:r>
      <w:r>
        <w:rPr>
          <w:rFonts w:hint="eastAsia" w:eastAsia="仿宋_GB2312"/>
          <w:sz w:val="32"/>
          <w:szCs w:val="32"/>
          <w:u w:val="single"/>
          <w:lang w:val="en-US" w:eastAsia="zh-CN"/>
        </w:rPr>
        <w:t>200</w:t>
      </w:r>
      <w:r>
        <w:rPr>
          <w:rFonts w:hint="eastAsia" w:eastAsia="仿宋_GB2312"/>
          <w:sz w:val="32"/>
          <w:szCs w:val="32"/>
          <w:u w:val="single"/>
        </w:rPr>
        <w:t xml:space="preserve"> </w:t>
      </w:r>
      <w:r>
        <w:rPr>
          <w:rFonts w:eastAsia="仿宋_GB2312"/>
          <w:sz w:val="32"/>
          <w:szCs w:val="32"/>
        </w:rPr>
        <w:t>元给甲方，依此类推。</w:t>
      </w:r>
      <w:r>
        <w:rPr>
          <w:rFonts w:hint="eastAsia" w:eastAsia="仿宋_GB2312"/>
          <w:sz w:val="32"/>
          <w:szCs w:val="32"/>
        </w:rPr>
        <w:t>未按期交付货物的，乙方应在甲方允许的期限内照数补齐；对于乙方少交、迟交的部分货物，甲方有权拒收，由此产生的费用及损失由乙方承担。</w:t>
      </w:r>
    </w:p>
    <w:p>
      <w:pPr>
        <w:spacing w:line="420" w:lineRule="exact"/>
        <w:ind w:firstLine="566" w:firstLineChars="177"/>
        <w:rPr>
          <w:rFonts w:eastAsia="仿宋_GB2312"/>
          <w:sz w:val="32"/>
          <w:szCs w:val="32"/>
        </w:rPr>
      </w:pPr>
      <w:r>
        <w:rPr>
          <w:rFonts w:eastAsia="仿宋_GB2312"/>
          <w:sz w:val="32"/>
          <w:szCs w:val="32"/>
        </w:rPr>
        <w:t>（</w:t>
      </w:r>
      <w:r>
        <w:rPr>
          <w:rFonts w:hint="eastAsia" w:eastAsia="仿宋_GB2312"/>
          <w:sz w:val="32"/>
          <w:szCs w:val="32"/>
          <w:lang w:eastAsia="zh-CN"/>
        </w:rPr>
        <w:t>三</w:t>
      </w:r>
      <w:r>
        <w:rPr>
          <w:rFonts w:eastAsia="仿宋_GB2312"/>
          <w:sz w:val="32"/>
          <w:szCs w:val="32"/>
        </w:rPr>
        <w:t>）若乙方提供的物资经权威部门检测与要求的材质不符的，每发现壹件，乙方按本合同单价的</w:t>
      </w:r>
      <w:r>
        <w:rPr>
          <w:rFonts w:hint="eastAsia" w:eastAsia="仿宋_GB2312"/>
          <w:sz w:val="32"/>
          <w:szCs w:val="32"/>
          <w:u w:val="single"/>
        </w:rPr>
        <w:t xml:space="preserve">  </w:t>
      </w:r>
      <w:r>
        <w:rPr>
          <w:rFonts w:hint="eastAsia" w:eastAsia="仿宋_GB2312"/>
          <w:sz w:val="32"/>
          <w:szCs w:val="32"/>
          <w:u w:val="single"/>
          <w:lang w:val="en-US" w:eastAsia="zh-CN"/>
        </w:rPr>
        <w:t>100%</w:t>
      </w:r>
      <w:r>
        <w:rPr>
          <w:rFonts w:hint="eastAsia" w:eastAsia="仿宋_GB2312"/>
          <w:sz w:val="32"/>
          <w:szCs w:val="32"/>
          <w:u w:val="single"/>
        </w:rPr>
        <w:t xml:space="preserve">  </w:t>
      </w:r>
      <w:r>
        <w:rPr>
          <w:rFonts w:eastAsia="仿宋_GB2312"/>
          <w:sz w:val="32"/>
          <w:szCs w:val="32"/>
        </w:rPr>
        <w:t>赔偿给甲方，依此类推。</w:t>
      </w:r>
      <w:r>
        <w:rPr>
          <w:rFonts w:hint="eastAsia" w:eastAsia="仿宋_GB2312"/>
          <w:sz w:val="32"/>
          <w:szCs w:val="32"/>
        </w:rPr>
        <w:t>调换后仍不符合合同规定的，甲方有权拒收货物,并解除合同，由此造成的损失由乙方承担。甲方有权直接从乙方的货款中扣减损失。</w:t>
      </w:r>
    </w:p>
    <w:p>
      <w:pPr>
        <w:spacing w:line="420" w:lineRule="exact"/>
        <w:ind w:firstLine="566" w:firstLineChars="177"/>
        <w:rPr>
          <w:rFonts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）实行代运或送货的乙方，错发到达地点或接收单位(人)，除按合同规定负责运到指定地点或接收单位(人)外，并承担因此多付的运杂费和逾期交付货物的责任。</w:t>
      </w:r>
    </w:p>
    <w:p>
      <w:pPr>
        <w:spacing w:line="420" w:lineRule="exact"/>
        <w:ind w:firstLine="565" w:firstLineChars="176"/>
        <w:rPr>
          <w:rFonts w:hint="eastAsia" w:eastAsia="仿宋_GB2312"/>
          <w:b/>
          <w:sz w:val="32"/>
          <w:szCs w:val="32"/>
        </w:rPr>
      </w:pPr>
      <w:r>
        <w:rPr>
          <w:rFonts w:hint="eastAsia" w:eastAsia="仿宋_GB2312"/>
          <w:b/>
          <w:sz w:val="32"/>
          <w:szCs w:val="32"/>
          <w:lang w:eastAsia="zh-CN"/>
        </w:rPr>
        <w:t>九</w:t>
      </w:r>
      <w:r>
        <w:rPr>
          <w:rFonts w:hint="eastAsia" w:eastAsia="仿宋_GB2312"/>
          <w:b/>
          <w:sz w:val="32"/>
          <w:szCs w:val="32"/>
        </w:rPr>
        <w:t>、其它约定</w:t>
      </w:r>
    </w:p>
    <w:p>
      <w:pPr>
        <w:spacing w:line="420" w:lineRule="exact"/>
        <w:ind w:firstLine="563" w:firstLineChars="176"/>
        <w:rPr>
          <w:rFonts w:eastAsia="仿宋_GB2312"/>
          <w:sz w:val="32"/>
          <w:szCs w:val="32"/>
        </w:rPr>
      </w:pPr>
      <w:r>
        <w:rPr>
          <w:rFonts w:hint="eastAsia" w:eastAsia="仿宋_GB2312"/>
          <w:sz w:val="32"/>
          <w:szCs w:val="32"/>
        </w:rPr>
        <w:t>（一）乙方未按甲方要求多送的货物，甲方在有存放空间的条件下可作暂存。甲方暂存期间（无偿保管），除甲方保管有重大过失造成的损失外，甲方不承担任何货物毁损灭失责任。</w:t>
      </w:r>
    </w:p>
    <w:p>
      <w:pPr>
        <w:spacing w:line="420" w:lineRule="exact"/>
        <w:ind w:firstLine="563" w:firstLineChars="176"/>
        <w:rPr>
          <w:rFonts w:hint="eastAsia" w:eastAsia="仿宋_GB2312"/>
          <w:sz w:val="32"/>
          <w:szCs w:val="32"/>
        </w:rPr>
      </w:pPr>
      <w:r>
        <w:rPr>
          <w:rFonts w:hint="eastAsia" w:eastAsia="仿宋_GB2312"/>
          <w:sz w:val="32"/>
          <w:szCs w:val="32"/>
        </w:rPr>
        <w:t>（二）甲方检验出以及在使用过程中出现的不合格品，乙方应按甲方的要求及时给予处理；在甲方通知后长期拖延不予办理的，甲方有权加收场地占用费或对不合格物资作出处理；甲方不承担由此给乙方造成的损失。</w:t>
      </w:r>
    </w:p>
    <w:p>
      <w:pPr>
        <w:spacing w:line="420" w:lineRule="exact"/>
        <w:ind w:firstLine="563" w:firstLineChars="176"/>
        <w:rPr>
          <w:rFonts w:hint="eastAsia" w:eastAsia="仿宋_GB2312"/>
          <w:sz w:val="32"/>
          <w:szCs w:val="32"/>
          <w:lang w:eastAsia="zh-CN"/>
        </w:rPr>
      </w:pPr>
      <w:r>
        <w:rPr>
          <w:rFonts w:hint="eastAsia" w:eastAsia="仿宋_GB2312"/>
          <w:sz w:val="32"/>
          <w:szCs w:val="32"/>
          <w:lang w:eastAsia="zh-CN"/>
        </w:rPr>
        <w:t>（三）</w:t>
      </w:r>
      <w:r>
        <w:rPr>
          <w:rFonts w:hint="eastAsia" w:eastAsia="仿宋_GB2312"/>
          <w:sz w:val="32"/>
          <w:szCs w:val="32"/>
        </w:rPr>
        <w:t>本合同为开口合同，合同附件为本合同不可或缺的重要要件。在本合同期内发生多次采购所生成的合同附件均为本合同的一部分。在合同有效期内，</w:t>
      </w:r>
      <w:r>
        <w:rPr>
          <w:rFonts w:hint="eastAsia" w:eastAsia="仿宋_GB2312"/>
          <w:sz w:val="32"/>
          <w:szCs w:val="32"/>
          <w:lang w:eastAsia="zh-CN"/>
        </w:rPr>
        <w:t>甲</w:t>
      </w:r>
      <w:r>
        <w:rPr>
          <w:rFonts w:hint="eastAsia" w:eastAsia="仿宋_GB2312"/>
          <w:sz w:val="32"/>
          <w:szCs w:val="32"/>
        </w:rPr>
        <w:t>方通过询比价方式确定向</w:t>
      </w:r>
      <w:r>
        <w:rPr>
          <w:rFonts w:hint="eastAsia" w:eastAsia="仿宋_GB2312"/>
          <w:sz w:val="32"/>
          <w:szCs w:val="32"/>
          <w:lang w:eastAsia="zh-CN"/>
        </w:rPr>
        <w:t>乙</w:t>
      </w:r>
      <w:r>
        <w:rPr>
          <w:rFonts w:hint="eastAsia" w:eastAsia="仿宋_GB2312"/>
          <w:sz w:val="32"/>
          <w:szCs w:val="32"/>
        </w:rPr>
        <w:t>方订购本合同附表约定外的物资，按本合同约定的服务条款执行，具体物资名称、单价、品牌等按</w:t>
      </w:r>
      <w:r>
        <w:rPr>
          <w:rFonts w:hint="eastAsia" w:eastAsia="仿宋_GB2312"/>
          <w:sz w:val="32"/>
          <w:szCs w:val="32"/>
          <w:lang w:eastAsia="zh-CN"/>
        </w:rPr>
        <w:t>甲</w:t>
      </w:r>
      <w:r>
        <w:rPr>
          <w:rFonts w:hint="eastAsia" w:eastAsia="仿宋_GB2312"/>
          <w:sz w:val="32"/>
          <w:szCs w:val="32"/>
        </w:rPr>
        <w:t>方的订单执行。</w:t>
      </w:r>
    </w:p>
    <w:p>
      <w:pPr>
        <w:spacing w:line="420" w:lineRule="exact"/>
        <w:ind w:firstLine="565" w:firstLineChars="176"/>
        <w:rPr>
          <w:rFonts w:eastAsia="仿宋_GB2312"/>
          <w:b/>
          <w:sz w:val="32"/>
          <w:szCs w:val="32"/>
        </w:rPr>
      </w:pPr>
      <w:r>
        <w:rPr>
          <w:rFonts w:hint="eastAsia" w:eastAsia="仿宋_GB2312"/>
          <w:b/>
          <w:sz w:val="32"/>
          <w:szCs w:val="32"/>
          <w:lang w:eastAsia="zh-CN"/>
        </w:rPr>
        <w:t>十</w:t>
      </w:r>
      <w:r>
        <w:rPr>
          <w:rFonts w:hint="eastAsia" w:eastAsia="仿宋_GB2312"/>
          <w:b/>
          <w:sz w:val="32"/>
          <w:szCs w:val="32"/>
        </w:rPr>
        <w:t>、不可抗力</w:t>
      </w:r>
    </w:p>
    <w:p>
      <w:pPr>
        <w:spacing w:line="420" w:lineRule="exact"/>
        <w:ind w:firstLine="563" w:firstLineChars="176"/>
        <w:rPr>
          <w:rFonts w:eastAsia="仿宋_GB2312"/>
          <w:sz w:val="32"/>
          <w:szCs w:val="32"/>
        </w:rPr>
      </w:pPr>
      <w:r>
        <w:rPr>
          <w:rFonts w:hint="eastAsia" w:eastAsia="仿宋_GB2312"/>
          <w:sz w:val="32"/>
          <w:szCs w:val="32"/>
        </w:rPr>
        <w:t>在合同规定的履行期限内，由于不可抗力致使采购物资或原材料毁损、灭失的，乙方在取得合法证明后，可免予承担违约责任；在合同规定的履行期限内，由于不可抗力致使生产不能按计划完成，甲方可免予承担因此而造成的违约责任。</w:t>
      </w:r>
    </w:p>
    <w:p>
      <w:pPr>
        <w:spacing w:line="420" w:lineRule="exact"/>
        <w:ind w:firstLine="565" w:firstLineChars="176"/>
        <w:rPr>
          <w:rFonts w:eastAsia="仿宋_GB2312"/>
          <w:b/>
          <w:sz w:val="32"/>
          <w:szCs w:val="32"/>
        </w:rPr>
      </w:pPr>
      <w:r>
        <w:rPr>
          <w:rFonts w:hint="eastAsia" w:eastAsia="仿宋_GB2312"/>
          <w:b/>
          <w:sz w:val="32"/>
          <w:szCs w:val="32"/>
        </w:rPr>
        <w:t>十</w:t>
      </w:r>
      <w:r>
        <w:rPr>
          <w:rFonts w:hint="eastAsia" w:eastAsia="仿宋_GB2312"/>
          <w:b/>
          <w:sz w:val="32"/>
          <w:szCs w:val="32"/>
          <w:lang w:eastAsia="zh-CN"/>
        </w:rPr>
        <w:t>一</w:t>
      </w:r>
      <w:r>
        <w:rPr>
          <w:rFonts w:eastAsia="仿宋_GB2312"/>
          <w:b/>
          <w:sz w:val="32"/>
          <w:szCs w:val="32"/>
        </w:rPr>
        <w:t>、解决合同纠纷方式</w:t>
      </w:r>
    </w:p>
    <w:p>
      <w:pPr>
        <w:spacing w:line="420" w:lineRule="exact"/>
        <w:ind w:firstLine="563" w:firstLineChars="176"/>
        <w:rPr>
          <w:rFonts w:eastAsia="仿宋_GB2312"/>
          <w:sz w:val="32"/>
          <w:szCs w:val="32"/>
        </w:rPr>
      </w:pPr>
      <w:r>
        <w:rPr>
          <w:rFonts w:eastAsia="仿宋_GB2312"/>
          <w:sz w:val="32"/>
          <w:szCs w:val="32"/>
        </w:rPr>
        <w:t>在合同履行期间出现问题，双方本着相互谅解的态度协商解决。若协商不成，任何一方均可向甲方所在地人民法院提起诉讼，由此产生的律师费、交通费等相关费用由违约方承担。</w:t>
      </w:r>
    </w:p>
    <w:p>
      <w:pPr>
        <w:spacing w:line="420" w:lineRule="exact"/>
        <w:ind w:firstLine="565" w:firstLineChars="176"/>
        <w:rPr>
          <w:rFonts w:hint="default" w:eastAsia="仿宋_GB2312"/>
          <w:b/>
          <w:sz w:val="32"/>
          <w:szCs w:val="32"/>
        </w:rPr>
      </w:pPr>
      <w:r>
        <w:rPr>
          <w:rFonts w:hint="default" w:eastAsia="仿宋_GB2312"/>
          <w:b/>
          <w:sz w:val="32"/>
          <w:szCs w:val="32"/>
        </w:rPr>
        <w:t>第十</w:t>
      </w:r>
      <w:r>
        <w:rPr>
          <w:rFonts w:hint="eastAsia" w:eastAsia="仿宋_GB2312"/>
          <w:b/>
          <w:sz w:val="32"/>
          <w:szCs w:val="32"/>
          <w:lang w:eastAsia="zh-CN"/>
        </w:rPr>
        <w:t>二</w:t>
      </w:r>
      <w:r>
        <w:rPr>
          <w:rFonts w:hint="eastAsia" w:eastAsia="仿宋_GB2312"/>
          <w:b/>
          <w:sz w:val="32"/>
          <w:szCs w:val="32"/>
          <w:lang w:val="en-US" w:eastAsia="zh-CN"/>
        </w:rPr>
        <w:t xml:space="preserve"> </w:t>
      </w:r>
      <w:r>
        <w:rPr>
          <w:rFonts w:hint="default" w:eastAsia="仿宋_GB2312"/>
          <w:b/>
          <w:sz w:val="32"/>
          <w:szCs w:val="32"/>
        </w:rPr>
        <w:t>廉洁条款</w:t>
      </w:r>
    </w:p>
    <w:p>
      <w:pPr>
        <w:spacing w:line="420" w:lineRule="exact"/>
        <w:ind w:firstLine="563" w:firstLineChars="176"/>
        <w:rPr>
          <w:rFonts w:hint="eastAsia" w:eastAsia="仿宋_GB2312"/>
          <w:sz w:val="32"/>
          <w:szCs w:val="32"/>
        </w:rPr>
      </w:pPr>
      <w:r>
        <w:rPr>
          <w:rFonts w:hint="eastAsia" w:eastAsia="仿宋_GB2312"/>
          <w:sz w:val="32"/>
          <w:szCs w:val="32"/>
        </w:rPr>
        <w:t>供需双方及其员工不得向对方及其员工实施商业贿赂行为，包括但不限于给予回扣、礼品、馈赠、娱乐、招待等行为。</w:t>
      </w:r>
      <w:r>
        <w:rPr>
          <w:rFonts w:hint="eastAsia" w:eastAsia="仿宋_GB2312"/>
          <w:sz w:val="32"/>
          <w:szCs w:val="32"/>
        </w:rPr>
        <w:br w:type="textWrapping"/>
      </w:r>
      <w:r>
        <w:rPr>
          <w:rFonts w:hint="eastAsia" w:eastAsia="仿宋_GB2312"/>
          <w:sz w:val="32"/>
          <w:szCs w:val="32"/>
        </w:rPr>
        <w:t>2.供需双方及其员工不得向对方及其员工索要财物。</w:t>
      </w:r>
      <w:r>
        <w:rPr>
          <w:rFonts w:hint="eastAsia" w:eastAsia="仿宋_GB2312"/>
          <w:sz w:val="32"/>
          <w:szCs w:val="32"/>
        </w:rPr>
        <w:br w:type="textWrapping"/>
      </w:r>
      <w:r>
        <w:rPr>
          <w:rFonts w:hint="eastAsia" w:eastAsia="仿宋_GB2312"/>
          <w:sz w:val="32"/>
          <w:szCs w:val="32"/>
        </w:rPr>
        <w:t>3.需方发现供方或供方员工向需方或需方员工实施前两款行为的，需方有权单方解除本合同，同时供方应向需方支付合同总金额10%的违约金。</w:t>
      </w:r>
    </w:p>
    <w:p>
      <w:pPr>
        <w:spacing w:line="420" w:lineRule="exact"/>
        <w:ind w:firstLine="563" w:firstLineChars="176"/>
        <w:rPr>
          <w:rFonts w:hint="eastAsia" w:eastAsia="仿宋_GB2312"/>
          <w:sz w:val="32"/>
          <w:szCs w:val="32"/>
        </w:rPr>
      </w:pPr>
    </w:p>
    <w:p>
      <w:pPr>
        <w:spacing w:line="420" w:lineRule="exact"/>
        <w:ind w:firstLine="563" w:firstLineChars="176"/>
        <w:rPr>
          <w:rFonts w:eastAsia="仿宋_GB2312"/>
          <w:sz w:val="32"/>
          <w:szCs w:val="32"/>
        </w:rPr>
      </w:pPr>
      <w:r>
        <w:rPr>
          <w:rFonts w:hint="eastAsia" w:eastAsia="仿宋_GB2312"/>
          <w:sz w:val="32"/>
          <w:szCs w:val="32"/>
        </w:rPr>
        <w:t>中粮糖业纪检信访举报联络方式：</w:t>
      </w:r>
    </w:p>
    <w:p>
      <w:pPr>
        <w:spacing w:line="420" w:lineRule="exact"/>
        <w:ind w:firstLine="563" w:firstLineChars="176"/>
        <w:rPr>
          <w:rFonts w:eastAsia="仿宋_GB2312"/>
          <w:sz w:val="32"/>
          <w:szCs w:val="32"/>
        </w:rPr>
      </w:pPr>
      <w:r>
        <w:rPr>
          <w:rFonts w:hint="eastAsia" w:eastAsia="仿宋_GB2312"/>
          <w:sz w:val="32"/>
          <w:szCs w:val="32"/>
        </w:rPr>
        <w:t>一、寄信 通信地址：北京市朝阳区朝阳门南大街8号中粮福临门大厦9层905房间，中粮糖业纪委办公室收，邮编100020</w:t>
      </w:r>
    </w:p>
    <w:p>
      <w:pPr>
        <w:spacing w:line="420" w:lineRule="exact"/>
        <w:ind w:firstLine="563" w:firstLineChars="176"/>
        <w:rPr>
          <w:rFonts w:eastAsia="仿宋_GB2312"/>
          <w:sz w:val="32"/>
          <w:szCs w:val="32"/>
        </w:rPr>
      </w:pPr>
      <w:r>
        <w:rPr>
          <w:rFonts w:hint="eastAsia" w:eastAsia="仿宋_GB2312"/>
          <w:sz w:val="32"/>
          <w:szCs w:val="32"/>
        </w:rPr>
        <w:t>二、致电 举报电话：010-85017235。</w:t>
      </w:r>
    </w:p>
    <w:p>
      <w:pPr>
        <w:spacing w:line="420" w:lineRule="exact"/>
        <w:ind w:firstLine="563" w:firstLineChars="176"/>
        <w:rPr>
          <w:rFonts w:eastAsia="仿宋_GB2312"/>
          <w:sz w:val="32"/>
          <w:szCs w:val="32"/>
        </w:rPr>
      </w:pPr>
      <w:r>
        <w:rPr>
          <w:rFonts w:hint="eastAsia" w:eastAsia="仿宋_GB2312"/>
          <w:sz w:val="32"/>
          <w:szCs w:val="32"/>
        </w:rPr>
        <w:t>中粮糖业甘蔗糖部纪检联系方式：</w:t>
      </w:r>
    </w:p>
    <w:p>
      <w:pPr>
        <w:spacing w:line="420" w:lineRule="exact"/>
        <w:ind w:firstLine="563" w:firstLineChars="176"/>
        <w:rPr>
          <w:rFonts w:eastAsia="仿宋_GB2312"/>
          <w:sz w:val="32"/>
          <w:szCs w:val="32"/>
        </w:rPr>
      </w:pPr>
      <w:r>
        <w:rPr>
          <w:rFonts w:hint="eastAsia" w:eastAsia="仿宋_GB2312"/>
          <w:sz w:val="32"/>
          <w:szCs w:val="32"/>
        </w:rPr>
        <w:t>一、寄信 通信地址：广西崇左市工业园区工业大道中粮糖业崇左糖业有限公司，中粮糖业糖业股份有限公司甘蔗糖部纪委（收）邮政编码：532205</w:t>
      </w:r>
    </w:p>
    <w:p>
      <w:pPr>
        <w:spacing w:line="420" w:lineRule="exact"/>
        <w:ind w:firstLine="563" w:firstLineChars="176"/>
        <w:rPr>
          <w:rFonts w:eastAsia="仿宋_GB2312"/>
          <w:sz w:val="32"/>
          <w:szCs w:val="32"/>
        </w:rPr>
      </w:pPr>
      <w:r>
        <w:rPr>
          <w:rFonts w:hint="eastAsia" w:eastAsia="仿宋_GB2312"/>
          <w:sz w:val="32"/>
          <w:szCs w:val="32"/>
        </w:rPr>
        <w:t>二、致电 举报电话：13909946165</w:t>
      </w:r>
    </w:p>
    <w:p>
      <w:pPr>
        <w:spacing w:line="420" w:lineRule="exact"/>
        <w:ind w:firstLine="563" w:firstLineChars="176"/>
        <w:rPr>
          <w:rFonts w:eastAsia="仿宋_GB2312"/>
          <w:sz w:val="32"/>
          <w:szCs w:val="32"/>
        </w:rPr>
      </w:pPr>
      <w:r>
        <w:rPr>
          <w:rFonts w:hint="eastAsia" w:eastAsia="仿宋_GB2312"/>
          <w:sz w:val="32"/>
          <w:szCs w:val="32"/>
        </w:rPr>
        <w:t>粤北糖业纪检部联系方式：</w:t>
      </w:r>
    </w:p>
    <w:p>
      <w:pPr>
        <w:spacing w:line="420" w:lineRule="exact"/>
        <w:ind w:firstLine="563" w:firstLineChars="176"/>
        <w:rPr>
          <w:rFonts w:eastAsia="仿宋_GB2312"/>
          <w:sz w:val="32"/>
          <w:szCs w:val="32"/>
        </w:rPr>
      </w:pPr>
      <w:r>
        <w:rPr>
          <w:rFonts w:hint="eastAsia" w:eastAsia="仿宋_GB2312"/>
          <w:sz w:val="32"/>
          <w:szCs w:val="32"/>
        </w:rPr>
        <w:t>寄信 通信地址：广东省英德市浛洸镇西郊</w:t>
      </w:r>
    </w:p>
    <w:p>
      <w:pPr>
        <w:spacing w:line="420" w:lineRule="exact"/>
        <w:ind w:firstLine="563" w:firstLineChars="176"/>
        <w:rPr>
          <w:rFonts w:hint="eastAsia" w:eastAsia="仿宋_GB2312"/>
          <w:sz w:val="32"/>
          <w:szCs w:val="32"/>
        </w:rPr>
      </w:pPr>
      <w:r>
        <w:rPr>
          <w:rFonts w:hint="eastAsia" w:eastAsia="仿宋_GB2312"/>
          <w:sz w:val="32"/>
          <w:szCs w:val="32"/>
        </w:rPr>
        <w:t>致电 举报电话：18922616681</w:t>
      </w:r>
    </w:p>
    <w:p>
      <w:pPr>
        <w:spacing w:line="420" w:lineRule="exact"/>
        <w:rPr>
          <w:rFonts w:hint="eastAsia" w:eastAsia="仿宋_GB2312"/>
          <w:sz w:val="32"/>
          <w:szCs w:val="32"/>
        </w:rPr>
      </w:pPr>
    </w:p>
    <w:p>
      <w:pPr>
        <w:spacing w:line="420" w:lineRule="exact"/>
        <w:ind w:firstLine="565" w:firstLineChars="176"/>
        <w:rPr>
          <w:rFonts w:eastAsia="仿宋_GB2312"/>
          <w:b/>
          <w:sz w:val="32"/>
          <w:szCs w:val="32"/>
        </w:rPr>
      </w:pPr>
      <w:r>
        <w:rPr>
          <w:rFonts w:hint="eastAsia" w:eastAsia="仿宋_GB2312"/>
          <w:b/>
          <w:sz w:val="32"/>
          <w:szCs w:val="32"/>
        </w:rPr>
        <w:t>十</w:t>
      </w:r>
      <w:r>
        <w:rPr>
          <w:rFonts w:hint="eastAsia" w:eastAsia="仿宋_GB2312"/>
          <w:b/>
          <w:sz w:val="32"/>
          <w:szCs w:val="32"/>
          <w:lang w:eastAsia="zh-CN"/>
        </w:rPr>
        <w:t>三</w:t>
      </w:r>
      <w:r>
        <w:rPr>
          <w:rFonts w:hint="eastAsia" w:eastAsia="仿宋_GB2312"/>
          <w:b/>
          <w:sz w:val="32"/>
          <w:szCs w:val="32"/>
        </w:rPr>
        <w:t>、其它</w:t>
      </w:r>
    </w:p>
    <w:p>
      <w:pPr>
        <w:spacing w:line="420" w:lineRule="exact"/>
        <w:ind w:firstLine="563" w:firstLineChars="176"/>
        <w:rPr>
          <w:rFonts w:eastAsia="仿宋_GB2312"/>
          <w:sz w:val="32"/>
          <w:szCs w:val="32"/>
        </w:rPr>
      </w:pPr>
      <w:r>
        <w:rPr>
          <w:rFonts w:hint="eastAsia" w:eastAsia="仿宋_GB2312"/>
          <w:sz w:val="32"/>
          <w:szCs w:val="32"/>
        </w:rPr>
        <w:t>本合同自双</w:t>
      </w:r>
      <w:r>
        <w:rPr>
          <w:rFonts w:eastAsia="仿宋_GB2312"/>
          <w:sz w:val="32"/>
          <w:szCs w:val="32"/>
        </w:rPr>
        <w:t>方盖章</w:t>
      </w:r>
      <w:r>
        <w:rPr>
          <w:rFonts w:hint="eastAsia" w:eastAsia="仿宋_GB2312"/>
          <w:sz w:val="32"/>
          <w:szCs w:val="32"/>
        </w:rPr>
        <w:t>之日起生效，合同所有条款履行完毕即失效，本合同执行期间，双方不得随意变更和解除合同，合同如有未尽事宜，由双方共同协商作出补充规定，补充规定与本合同具有同等法律效力。本合同壹式贰份，双方各执壹份。</w:t>
      </w:r>
    </w:p>
    <w:tbl>
      <w:tblPr>
        <w:tblStyle w:val="1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4638" w:type="dxa"/>
            <w:tcBorders>
              <w:bottom w:val="single" w:color="auto" w:sz="4" w:space="0"/>
            </w:tcBorders>
          </w:tcPr>
          <w:p>
            <w:pPr>
              <w:spacing w:line="420" w:lineRule="exact"/>
              <w:jc w:val="center"/>
              <w:rPr>
                <w:rFonts w:eastAsia="仿宋_GB2312"/>
                <w:sz w:val="28"/>
                <w:szCs w:val="28"/>
              </w:rPr>
            </w:pPr>
            <w:r>
              <w:rPr>
                <w:rFonts w:eastAsia="仿宋_GB2312"/>
                <w:sz w:val="28"/>
                <w:szCs w:val="28"/>
              </w:rPr>
              <w:t>甲方</w:t>
            </w:r>
          </w:p>
          <w:p>
            <w:pPr>
              <w:spacing w:line="420" w:lineRule="exact"/>
              <w:rPr>
                <w:rFonts w:hint="eastAsia" w:eastAsia="仿宋_GB2312"/>
                <w:sz w:val="28"/>
                <w:szCs w:val="28"/>
                <w:lang w:eastAsia="zh-CN"/>
              </w:rPr>
            </w:pPr>
            <w:r>
              <w:rPr>
                <w:rFonts w:eastAsia="仿宋_GB2312"/>
                <w:sz w:val="28"/>
                <w:szCs w:val="28"/>
              </w:rPr>
              <w:t>单位名称：</w:t>
            </w:r>
            <w:r>
              <w:rPr>
                <w:rFonts w:hint="eastAsia" w:eastAsia="仿宋_GB2312"/>
                <w:sz w:val="28"/>
                <w:szCs w:val="28"/>
                <w:lang w:eastAsia="zh-CN"/>
              </w:rPr>
              <w:t>英德市粤北糖业有限公司</w:t>
            </w:r>
          </w:p>
          <w:p>
            <w:pPr>
              <w:spacing w:line="420" w:lineRule="exact"/>
              <w:rPr>
                <w:rFonts w:hint="eastAsia" w:eastAsia="仿宋_GB2312"/>
                <w:sz w:val="28"/>
                <w:szCs w:val="28"/>
              </w:rPr>
            </w:pPr>
            <w:r>
              <w:rPr>
                <w:rFonts w:eastAsia="仿宋_GB2312"/>
                <w:sz w:val="28"/>
                <w:szCs w:val="28"/>
              </w:rPr>
              <w:t>单位地址：</w:t>
            </w:r>
            <w:r>
              <w:rPr>
                <w:rFonts w:hint="eastAsia" w:eastAsia="仿宋_GB2312"/>
                <w:sz w:val="28"/>
                <w:szCs w:val="28"/>
              </w:rPr>
              <w:t>英德市浛洸镇西郊</w:t>
            </w:r>
          </w:p>
          <w:p>
            <w:pPr>
              <w:spacing w:line="420" w:lineRule="exact"/>
              <w:rPr>
                <w:rFonts w:hint="eastAsia" w:eastAsia="仿宋_GB2312"/>
                <w:sz w:val="28"/>
                <w:szCs w:val="28"/>
              </w:rPr>
            </w:pPr>
          </w:p>
          <w:p>
            <w:pPr>
              <w:spacing w:line="420" w:lineRule="exact"/>
              <w:rPr>
                <w:rFonts w:hint="eastAsia" w:eastAsia="仿宋_GB2312"/>
                <w:sz w:val="28"/>
                <w:szCs w:val="28"/>
                <w:lang w:val="en-US" w:eastAsia="zh-CN"/>
              </w:rPr>
            </w:pPr>
            <w:r>
              <w:rPr>
                <w:rFonts w:eastAsia="仿宋_GB2312"/>
                <w:sz w:val="28"/>
                <w:szCs w:val="28"/>
              </w:rPr>
              <w:t>法定代表人：</w:t>
            </w:r>
            <w:r>
              <w:rPr>
                <w:rFonts w:hint="eastAsia" w:eastAsia="仿宋_GB2312"/>
                <w:sz w:val="28"/>
                <w:szCs w:val="28"/>
                <w:lang w:val="en-US" w:eastAsia="zh-CN"/>
              </w:rPr>
              <w:t>冯磊</w:t>
            </w:r>
          </w:p>
          <w:p>
            <w:pPr>
              <w:spacing w:line="420" w:lineRule="exact"/>
              <w:rPr>
                <w:rFonts w:eastAsia="仿宋_GB2312"/>
                <w:sz w:val="28"/>
                <w:szCs w:val="28"/>
              </w:rPr>
            </w:pPr>
            <w:r>
              <w:rPr>
                <w:rFonts w:eastAsia="仿宋_GB2312"/>
                <w:sz w:val="28"/>
                <w:szCs w:val="28"/>
              </w:rPr>
              <w:t>委托代理人：</w:t>
            </w:r>
          </w:p>
          <w:p>
            <w:pPr>
              <w:spacing w:line="420" w:lineRule="exact"/>
              <w:rPr>
                <w:rFonts w:eastAsia="仿宋_GB2312"/>
                <w:sz w:val="28"/>
                <w:szCs w:val="28"/>
              </w:rPr>
            </w:pPr>
            <w:r>
              <w:rPr>
                <w:rFonts w:eastAsia="仿宋_GB2312"/>
                <w:sz w:val="28"/>
                <w:szCs w:val="28"/>
              </w:rPr>
              <w:t>电话号码：</w:t>
            </w:r>
          </w:p>
          <w:p>
            <w:pPr>
              <w:spacing w:line="420" w:lineRule="exact"/>
              <w:rPr>
                <w:rFonts w:eastAsia="仿宋_GB2312"/>
                <w:sz w:val="28"/>
                <w:szCs w:val="28"/>
              </w:rPr>
            </w:pPr>
            <w:r>
              <w:rPr>
                <w:rFonts w:eastAsia="仿宋_GB2312"/>
                <w:sz w:val="28"/>
                <w:szCs w:val="28"/>
              </w:rPr>
              <w:t>传真号码：</w:t>
            </w:r>
          </w:p>
          <w:p>
            <w:pPr>
              <w:spacing w:line="420" w:lineRule="exact"/>
              <w:rPr>
                <w:rFonts w:hint="eastAsia" w:eastAsia="仿宋_GB2312"/>
                <w:sz w:val="28"/>
                <w:szCs w:val="28"/>
                <w:lang w:eastAsia="zh-CN"/>
              </w:rPr>
            </w:pPr>
            <w:r>
              <w:rPr>
                <w:rFonts w:eastAsia="仿宋_GB2312"/>
                <w:sz w:val="28"/>
                <w:szCs w:val="28"/>
              </w:rPr>
              <w:t>开户行：</w:t>
            </w:r>
            <w:r>
              <w:rPr>
                <w:rFonts w:hint="eastAsia" w:eastAsia="仿宋_GB2312"/>
                <w:sz w:val="28"/>
                <w:szCs w:val="28"/>
                <w:lang w:eastAsia="zh-CN"/>
              </w:rPr>
              <w:t xml:space="preserve">中国农业银行英德浛洸支行 </w:t>
            </w:r>
          </w:p>
          <w:p>
            <w:pPr>
              <w:spacing w:line="420" w:lineRule="exact"/>
              <w:rPr>
                <w:rFonts w:hint="eastAsia" w:eastAsia="仿宋_GB2312"/>
                <w:sz w:val="28"/>
                <w:szCs w:val="28"/>
                <w:lang w:eastAsia="zh-CN"/>
              </w:rPr>
            </w:pPr>
          </w:p>
          <w:p>
            <w:pPr>
              <w:spacing w:line="420" w:lineRule="exact"/>
              <w:rPr>
                <w:rFonts w:hint="eastAsia"/>
                <w:sz w:val="28"/>
                <w:szCs w:val="28"/>
              </w:rPr>
            </w:pPr>
            <w:r>
              <w:rPr>
                <w:rFonts w:eastAsia="仿宋_GB2312"/>
                <w:sz w:val="28"/>
                <w:szCs w:val="28"/>
              </w:rPr>
              <w:t>帐号：</w:t>
            </w:r>
            <w:r>
              <w:rPr>
                <w:rFonts w:hint="eastAsia"/>
                <w:sz w:val="28"/>
                <w:szCs w:val="28"/>
              </w:rPr>
              <w:t>44702901040001117</w:t>
            </w:r>
          </w:p>
          <w:p>
            <w:pPr>
              <w:spacing w:line="420" w:lineRule="exact"/>
              <w:rPr>
                <w:rFonts w:eastAsia="仿宋_GB2312"/>
                <w:sz w:val="32"/>
                <w:szCs w:val="32"/>
              </w:rPr>
            </w:pPr>
            <w:r>
              <w:rPr>
                <w:rFonts w:hint="eastAsia" w:eastAsia="仿宋_GB2312"/>
                <w:sz w:val="28"/>
                <w:szCs w:val="28"/>
              </w:rPr>
              <w:t>纳税人识别号:</w:t>
            </w:r>
            <w:r>
              <w:rPr>
                <w:rFonts w:hint="eastAsia"/>
                <w:sz w:val="28"/>
                <w:szCs w:val="28"/>
              </w:rPr>
              <w:t>91441881755626116B</w:t>
            </w:r>
          </w:p>
          <w:p>
            <w:pPr>
              <w:spacing w:line="420" w:lineRule="exact"/>
              <w:rPr>
                <w:rFonts w:eastAsia="仿宋_GB2312"/>
                <w:sz w:val="32"/>
                <w:szCs w:val="32"/>
              </w:rPr>
            </w:pPr>
            <w:r>
              <w:rPr>
                <w:rFonts w:eastAsia="仿宋_GB2312"/>
                <w:sz w:val="28"/>
                <w:szCs w:val="28"/>
              </w:rPr>
              <w:t>签订日期：</w:t>
            </w:r>
            <w:r>
              <w:rPr>
                <w:rFonts w:hint="eastAsia" w:eastAsia="仿宋_GB2312"/>
                <w:sz w:val="28"/>
                <w:szCs w:val="28"/>
                <w:lang w:val="en-US" w:eastAsia="zh-CN"/>
              </w:rPr>
              <w:t xml:space="preserve">  </w:t>
            </w: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w:t>
            </w:r>
            <w:r>
              <w:rPr>
                <w:rFonts w:hint="eastAsia" w:eastAsia="仿宋_GB2312"/>
                <w:sz w:val="28"/>
                <w:szCs w:val="28"/>
                <w:lang w:val="en-US" w:eastAsia="zh-CN"/>
              </w:rPr>
              <w:t xml:space="preserve">  </w:t>
            </w:r>
            <w:r>
              <w:rPr>
                <w:rFonts w:eastAsia="仿宋_GB2312"/>
                <w:sz w:val="28"/>
                <w:szCs w:val="28"/>
              </w:rPr>
              <w:t>日</w:t>
            </w:r>
          </w:p>
        </w:tc>
        <w:tc>
          <w:tcPr>
            <w:tcW w:w="4640" w:type="dxa"/>
            <w:tcBorders>
              <w:bottom w:val="single" w:color="auto" w:sz="4" w:space="0"/>
            </w:tcBorders>
          </w:tcPr>
          <w:p>
            <w:pPr>
              <w:spacing w:line="420" w:lineRule="exact"/>
              <w:jc w:val="center"/>
              <w:rPr>
                <w:rFonts w:eastAsia="仿宋_GB2312"/>
                <w:sz w:val="28"/>
                <w:szCs w:val="28"/>
              </w:rPr>
            </w:pPr>
            <w:r>
              <w:rPr>
                <w:rFonts w:eastAsia="仿宋_GB2312"/>
                <w:sz w:val="28"/>
                <w:szCs w:val="28"/>
              </w:rPr>
              <w:t>乙方</w:t>
            </w:r>
          </w:p>
          <w:p>
            <w:pPr>
              <w:spacing w:line="420" w:lineRule="exact"/>
              <w:rPr>
                <w:rFonts w:hint="eastAsia" w:eastAsia="仿宋_GB2312"/>
                <w:sz w:val="28"/>
                <w:szCs w:val="28"/>
                <w:lang w:eastAsia="zh-CN"/>
              </w:rPr>
            </w:pPr>
            <w:r>
              <w:rPr>
                <w:rFonts w:eastAsia="仿宋_GB2312"/>
                <w:sz w:val="28"/>
                <w:szCs w:val="28"/>
              </w:rPr>
              <w:t>单位名称：</w:t>
            </w:r>
          </w:p>
          <w:p>
            <w:pPr>
              <w:spacing w:line="420" w:lineRule="exact"/>
              <w:rPr>
                <w:rFonts w:hint="eastAsia" w:eastAsia="仿宋_GB2312"/>
                <w:sz w:val="28"/>
                <w:szCs w:val="28"/>
                <w:lang w:eastAsia="zh-CN"/>
              </w:rPr>
            </w:pPr>
            <w:r>
              <w:rPr>
                <w:rFonts w:eastAsia="仿宋_GB2312"/>
                <w:sz w:val="28"/>
                <w:szCs w:val="28"/>
              </w:rPr>
              <w:t>单位地址：</w:t>
            </w:r>
          </w:p>
          <w:p>
            <w:pPr>
              <w:spacing w:line="420" w:lineRule="exact"/>
              <w:rPr>
                <w:rFonts w:hint="eastAsia" w:eastAsia="仿宋_GB2312"/>
                <w:sz w:val="28"/>
                <w:szCs w:val="28"/>
                <w:lang w:eastAsia="zh-CN"/>
              </w:rPr>
            </w:pPr>
            <w:r>
              <w:rPr>
                <w:rFonts w:hint="eastAsia" w:eastAsia="仿宋_GB2312"/>
                <w:sz w:val="28"/>
                <w:szCs w:val="28"/>
                <w:lang w:eastAsia="zh-CN"/>
              </w:rPr>
              <w:t>法定代表人：</w:t>
            </w:r>
          </w:p>
          <w:p>
            <w:pPr>
              <w:spacing w:line="420" w:lineRule="exact"/>
              <w:rPr>
                <w:rFonts w:eastAsia="仿宋_GB2312"/>
                <w:sz w:val="28"/>
                <w:szCs w:val="28"/>
              </w:rPr>
            </w:pPr>
            <w:r>
              <w:rPr>
                <w:rFonts w:eastAsia="仿宋_GB2312"/>
                <w:sz w:val="28"/>
                <w:szCs w:val="28"/>
              </w:rPr>
              <w:t>委托代理人：</w:t>
            </w:r>
          </w:p>
          <w:p>
            <w:pPr>
              <w:spacing w:line="420" w:lineRule="exact"/>
              <w:rPr>
                <w:rFonts w:eastAsia="仿宋_GB2312"/>
                <w:sz w:val="28"/>
                <w:szCs w:val="28"/>
              </w:rPr>
            </w:pPr>
            <w:r>
              <w:rPr>
                <w:rFonts w:eastAsia="仿宋_GB2312"/>
                <w:sz w:val="28"/>
                <w:szCs w:val="28"/>
              </w:rPr>
              <w:t>电话号码：</w:t>
            </w:r>
          </w:p>
          <w:p>
            <w:pPr>
              <w:spacing w:line="420" w:lineRule="exact"/>
              <w:rPr>
                <w:rFonts w:eastAsia="仿宋_GB2312"/>
                <w:sz w:val="28"/>
                <w:szCs w:val="28"/>
              </w:rPr>
            </w:pPr>
            <w:r>
              <w:rPr>
                <w:rFonts w:eastAsia="仿宋_GB2312"/>
                <w:sz w:val="28"/>
                <w:szCs w:val="28"/>
              </w:rPr>
              <w:t>传真号码：</w:t>
            </w:r>
          </w:p>
          <w:p>
            <w:pPr>
              <w:spacing w:line="420" w:lineRule="exact"/>
              <w:rPr>
                <w:rFonts w:hint="eastAsia" w:eastAsia="仿宋_GB2312"/>
                <w:sz w:val="28"/>
                <w:szCs w:val="28"/>
                <w:lang w:eastAsia="zh-CN"/>
              </w:rPr>
            </w:pPr>
            <w:r>
              <w:rPr>
                <w:rFonts w:eastAsia="仿宋_GB2312"/>
                <w:sz w:val="28"/>
                <w:szCs w:val="28"/>
              </w:rPr>
              <w:t>开户行：</w:t>
            </w:r>
          </w:p>
          <w:p>
            <w:pPr>
              <w:spacing w:line="420" w:lineRule="exact"/>
              <w:rPr>
                <w:rFonts w:eastAsia="仿宋_GB2312"/>
                <w:sz w:val="28"/>
                <w:szCs w:val="28"/>
              </w:rPr>
            </w:pPr>
            <w:r>
              <w:rPr>
                <w:rFonts w:eastAsia="仿宋_GB2312"/>
                <w:sz w:val="28"/>
                <w:szCs w:val="28"/>
              </w:rPr>
              <w:t>帐号：</w:t>
            </w:r>
          </w:p>
          <w:p>
            <w:pPr>
              <w:spacing w:line="420" w:lineRule="exact"/>
              <w:rPr>
                <w:rFonts w:eastAsia="仿宋_GB2312"/>
                <w:sz w:val="28"/>
                <w:szCs w:val="28"/>
              </w:rPr>
            </w:pPr>
            <w:r>
              <w:rPr>
                <w:rFonts w:hint="eastAsia" w:eastAsia="仿宋_GB2312"/>
                <w:sz w:val="28"/>
                <w:szCs w:val="28"/>
              </w:rPr>
              <w:t>纳税人识别号：</w:t>
            </w:r>
          </w:p>
          <w:p>
            <w:pPr>
              <w:spacing w:line="420" w:lineRule="exact"/>
              <w:rPr>
                <w:rFonts w:eastAsia="仿宋_GB2312"/>
                <w:sz w:val="32"/>
                <w:szCs w:val="32"/>
              </w:rPr>
            </w:pPr>
            <w:r>
              <w:rPr>
                <w:rFonts w:eastAsia="仿宋_GB2312"/>
                <w:sz w:val="28"/>
                <w:szCs w:val="28"/>
              </w:rPr>
              <w:t>签订日期：</w:t>
            </w:r>
            <w:r>
              <w:rPr>
                <w:rFonts w:hint="eastAsia" w:eastAsia="仿宋_GB2312"/>
                <w:sz w:val="28"/>
                <w:szCs w:val="28"/>
                <w:lang w:val="en-US" w:eastAsia="zh-CN"/>
              </w:rPr>
              <w:t xml:space="preserve">  </w:t>
            </w: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w:t>
            </w:r>
            <w:r>
              <w:rPr>
                <w:rFonts w:hint="eastAsia" w:eastAsia="仿宋_GB2312"/>
                <w:sz w:val="28"/>
                <w:szCs w:val="28"/>
                <w:lang w:val="en-US" w:eastAsia="zh-CN"/>
              </w:rPr>
              <w:t xml:space="preserve">  </w:t>
            </w:r>
            <w:r>
              <w:rPr>
                <w:rFonts w:eastAsia="仿宋_GB2312"/>
                <w:sz w:val="28"/>
                <w:szCs w:val="28"/>
              </w:rPr>
              <w:t>日</w:t>
            </w:r>
          </w:p>
        </w:tc>
      </w:tr>
    </w:tbl>
    <w:p>
      <w:pPr>
        <w:tabs>
          <w:tab w:val="left" w:pos="5325"/>
        </w:tabs>
      </w:pPr>
      <w:r>
        <w:tab/>
      </w:r>
    </w:p>
    <w:p>
      <w:r>
        <w:br w:type="page"/>
      </w:r>
    </w:p>
    <w:tbl>
      <w:tblPr>
        <w:tblStyle w:val="12"/>
        <w:tblW w:w="10262" w:type="dxa"/>
        <w:tblInd w:w="-601" w:type="dxa"/>
        <w:tblLayout w:type="fixed"/>
        <w:tblCellMar>
          <w:top w:w="0" w:type="dxa"/>
          <w:left w:w="108" w:type="dxa"/>
          <w:bottom w:w="0" w:type="dxa"/>
          <w:right w:w="108" w:type="dxa"/>
        </w:tblCellMar>
      </w:tblPr>
      <w:tblGrid>
        <w:gridCol w:w="722"/>
        <w:gridCol w:w="1687"/>
        <w:gridCol w:w="2310"/>
        <w:gridCol w:w="1144"/>
        <w:gridCol w:w="975"/>
        <w:gridCol w:w="1069"/>
        <w:gridCol w:w="1275"/>
        <w:gridCol w:w="1080"/>
      </w:tblGrid>
      <w:tr>
        <w:tblPrEx>
          <w:tblCellMar>
            <w:top w:w="0" w:type="dxa"/>
            <w:left w:w="108" w:type="dxa"/>
            <w:bottom w:w="0" w:type="dxa"/>
            <w:right w:w="108" w:type="dxa"/>
          </w:tblCellMar>
        </w:tblPrEx>
        <w:trPr>
          <w:trHeight w:val="435" w:hRule="atLeast"/>
        </w:trPr>
        <w:tc>
          <w:tcPr>
            <w:tcW w:w="10262"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FF0000"/>
                <w:kern w:val="0"/>
                <w:sz w:val="24"/>
              </w:rPr>
            </w:pPr>
            <w:r>
              <w:rPr>
                <w:rFonts w:hint="eastAsia" w:ascii="宋体" w:hAnsi="宋体" w:cs="宋体"/>
                <w:b/>
                <w:bCs/>
                <w:color w:val="auto"/>
                <w:kern w:val="0"/>
                <w:sz w:val="24"/>
                <w:lang w:eastAsia="zh-CN"/>
              </w:rPr>
              <w:t>定点采购</w:t>
            </w:r>
            <w:r>
              <w:rPr>
                <w:rFonts w:hint="eastAsia" w:ascii="宋体" w:hAnsi="宋体" w:cs="宋体"/>
                <w:b/>
                <w:bCs/>
                <w:color w:val="auto"/>
                <w:kern w:val="0"/>
                <w:sz w:val="24"/>
              </w:rPr>
              <w:t>合同附表</w:t>
            </w:r>
          </w:p>
        </w:tc>
      </w:tr>
      <w:tr>
        <w:tblPrEx>
          <w:tblCellMar>
            <w:top w:w="0" w:type="dxa"/>
            <w:left w:w="108" w:type="dxa"/>
            <w:bottom w:w="0" w:type="dxa"/>
            <w:right w:w="108" w:type="dxa"/>
          </w:tblCellMar>
        </w:tblPrEx>
        <w:trPr>
          <w:trHeight w:val="435" w:hRule="atLeast"/>
        </w:trPr>
        <w:tc>
          <w:tcPr>
            <w:tcW w:w="10262"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b/>
                <w:bCs/>
                <w:color w:val="auto"/>
                <w:kern w:val="0"/>
                <w:sz w:val="20"/>
                <w:szCs w:val="20"/>
                <w:lang w:eastAsia="zh-CN"/>
              </w:rPr>
            </w:pPr>
            <w:r>
              <w:rPr>
                <w:rFonts w:hint="eastAsia" w:ascii="宋体" w:hAnsi="宋体" w:cs="宋体"/>
                <w:b/>
                <w:bCs/>
                <w:color w:val="auto"/>
                <w:kern w:val="0"/>
                <w:sz w:val="20"/>
                <w:szCs w:val="20"/>
                <w:lang w:eastAsia="zh-CN"/>
              </w:rPr>
              <w:t>乙</w:t>
            </w:r>
            <w:r>
              <w:rPr>
                <w:rFonts w:hint="eastAsia" w:ascii="宋体" w:hAnsi="宋体" w:cs="宋体"/>
                <w:b/>
                <w:bCs/>
                <w:color w:val="auto"/>
                <w:kern w:val="0"/>
                <w:sz w:val="20"/>
                <w:szCs w:val="20"/>
              </w:rPr>
              <w:t>方名称：</w:t>
            </w:r>
          </w:p>
        </w:tc>
      </w:tr>
      <w:tr>
        <w:tblPrEx>
          <w:tblCellMar>
            <w:top w:w="0" w:type="dxa"/>
            <w:left w:w="108" w:type="dxa"/>
            <w:bottom w:w="0" w:type="dxa"/>
            <w:right w:w="108" w:type="dxa"/>
          </w:tblCellMar>
        </w:tblPrEx>
        <w:trPr>
          <w:trHeight w:val="420" w:hRule="atLeast"/>
        </w:trPr>
        <w:tc>
          <w:tcPr>
            <w:tcW w:w="10262"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rPr>
              <w:t xml:space="preserve">                                       </w:t>
            </w:r>
            <w:r>
              <w:rPr>
                <w:rFonts w:hint="eastAsia" w:ascii="宋体" w:hAnsi="宋体" w:cs="宋体"/>
                <w:b/>
                <w:bCs/>
                <w:color w:val="auto"/>
                <w:kern w:val="0"/>
                <w:sz w:val="20"/>
                <w:szCs w:val="20"/>
                <w:lang w:val="en-US" w:eastAsia="zh-CN"/>
              </w:rPr>
              <w:t xml:space="preserve">                   </w:t>
            </w:r>
            <w:r>
              <w:rPr>
                <w:rFonts w:hint="eastAsia" w:ascii="宋体" w:hAnsi="宋体" w:cs="宋体"/>
                <w:b/>
                <w:bCs/>
                <w:color w:val="auto"/>
                <w:kern w:val="0"/>
                <w:sz w:val="20"/>
                <w:szCs w:val="20"/>
              </w:rPr>
              <w:t>合同编号：</w:t>
            </w:r>
            <w:r>
              <w:rPr>
                <w:rFonts w:hint="eastAsia" w:eastAsia="仿宋_GB2312"/>
                <w:bCs/>
                <w:sz w:val="22"/>
                <w:szCs w:val="22"/>
                <w:lang w:val="en-US" w:eastAsia="zh-CN"/>
              </w:rPr>
              <w:t>CTYB-SC-CG2024-</w:t>
            </w:r>
          </w:p>
        </w:tc>
      </w:tr>
      <w:tr>
        <w:tblPrEx>
          <w:tblCellMar>
            <w:top w:w="0" w:type="dxa"/>
            <w:left w:w="108" w:type="dxa"/>
            <w:bottom w:w="0" w:type="dxa"/>
            <w:right w:w="108" w:type="dxa"/>
          </w:tblCellMar>
        </w:tblPrEx>
        <w:trPr>
          <w:trHeight w:val="510"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b/>
                <w:bCs/>
                <w:color w:val="auto"/>
                <w:sz w:val="20"/>
                <w:szCs w:val="20"/>
              </w:rPr>
              <w:t>序号</w:t>
            </w:r>
          </w:p>
        </w:tc>
        <w:tc>
          <w:tcPr>
            <w:tcW w:w="1687"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ascii="宋体" w:hAnsi="宋体" w:cs="宋体"/>
                <w:b/>
                <w:bCs/>
                <w:color w:val="auto"/>
                <w:sz w:val="20"/>
                <w:szCs w:val="20"/>
              </w:rPr>
              <w:t>物料代码</w:t>
            </w:r>
          </w:p>
        </w:tc>
        <w:tc>
          <w:tcPr>
            <w:tcW w:w="2310"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ascii="宋体" w:hAnsi="宋体" w:cs="宋体"/>
                <w:b/>
                <w:bCs/>
                <w:color w:val="auto"/>
                <w:sz w:val="20"/>
                <w:szCs w:val="20"/>
              </w:rPr>
              <w:t>产品名称规格型号</w:t>
            </w:r>
          </w:p>
        </w:tc>
        <w:tc>
          <w:tcPr>
            <w:tcW w:w="1144"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b/>
                <w:bCs/>
                <w:color w:val="auto"/>
                <w:sz w:val="20"/>
                <w:szCs w:val="20"/>
              </w:rPr>
              <w:t>单位</w:t>
            </w:r>
          </w:p>
        </w:tc>
        <w:tc>
          <w:tcPr>
            <w:tcW w:w="975"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b/>
                <w:bCs/>
                <w:color w:val="auto"/>
                <w:sz w:val="20"/>
                <w:szCs w:val="20"/>
              </w:rPr>
              <w:t>数量</w:t>
            </w:r>
          </w:p>
        </w:tc>
        <w:tc>
          <w:tcPr>
            <w:tcW w:w="1069"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b/>
                <w:bCs/>
                <w:color w:val="auto"/>
                <w:sz w:val="20"/>
                <w:szCs w:val="20"/>
              </w:rPr>
              <w:t>含税单价</w:t>
            </w:r>
          </w:p>
        </w:tc>
        <w:tc>
          <w:tcPr>
            <w:tcW w:w="1275"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b/>
                <w:bCs/>
                <w:color w:val="auto"/>
                <w:sz w:val="20"/>
                <w:szCs w:val="20"/>
              </w:rPr>
              <w:t>含税金额</w:t>
            </w:r>
          </w:p>
        </w:tc>
        <w:tc>
          <w:tcPr>
            <w:tcW w:w="1080" w:type="dxa"/>
            <w:tcBorders>
              <w:top w:val="nil"/>
              <w:left w:val="nil"/>
              <w:bottom w:val="single" w:color="auto" w:sz="4" w:space="0"/>
              <w:right w:val="single" w:color="auto" w:sz="4" w:space="0"/>
            </w:tcBorders>
            <w:noWrap w:val="0"/>
            <w:vAlign w:val="center"/>
          </w:tcPr>
          <w:p>
            <w:pPr>
              <w:jc w:val="center"/>
              <w:rPr>
                <w:rFonts w:ascii="宋体" w:hAnsi="宋体" w:cs="宋体"/>
                <w:b/>
                <w:bCs/>
                <w:color w:val="auto"/>
                <w:sz w:val="20"/>
                <w:szCs w:val="20"/>
              </w:rPr>
            </w:pPr>
            <w:r>
              <w:rPr>
                <w:rFonts w:hint="eastAsia"/>
                <w:b/>
                <w:bCs/>
                <w:color w:val="auto"/>
                <w:sz w:val="20"/>
                <w:szCs w:val="20"/>
              </w:rPr>
              <w:t>备注</w:t>
            </w:r>
          </w:p>
        </w:tc>
      </w:tr>
      <w:tr>
        <w:tblPrEx>
          <w:tblCellMar>
            <w:top w:w="0" w:type="dxa"/>
            <w:left w:w="108" w:type="dxa"/>
            <w:bottom w:w="0" w:type="dxa"/>
            <w:right w:w="108" w:type="dxa"/>
          </w:tblCellMar>
        </w:tblPrEx>
        <w:trPr>
          <w:trHeight w:val="424"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rPr>
            </w:pPr>
            <w:r>
              <w:rPr>
                <w:rFonts w:hint="eastAsia"/>
                <w:b w:val="0"/>
                <w:bCs w:val="0"/>
                <w:color w:val="auto"/>
                <w:sz w:val="21"/>
                <w:szCs w:val="21"/>
                <w:lang w:val="en-US" w:eastAsia="zh-CN"/>
              </w:rPr>
              <w:t>1</w:t>
            </w:r>
          </w:p>
        </w:tc>
        <w:tc>
          <w:tcPr>
            <w:tcW w:w="168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231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114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69"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b w:val="0"/>
                <w:bCs w:val="0"/>
                <w:color w:val="auto"/>
                <w:sz w:val="36"/>
                <w:szCs w:val="36"/>
                <w:lang w:val="en-US" w:eastAsia="zh-CN"/>
              </w:rPr>
            </w:pPr>
          </w:p>
        </w:tc>
        <w:tc>
          <w:tcPr>
            <w:tcW w:w="12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80" w:type="dxa"/>
            <w:tcBorders>
              <w:top w:val="nil"/>
              <w:left w:val="nil"/>
              <w:bottom w:val="single" w:color="auto" w:sz="4" w:space="0"/>
              <w:right w:val="single" w:color="000000" w:sz="4" w:space="0"/>
            </w:tcBorders>
            <w:noWrap w:val="0"/>
            <w:vAlign w:val="center"/>
          </w:tcPr>
          <w:p>
            <w:pPr>
              <w:jc w:val="center"/>
              <w:rPr>
                <w:rFonts w:hint="eastAsia"/>
                <w:b w:val="0"/>
                <w:bCs w:val="0"/>
                <w:color w:val="auto"/>
                <w:sz w:val="28"/>
                <w:szCs w:val="28"/>
                <w:lang w:val="en-US" w:eastAsia="zh-CN"/>
              </w:rPr>
            </w:pPr>
          </w:p>
        </w:tc>
      </w:tr>
      <w:tr>
        <w:tblPrEx>
          <w:tblCellMar>
            <w:top w:w="0" w:type="dxa"/>
            <w:left w:w="108" w:type="dxa"/>
            <w:bottom w:w="0" w:type="dxa"/>
            <w:right w:w="108" w:type="dxa"/>
          </w:tblCellMar>
        </w:tblPrEx>
        <w:trPr>
          <w:trHeight w:val="410"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lang w:val="en-US" w:eastAsia="zh-CN"/>
              </w:rPr>
            </w:pPr>
            <w:r>
              <w:rPr>
                <w:rFonts w:hint="eastAsia"/>
                <w:b w:val="0"/>
                <w:bCs w:val="0"/>
                <w:color w:val="auto"/>
                <w:sz w:val="21"/>
                <w:szCs w:val="21"/>
                <w:lang w:val="en-US" w:eastAsia="zh-CN"/>
              </w:rPr>
              <w:t>2</w:t>
            </w:r>
          </w:p>
        </w:tc>
        <w:tc>
          <w:tcPr>
            <w:tcW w:w="168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231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114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69"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2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80" w:type="dxa"/>
            <w:tcBorders>
              <w:top w:val="nil"/>
              <w:left w:val="nil"/>
              <w:bottom w:val="single" w:color="auto" w:sz="4" w:space="0"/>
              <w:right w:val="single" w:color="000000" w:sz="4" w:space="0"/>
            </w:tcBorders>
            <w:noWrap w:val="0"/>
            <w:vAlign w:val="center"/>
          </w:tcPr>
          <w:p>
            <w:pPr>
              <w:jc w:val="center"/>
              <w:rPr>
                <w:rFonts w:hint="eastAsia"/>
                <w:b w:val="0"/>
                <w:bCs w:val="0"/>
                <w:color w:val="auto"/>
                <w:sz w:val="28"/>
                <w:szCs w:val="28"/>
                <w:lang w:val="en-US" w:eastAsia="zh-CN"/>
              </w:rPr>
            </w:pPr>
          </w:p>
        </w:tc>
      </w:tr>
      <w:tr>
        <w:tblPrEx>
          <w:tblCellMar>
            <w:top w:w="0" w:type="dxa"/>
            <w:left w:w="108" w:type="dxa"/>
            <w:bottom w:w="0" w:type="dxa"/>
            <w:right w:w="108" w:type="dxa"/>
          </w:tblCellMar>
        </w:tblPrEx>
        <w:trPr>
          <w:trHeight w:val="455"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lang w:val="en-US" w:eastAsia="zh-CN"/>
              </w:rPr>
            </w:pPr>
            <w:r>
              <w:rPr>
                <w:rFonts w:hint="eastAsia"/>
                <w:b w:val="0"/>
                <w:bCs w:val="0"/>
                <w:color w:val="auto"/>
                <w:sz w:val="21"/>
                <w:szCs w:val="21"/>
                <w:lang w:val="en-US" w:eastAsia="zh-CN"/>
              </w:rPr>
              <w:t>3</w:t>
            </w:r>
          </w:p>
        </w:tc>
        <w:tc>
          <w:tcPr>
            <w:tcW w:w="168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231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114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69"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2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80" w:type="dxa"/>
            <w:tcBorders>
              <w:top w:val="nil"/>
              <w:left w:val="nil"/>
              <w:bottom w:val="single" w:color="auto" w:sz="4" w:space="0"/>
              <w:right w:val="single" w:color="000000" w:sz="4" w:space="0"/>
            </w:tcBorders>
            <w:noWrap w:val="0"/>
            <w:vAlign w:val="center"/>
          </w:tcPr>
          <w:p>
            <w:pPr>
              <w:jc w:val="center"/>
              <w:rPr>
                <w:rFonts w:hint="eastAsia"/>
                <w:b w:val="0"/>
                <w:bCs w:val="0"/>
                <w:color w:val="auto"/>
                <w:sz w:val="28"/>
                <w:szCs w:val="28"/>
                <w:lang w:val="en-US" w:eastAsia="zh-CN"/>
              </w:rPr>
            </w:pPr>
          </w:p>
        </w:tc>
      </w:tr>
      <w:tr>
        <w:tblPrEx>
          <w:tblCellMar>
            <w:top w:w="0" w:type="dxa"/>
            <w:left w:w="108" w:type="dxa"/>
            <w:bottom w:w="0" w:type="dxa"/>
            <w:right w:w="108" w:type="dxa"/>
          </w:tblCellMar>
        </w:tblPrEx>
        <w:trPr>
          <w:trHeight w:val="445"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rPr>
            </w:pPr>
            <w:r>
              <w:rPr>
                <w:rFonts w:hint="eastAsia"/>
                <w:b w:val="0"/>
                <w:bCs w:val="0"/>
                <w:color w:val="auto"/>
                <w:sz w:val="21"/>
                <w:szCs w:val="21"/>
                <w:lang w:val="en-US" w:eastAsia="zh-CN"/>
              </w:rPr>
              <w:t>4</w:t>
            </w:r>
          </w:p>
        </w:tc>
        <w:tc>
          <w:tcPr>
            <w:tcW w:w="168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eastAsia="zh-CN"/>
              </w:rPr>
            </w:pPr>
          </w:p>
        </w:tc>
        <w:tc>
          <w:tcPr>
            <w:tcW w:w="231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114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69"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2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80" w:type="dxa"/>
            <w:tcBorders>
              <w:top w:val="nil"/>
              <w:left w:val="nil"/>
              <w:bottom w:val="single" w:color="auto" w:sz="4" w:space="0"/>
              <w:right w:val="single" w:color="000000" w:sz="4" w:space="0"/>
            </w:tcBorders>
            <w:noWrap w:val="0"/>
            <w:vAlign w:val="center"/>
          </w:tcPr>
          <w:p>
            <w:pPr>
              <w:jc w:val="center"/>
              <w:rPr>
                <w:rFonts w:hint="eastAsia"/>
                <w:b w:val="0"/>
                <w:bCs w:val="0"/>
                <w:color w:val="auto"/>
                <w:sz w:val="28"/>
                <w:szCs w:val="28"/>
                <w:lang w:val="en-US" w:eastAsia="zh-CN"/>
              </w:rPr>
            </w:pPr>
          </w:p>
        </w:tc>
      </w:tr>
      <w:tr>
        <w:tblPrEx>
          <w:tblCellMar>
            <w:top w:w="0" w:type="dxa"/>
            <w:left w:w="108" w:type="dxa"/>
            <w:bottom w:w="0" w:type="dxa"/>
            <w:right w:w="108" w:type="dxa"/>
          </w:tblCellMar>
        </w:tblPrEx>
        <w:trPr>
          <w:trHeight w:val="525"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rPr>
            </w:pPr>
            <w:r>
              <w:rPr>
                <w:rFonts w:hint="eastAsia"/>
                <w:b w:val="0"/>
                <w:bCs w:val="0"/>
                <w:color w:val="auto"/>
                <w:sz w:val="21"/>
                <w:szCs w:val="21"/>
                <w:lang w:val="en-US" w:eastAsia="zh-CN"/>
              </w:rPr>
              <w:t>5</w:t>
            </w:r>
          </w:p>
        </w:tc>
        <w:tc>
          <w:tcPr>
            <w:tcW w:w="168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eastAsia="zh-CN"/>
              </w:rPr>
            </w:pPr>
          </w:p>
        </w:tc>
        <w:tc>
          <w:tcPr>
            <w:tcW w:w="231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114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69"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2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80" w:type="dxa"/>
            <w:tcBorders>
              <w:top w:val="nil"/>
              <w:left w:val="nil"/>
              <w:bottom w:val="single" w:color="auto" w:sz="4" w:space="0"/>
              <w:right w:val="single" w:color="000000" w:sz="4" w:space="0"/>
            </w:tcBorders>
            <w:noWrap w:val="0"/>
            <w:vAlign w:val="center"/>
          </w:tcPr>
          <w:p>
            <w:pPr>
              <w:jc w:val="center"/>
              <w:rPr>
                <w:rFonts w:hint="eastAsia"/>
                <w:b w:val="0"/>
                <w:bCs w:val="0"/>
                <w:color w:val="auto"/>
                <w:sz w:val="28"/>
                <w:szCs w:val="28"/>
                <w:lang w:val="en-US" w:eastAsia="zh-CN"/>
              </w:rPr>
            </w:pPr>
          </w:p>
        </w:tc>
      </w:tr>
      <w:tr>
        <w:tblPrEx>
          <w:tblCellMar>
            <w:top w:w="0" w:type="dxa"/>
            <w:left w:w="108" w:type="dxa"/>
            <w:bottom w:w="0" w:type="dxa"/>
            <w:right w:w="108" w:type="dxa"/>
          </w:tblCellMar>
        </w:tblPrEx>
        <w:trPr>
          <w:trHeight w:val="425"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rPr>
            </w:pPr>
            <w:r>
              <w:rPr>
                <w:rFonts w:hint="eastAsia"/>
                <w:b w:val="0"/>
                <w:bCs w:val="0"/>
                <w:color w:val="auto"/>
                <w:sz w:val="21"/>
                <w:szCs w:val="21"/>
                <w:lang w:val="en-US" w:eastAsia="zh-CN"/>
              </w:rPr>
              <w:t>6</w:t>
            </w:r>
          </w:p>
        </w:tc>
        <w:tc>
          <w:tcPr>
            <w:tcW w:w="168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eastAsia="zh-CN"/>
              </w:rPr>
            </w:pPr>
          </w:p>
        </w:tc>
        <w:tc>
          <w:tcPr>
            <w:tcW w:w="231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color w:val="auto"/>
                <w:sz w:val="36"/>
                <w:szCs w:val="36"/>
                <w:lang w:val="en-US" w:eastAsia="zh-CN"/>
              </w:rPr>
            </w:pPr>
          </w:p>
        </w:tc>
        <w:tc>
          <w:tcPr>
            <w:tcW w:w="114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69"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2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b w:val="0"/>
                <w:bCs w:val="0"/>
                <w:color w:val="auto"/>
                <w:sz w:val="36"/>
                <w:szCs w:val="36"/>
                <w:lang w:val="en-US" w:eastAsia="zh-CN"/>
              </w:rPr>
            </w:pPr>
          </w:p>
        </w:tc>
        <w:tc>
          <w:tcPr>
            <w:tcW w:w="1080" w:type="dxa"/>
            <w:tcBorders>
              <w:top w:val="nil"/>
              <w:left w:val="nil"/>
              <w:bottom w:val="single" w:color="auto" w:sz="4" w:space="0"/>
              <w:right w:val="single" w:color="000000" w:sz="4" w:space="0"/>
            </w:tcBorders>
            <w:noWrap w:val="0"/>
            <w:vAlign w:val="center"/>
          </w:tcPr>
          <w:p>
            <w:pPr>
              <w:jc w:val="center"/>
              <w:rPr>
                <w:rFonts w:hint="eastAsia"/>
                <w:b w:val="0"/>
                <w:bCs w:val="0"/>
                <w:color w:val="auto"/>
                <w:sz w:val="28"/>
                <w:szCs w:val="28"/>
                <w:lang w:val="en-US" w:eastAsia="zh-CN"/>
              </w:rPr>
            </w:pPr>
          </w:p>
        </w:tc>
      </w:tr>
      <w:tr>
        <w:tblPrEx>
          <w:tblCellMar>
            <w:top w:w="0" w:type="dxa"/>
            <w:left w:w="108" w:type="dxa"/>
            <w:bottom w:w="0" w:type="dxa"/>
            <w:right w:w="108" w:type="dxa"/>
          </w:tblCellMar>
        </w:tblPrEx>
        <w:trPr>
          <w:trHeight w:val="585" w:hRule="atLeast"/>
        </w:trPr>
        <w:tc>
          <w:tcPr>
            <w:tcW w:w="722" w:type="dxa"/>
            <w:tcBorders>
              <w:top w:val="nil"/>
              <w:left w:val="single" w:color="auto" w:sz="4" w:space="0"/>
              <w:bottom w:val="single" w:color="auto" w:sz="4" w:space="0"/>
              <w:right w:val="single" w:color="auto" w:sz="4" w:space="0"/>
            </w:tcBorders>
            <w:noWrap w:val="0"/>
            <w:vAlign w:val="center"/>
          </w:tcPr>
          <w:p>
            <w:pPr>
              <w:jc w:val="center"/>
              <w:rPr>
                <w:rFonts w:hint="eastAsia"/>
                <w:color w:val="auto"/>
                <w:sz w:val="18"/>
                <w:szCs w:val="18"/>
              </w:rPr>
            </w:pPr>
            <w:r>
              <w:rPr>
                <w:rFonts w:hint="eastAsia" w:ascii="宋体" w:hAnsi="宋体" w:cs="宋体"/>
                <w:b/>
                <w:bCs/>
                <w:color w:val="auto"/>
                <w:kern w:val="0"/>
                <w:sz w:val="20"/>
                <w:szCs w:val="20"/>
              </w:rPr>
              <w:t>合计</w:t>
            </w:r>
          </w:p>
        </w:tc>
        <w:tc>
          <w:tcPr>
            <w:tcW w:w="1687" w:type="dxa"/>
            <w:tcBorders>
              <w:top w:val="nil"/>
              <w:left w:val="nil"/>
              <w:bottom w:val="single" w:color="auto" w:sz="4" w:space="0"/>
              <w:right w:val="single" w:color="auto" w:sz="4" w:space="0"/>
            </w:tcBorders>
            <w:noWrap w:val="0"/>
            <w:vAlign w:val="center"/>
          </w:tcPr>
          <w:p>
            <w:pPr>
              <w:jc w:val="center"/>
              <w:rPr>
                <w:rFonts w:hint="eastAsia"/>
                <w:color w:val="auto"/>
                <w:sz w:val="28"/>
                <w:szCs w:val="28"/>
              </w:rPr>
            </w:pPr>
          </w:p>
        </w:tc>
        <w:tc>
          <w:tcPr>
            <w:tcW w:w="2310" w:type="dxa"/>
            <w:tcBorders>
              <w:top w:val="nil"/>
              <w:left w:val="nil"/>
              <w:bottom w:val="single" w:color="auto" w:sz="4" w:space="0"/>
              <w:right w:val="single" w:color="auto" w:sz="4" w:space="0"/>
            </w:tcBorders>
            <w:noWrap w:val="0"/>
            <w:vAlign w:val="center"/>
          </w:tcPr>
          <w:p>
            <w:pPr>
              <w:jc w:val="center"/>
              <w:rPr>
                <w:rFonts w:hint="eastAsia" w:eastAsia="仿宋_GB2312"/>
                <w:b w:val="0"/>
                <w:bCs w:val="0"/>
                <w:color w:val="auto"/>
                <w:sz w:val="48"/>
                <w:szCs w:val="48"/>
                <w:lang w:val="en-US" w:eastAsia="zh-CN"/>
              </w:rPr>
            </w:pPr>
          </w:p>
        </w:tc>
        <w:tc>
          <w:tcPr>
            <w:tcW w:w="1144" w:type="dxa"/>
            <w:tcBorders>
              <w:top w:val="nil"/>
              <w:left w:val="nil"/>
              <w:bottom w:val="single" w:color="auto" w:sz="4" w:space="0"/>
              <w:right w:val="single" w:color="auto" w:sz="4" w:space="0"/>
            </w:tcBorders>
            <w:noWrap w:val="0"/>
            <w:vAlign w:val="center"/>
          </w:tcPr>
          <w:p>
            <w:pPr>
              <w:jc w:val="center"/>
              <w:rPr>
                <w:rFonts w:hint="eastAsia" w:eastAsia="仿宋_GB2312"/>
                <w:b w:val="0"/>
                <w:bCs w:val="0"/>
                <w:color w:val="auto"/>
                <w:sz w:val="48"/>
                <w:szCs w:val="48"/>
                <w:lang w:val="en-US" w:eastAsia="zh-CN"/>
              </w:rPr>
            </w:pPr>
          </w:p>
        </w:tc>
        <w:tc>
          <w:tcPr>
            <w:tcW w:w="975" w:type="dxa"/>
            <w:tcBorders>
              <w:top w:val="nil"/>
              <w:left w:val="nil"/>
              <w:bottom w:val="single" w:color="auto" w:sz="4" w:space="0"/>
              <w:right w:val="single" w:color="auto" w:sz="4" w:space="0"/>
            </w:tcBorders>
            <w:noWrap w:val="0"/>
            <w:vAlign w:val="center"/>
          </w:tcPr>
          <w:p>
            <w:pPr>
              <w:jc w:val="center"/>
              <w:rPr>
                <w:rFonts w:hint="default"/>
                <w:b w:val="0"/>
                <w:bCs w:val="0"/>
                <w:color w:val="auto"/>
                <w:sz w:val="36"/>
                <w:szCs w:val="36"/>
                <w:lang w:val="en-US" w:eastAsia="zh-CN"/>
              </w:rPr>
            </w:pPr>
          </w:p>
        </w:tc>
        <w:tc>
          <w:tcPr>
            <w:tcW w:w="1069" w:type="dxa"/>
            <w:tcBorders>
              <w:top w:val="nil"/>
              <w:left w:val="nil"/>
              <w:bottom w:val="single" w:color="auto" w:sz="4" w:space="0"/>
              <w:right w:val="single" w:color="auto" w:sz="4" w:space="0"/>
            </w:tcBorders>
            <w:noWrap w:val="0"/>
            <w:vAlign w:val="center"/>
          </w:tcPr>
          <w:p>
            <w:pPr>
              <w:jc w:val="center"/>
              <w:rPr>
                <w:rFonts w:hint="default"/>
                <w:b w:val="0"/>
                <w:bCs w:val="0"/>
                <w:color w:val="auto"/>
                <w:sz w:val="36"/>
                <w:szCs w:val="36"/>
                <w:lang w:val="en-US" w:eastAsia="zh-CN"/>
              </w:rPr>
            </w:pP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b w:val="0"/>
                <w:bCs w:val="0"/>
                <w:color w:val="auto"/>
                <w:sz w:val="36"/>
                <w:szCs w:val="36"/>
                <w:lang w:val="en-US" w:eastAsia="zh-CN"/>
              </w:rPr>
            </w:pPr>
          </w:p>
        </w:tc>
        <w:tc>
          <w:tcPr>
            <w:tcW w:w="1080" w:type="dxa"/>
            <w:tcBorders>
              <w:top w:val="nil"/>
              <w:left w:val="nil"/>
              <w:bottom w:val="single" w:color="auto" w:sz="4" w:space="0"/>
              <w:right w:val="single" w:color="auto" w:sz="4" w:space="0"/>
            </w:tcBorders>
            <w:noWrap w:val="0"/>
            <w:vAlign w:val="center"/>
          </w:tcPr>
          <w:p>
            <w:pPr>
              <w:jc w:val="center"/>
              <w:rPr>
                <w:rFonts w:hint="eastAsia" w:eastAsia="仿宋_GB2312"/>
                <w:color w:val="auto"/>
                <w:sz w:val="40"/>
                <w:szCs w:val="40"/>
                <w:lang w:val="en-US" w:eastAsia="zh-CN"/>
              </w:rPr>
            </w:pPr>
          </w:p>
        </w:tc>
      </w:tr>
      <w:tr>
        <w:tblPrEx>
          <w:tblCellMar>
            <w:top w:w="0" w:type="dxa"/>
            <w:left w:w="108" w:type="dxa"/>
            <w:bottom w:w="0" w:type="dxa"/>
            <w:right w:w="108" w:type="dxa"/>
          </w:tblCellMar>
        </w:tblPrEx>
        <w:trPr>
          <w:trHeight w:val="465" w:hRule="atLeast"/>
        </w:trPr>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含税合同金额大写</w:t>
            </w:r>
          </w:p>
        </w:tc>
        <w:tc>
          <w:tcPr>
            <w:tcW w:w="7853" w:type="dxa"/>
            <w:gridSpan w:val="6"/>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b/>
                <w:bCs/>
                <w:color w:val="auto"/>
                <w:kern w:val="0"/>
                <w:sz w:val="20"/>
                <w:szCs w:val="20"/>
              </w:rPr>
            </w:pPr>
            <w:r>
              <w:rPr>
                <w:rFonts w:hint="eastAsia" w:ascii="宋体" w:hAnsi="宋体" w:eastAsia="宋体" w:cs="宋体"/>
                <w:b/>
                <w:i w:val="0"/>
                <w:color w:val="000000"/>
                <w:kern w:val="0"/>
                <w:sz w:val="21"/>
                <w:szCs w:val="21"/>
                <w:u w:val="none"/>
                <w:lang w:val="en-US" w:eastAsia="zh-CN" w:bidi="ar"/>
              </w:rPr>
              <w:t>整</w:t>
            </w:r>
          </w:p>
        </w:tc>
      </w:tr>
      <w:tr>
        <w:tblPrEx>
          <w:tblCellMar>
            <w:top w:w="0" w:type="dxa"/>
            <w:left w:w="108" w:type="dxa"/>
            <w:bottom w:w="0" w:type="dxa"/>
            <w:right w:w="108" w:type="dxa"/>
          </w:tblCellMar>
        </w:tblPrEx>
        <w:trPr>
          <w:trHeight w:val="1027" w:hRule="atLeast"/>
        </w:trPr>
        <w:tc>
          <w:tcPr>
            <w:tcW w:w="2409"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7853" w:type="dxa"/>
            <w:gridSpan w:val="6"/>
            <w:tcBorders>
              <w:top w:val="single" w:color="auto" w:sz="4" w:space="0"/>
              <w:left w:val="nil"/>
              <w:bottom w:val="single" w:color="auto" w:sz="4" w:space="0"/>
              <w:right w:val="single" w:color="000000" w:sz="4" w:space="0"/>
            </w:tcBorders>
            <w:noWrap w:val="0"/>
            <w:vAlign w:val="center"/>
          </w:tcPr>
          <w:p>
            <w:pPr>
              <w:widowControl/>
              <w:numPr>
                <w:ilvl w:val="0"/>
                <w:numId w:val="0"/>
              </w:numPr>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1、上表中金额为预算金额，实际货款金额的结算按</w:t>
            </w:r>
            <w:r>
              <w:rPr>
                <w:rFonts w:hint="eastAsia" w:ascii="宋体" w:hAnsi="宋体" w:cs="宋体"/>
                <w:b/>
                <w:bCs/>
                <w:color w:val="auto"/>
                <w:kern w:val="0"/>
                <w:sz w:val="20"/>
                <w:szCs w:val="20"/>
                <w:lang w:eastAsia="zh-CN"/>
              </w:rPr>
              <w:t>甲</w:t>
            </w:r>
            <w:r>
              <w:rPr>
                <w:rFonts w:hint="eastAsia" w:ascii="宋体" w:hAnsi="宋体" w:cs="宋体"/>
                <w:b/>
                <w:bCs/>
                <w:color w:val="auto"/>
                <w:kern w:val="0"/>
                <w:sz w:val="20"/>
                <w:szCs w:val="20"/>
              </w:rPr>
              <w:t>方</w:t>
            </w:r>
            <w:r>
              <w:rPr>
                <w:rFonts w:hint="eastAsia" w:ascii="宋体" w:hAnsi="宋体" w:cs="宋体"/>
                <w:b/>
                <w:bCs/>
                <w:color w:val="auto"/>
                <w:kern w:val="0"/>
                <w:sz w:val="20"/>
                <w:szCs w:val="20"/>
                <w:lang w:eastAsia="zh-CN"/>
              </w:rPr>
              <w:t>实际验收入库数量</w:t>
            </w:r>
            <w:r>
              <w:rPr>
                <w:rFonts w:hint="eastAsia" w:ascii="宋体" w:hAnsi="宋体" w:cs="宋体"/>
                <w:b/>
                <w:bCs/>
                <w:color w:val="auto"/>
                <w:kern w:val="0"/>
                <w:sz w:val="20"/>
                <w:szCs w:val="20"/>
              </w:rPr>
              <w:t>及上表单价乘以对应的各种物资</w:t>
            </w: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，再累计总额。</w:t>
            </w:r>
          </w:p>
          <w:p>
            <w:pPr>
              <w:widowControl/>
              <w:numPr>
                <w:ilvl w:val="0"/>
                <w:numId w:val="0"/>
              </w:numPr>
              <w:jc w:val="left"/>
              <w:rPr>
                <w:rFonts w:ascii="宋体" w:hAnsi="宋体" w:cs="宋体"/>
                <w:b/>
                <w:bCs/>
                <w:color w:val="auto"/>
                <w:kern w:val="0"/>
                <w:sz w:val="20"/>
                <w:szCs w:val="20"/>
              </w:rPr>
            </w:pPr>
            <w:r>
              <w:rPr>
                <w:rFonts w:hint="eastAsia" w:ascii="宋体" w:hAnsi="宋体" w:cs="宋体"/>
                <w:b/>
                <w:bCs/>
                <w:color w:val="auto"/>
                <w:kern w:val="0"/>
                <w:sz w:val="20"/>
                <w:szCs w:val="20"/>
                <w:lang w:val="en-US" w:eastAsia="zh-CN"/>
              </w:rPr>
              <w:t>2、</w:t>
            </w:r>
            <w:r>
              <w:rPr>
                <w:rFonts w:hint="eastAsia" w:ascii="宋体" w:hAnsi="宋体" w:cs="宋体"/>
                <w:b/>
                <w:bCs/>
                <w:color w:val="auto"/>
                <w:kern w:val="0"/>
                <w:sz w:val="20"/>
                <w:szCs w:val="20"/>
              </w:rPr>
              <w:t xml:space="preserve">合同期内超过合同量的供货，按合同同等价结算。                                                  </w:t>
            </w:r>
          </w:p>
        </w:tc>
      </w:tr>
    </w:tbl>
    <w:p>
      <w:pPr>
        <w:tabs>
          <w:tab w:val="left" w:pos="5325"/>
        </w:tabs>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九、</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1.报价请选择正确税率</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黄小平</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15816253032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英德市粤北</w:t>
      </w:r>
      <w:r>
        <w:rPr>
          <w:rFonts w:hint="default" w:ascii="Times New Roman" w:hAnsi="Times New Roman" w:eastAsia="仿宋" w:cs="Times New Roman"/>
          <w:sz w:val="32"/>
          <w:szCs w:val="32"/>
        </w:rPr>
        <w:t>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28</w:t>
      </w:r>
      <w:r>
        <w:rPr>
          <w:rFonts w:hint="default" w:ascii="Times New Roman" w:hAnsi="Times New Roman" w:eastAsia="仿宋" w:cs="Times New Roman"/>
          <w:sz w:val="32"/>
          <w:szCs w:val="32"/>
        </w:rPr>
        <w:t>日</w:t>
      </w:r>
    </w:p>
    <w:p>
      <w:pPr>
        <w:pStyle w:val="3"/>
        <w:rPr>
          <w:rFonts w:hint="default"/>
        </w:rPr>
      </w:pP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96C08"/>
    <w:multiLevelType w:val="multilevel"/>
    <w:tmpl w:val="14D96C08"/>
    <w:lvl w:ilvl="0" w:tentative="0">
      <w:start w:val="1"/>
      <w:numFmt w:val="japaneseCounting"/>
      <w:lvlText w:val="（%1）"/>
      <w:lvlJc w:val="left"/>
      <w:pPr>
        <w:tabs>
          <w:tab w:val="left" w:pos="1680"/>
        </w:tabs>
        <w:ind w:left="1680" w:hanging="1080"/>
      </w:pPr>
      <w:rPr>
        <w:rFonts w:hint="eastAsia"/>
        <w:color w:val="auto"/>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45DC6ED9"/>
    <w:multiLevelType w:val="singleLevel"/>
    <w:tmpl w:val="45DC6ED9"/>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TA0ZTcyMzA2NmM1NjUxMTkzZTY1NmU3OTZhNTIifQ=="/>
  </w:docVars>
  <w:rsids>
    <w:rsidRoot w:val="00000000"/>
    <w:rsid w:val="00196C5B"/>
    <w:rsid w:val="00A731DD"/>
    <w:rsid w:val="05CE05D4"/>
    <w:rsid w:val="09E24C3F"/>
    <w:rsid w:val="0D503373"/>
    <w:rsid w:val="11EB52AD"/>
    <w:rsid w:val="16760CB0"/>
    <w:rsid w:val="1699719C"/>
    <w:rsid w:val="1EAF2632"/>
    <w:rsid w:val="213828F8"/>
    <w:rsid w:val="224B26BD"/>
    <w:rsid w:val="25B07058"/>
    <w:rsid w:val="28D46E1C"/>
    <w:rsid w:val="2DA03510"/>
    <w:rsid w:val="2EF92788"/>
    <w:rsid w:val="30054781"/>
    <w:rsid w:val="31382887"/>
    <w:rsid w:val="326A1B73"/>
    <w:rsid w:val="3583388D"/>
    <w:rsid w:val="35B77E4C"/>
    <w:rsid w:val="3958488A"/>
    <w:rsid w:val="3A4E546B"/>
    <w:rsid w:val="3BEF5637"/>
    <w:rsid w:val="3CDB4C00"/>
    <w:rsid w:val="3D534311"/>
    <w:rsid w:val="43FE4DFF"/>
    <w:rsid w:val="46FC0E56"/>
    <w:rsid w:val="47CD238C"/>
    <w:rsid w:val="4A05591A"/>
    <w:rsid w:val="4DF1183F"/>
    <w:rsid w:val="4FA84265"/>
    <w:rsid w:val="4FD1313A"/>
    <w:rsid w:val="53CD0F05"/>
    <w:rsid w:val="55DB05F7"/>
    <w:rsid w:val="56590DEF"/>
    <w:rsid w:val="599E7648"/>
    <w:rsid w:val="5A086996"/>
    <w:rsid w:val="5CB31694"/>
    <w:rsid w:val="5F4D239A"/>
    <w:rsid w:val="621809DE"/>
    <w:rsid w:val="63802CF2"/>
    <w:rsid w:val="64471C00"/>
    <w:rsid w:val="66533321"/>
    <w:rsid w:val="6C2377FC"/>
    <w:rsid w:val="72C90324"/>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2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3600</Words>
  <Characters>3923</Characters>
  <Lines>0</Lines>
  <Paragraphs>0</Paragraphs>
  <TotalTime>2</TotalTime>
  <ScaleCrop>false</ScaleCrop>
  <LinksUpToDate>false</LinksUpToDate>
  <CharactersWithSpaces>4258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A-丘文軍『英甘红糖』</cp:lastModifiedBy>
  <dcterms:modified xsi:type="dcterms:W3CDTF">2024-05-30T11:42:50Z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2797C292F9744F948AC93701CD68E21B_12</vt:lpwstr>
  </property>
</Properties>
</file>