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甜菜糖部八家工厂管道及设备保温集采项目</w:t>
      </w:r>
      <w:r>
        <w:rPr>
          <w:rFonts w:hint="eastAsia" w:ascii="黑体" w:hAnsi="黑体" w:eastAsia="黑体"/>
          <w:sz w:val="44"/>
          <w:szCs w:val="44"/>
        </w:rPr>
        <w:t>询价文件</w:t>
      </w:r>
      <w:bookmarkStart w:id="0" w:name="_Toc18564"/>
      <w:bookmarkStart w:id="1" w:name="_Toc152045512"/>
      <w:bookmarkStart w:id="2" w:name="_Toc144974480"/>
      <w:bookmarkStart w:id="3" w:name="_Toc271905052"/>
      <w:bookmarkStart w:id="4" w:name="_Toc152042288"/>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1、招标条件</w:t>
      </w:r>
      <w:bookmarkEnd w:id="0"/>
      <w:bookmarkEnd w:id="1"/>
      <w:bookmarkEnd w:id="2"/>
      <w:bookmarkEnd w:id="3"/>
      <w:bookmarkEnd w:id="4"/>
      <w:r>
        <w:rPr>
          <w:rFonts w:hint="eastAsia" w:ascii="仿宋_GB2312" w:hAnsi="仿宋_GB2312" w:eastAsia="仿宋_GB2312" w:cs="仿宋_GB2312"/>
          <w:sz w:val="28"/>
          <w:szCs w:val="28"/>
        </w:rPr>
        <w:t>/邀请</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本项目已获批准建设，项目业主为</w:t>
      </w:r>
      <w:r>
        <w:rPr>
          <w:rFonts w:hint="eastAsia" w:ascii="仿宋_GB2312" w:hAnsi="仿宋_GB2312" w:eastAsia="仿宋_GB2312" w:cs="仿宋_GB2312"/>
          <w:sz w:val="28"/>
          <w:szCs w:val="28"/>
          <w:lang w:val="en-US" w:eastAsia="zh-CN"/>
        </w:rPr>
        <w:t>四方、新源、新宁、博州、额敏、焉耆、奇台、昌吉糖业八家</w:t>
      </w:r>
      <w:r>
        <w:rPr>
          <w:rFonts w:hint="eastAsia" w:ascii="仿宋_GB2312" w:hAnsi="仿宋_GB2312" w:eastAsia="仿宋_GB2312" w:cs="仿宋_GB2312"/>
          <w:sz w:val="28"/>
          <w:szCs w:val="28"/>
        </w:rPr>
        <w:t>公司，项目已具备采购条件，邀请合格的投标单位参加项目投标。</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2、资质要求：</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本次采购要求投标人须具备以下资质及业绩，并在人员、设备、资金等方面具有相应的施工能力。</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1)投标人应遵守《中华人民共和国招标投标法》及其它有关的中国法律和法规；</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2)具备合格投标人资格的公司不能将其资格授予下属公司使用参与投标，本次招标不允许联合体参与投标；</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3)在中国境内注册的独立法人，具有独立法人资格，具有有效的营业执照；</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4)没有处于被责令停业，投标资格被取消，财产被接管、冻结，破产状态；</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5)最近三年内没有骗取中标和严重违约及重大工程质量和安全问题；</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6)具有</w:t>
      </w:r>
      <w:r>
        <w:rPr>
          <w:rFonts w:hint="eastAsia" w:ascii="仿宋_GB2312" w:hAnsi="仿宋_GB2312" w:eastAsia="仿宋_GB2312" w:cs="仿宋_GB2312"/>
          <w:sz w:val="28"/>
          <w:szCs w:val="28"/>
          <w:lang w:val="en-US" w:eastAsia="zh-CN"/>
        </w:rPr>
        <w:t>保温相关资质；</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7)投标人应具有类似工程项目业绩且信誉良好。</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8)法定代表人为同一个人的两个及两个以上法人，母公司、全资子公司及其控股公司，都不得同时投标。</w:t>
      </w:r>
    </w:p>
    <w:p>
      <w:pPr>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9）上传系统要求的廉洁承诺书及质量承诺书及其他资质文件。</w:t>
      </w:r>
    </w:p>
    <w:p>
      <w:pPr>
        <w:snapToGrid w:val="0"/>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10）需上传信用中国的信用报告</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3、项目概况与招标范围</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3.1项目名称：甜菜糖部八家工厂管道及设备保温集采项目</w:t>
      </w:r>
    </w:p>
    <w:p>
      <w:pPr>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3.2招标范围、清单、图纸、技术要求：可附页</w:t>
      </w:r>
    </w:p>
    <w:p>
      <w:pPr>
        <w:spacing w:line="360" w:lineRule="auto"/>
        <w:ind w:firstLine="560" w:firstLineChars="20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3.2.1招标范围：本次保温项目招标范围分别以设备类和管道类保温面积单价进行询比价招标，以最低价中标；</w:t>
      </w:r>
    </w:p>
    <w:p>
      <w:pPr>
        <w:spacing w:line="360" w:lineRule="auto"/>
        <w:ind w:firstLine="560" w:firstLineChars="20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3.2.2工程量预计及相关技术要求</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391"/>
        <w:gridCol w:w="1391"/>
        <w:gridCol w:w="1094"/>
        <w:gridCol w:w="1886"/>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预计工程量及相关技术要求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公司名称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管道类总量/㎡</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设备类总量/㎡</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总计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管道保温技术要求</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设备保温技术要求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四方</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1210</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2280</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1.介质温度低于100度，保温厚度5cm，材质硅酸盐针刺毯板，表面0.5cm镀锌铁皮。</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1.介质温度低于100度，保温厚度5cm，材质硅酸盐板，表面0.5cm瓦楞板。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新源</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835.17</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67.97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903.14</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2.介质温度100-300度，保温厚度10cm，材质硅酸盐针刺毯板，表面0.5cm镀锌铁皮。</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2.介质温度100-300度，保温厚度10cm，材质硅酸盐板，表面0.5cm瓦楞板。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新宁</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460.91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153.12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614.03</w:t>
            </w: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介质温度300度-400度，保温厚度15cm，材质硅酸盐针刺毯板，表面0.5cm镀锌铁皮。</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介质温度400度以上，保温厚度20cm，材质硅酸盐针刺毯板，表面0.5cm镀锌铁皮。</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介质温度300-400度以，保温厚度15cm，材质硅酸盐板，表面0.5cm瓦楞板。</w:t>
            </w:r>
          </w:p>
          <w:p>
            <w:pPr>
              <w:keepNext w:val="0"/>
              <w:keepLines w:val="0"/>
              <w:widowControl/>
              <w:numPr>
                <w:ilvl w:val="0"/>
                <w:numId w:val="2"/>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介质温度400度以上，保温厚度20cm，材质硅酸盐板，表面0.5cm瓦楞板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博州</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184.1958</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211.58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395.7758</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额敏</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954.8262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285.206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1240.0322</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焉耆</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1445.45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342.9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1788.35</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奇台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187.8</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288.6</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昌吉</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632.2</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5478.552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2663.576</w:t>
            </w:r>
          </w:p>
        </w:tc>
        <w:tc>
          <w:tcPr>
            <w:tcW w:w="64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8142.128</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8"/>
                <w:szCs w:val="18"/>
                <w:u w:val="none"/>
              </w:rPr>
            </w:pPr>
          </w:p>
        </w:tc>
      </w:tr>
    </w:tbl>
    <w:p>
      <w:pPr>
        <w:spacing w:line="360" w:lineRule="auto"/>
        <w:contextualSpacing/>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3.2.2.1</w:t>
      </w:r>
      <w:r>
        <w:rPr>
          <w:rFonts w:hint="eastAsia" w:ascii="仿宋_GB2312" w:hAnsi="仿宋_GB2312" w:eastAsia="仿宋_GB2312" w:cs="仿宋_GB2312"/>
          <w:sz w:val="28"/>
          <w:szCs w:val="28"/>
        </w:rPr>
        <w:t>保温材料各项性能指标应满足本技术协议书,以及《火力发电厂热力设备和管道保温材料技术条件和检验办法》和《火力发电厂保温油漆设计规程DL/T5072-2019》中的各项技术要求</w:t>
      </w:r>
      <w:r>
        <w:rPr>
          <w:rFonts w:hint="eastAsia" w:ascii="仿宋_GB2312" w:hAnsi="仿宋_GB2312" w:eastAsia="仿宋_GB2312" w:cs="仿宋_GB2312"/>
          <w:sz w:val="28"/>
          <w:szCs w:val="28"/>
          <w:lang w:eastAsia="zh-CN"/>
        </w:rPr>
        <w:t>；</w:t>
      </w:r>
    </w:p>
    <w:p>
      <w:pPr>
        <w:spacing w:line="360" w:lineRule="auto"/>
        <w:contextualSpacing/>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3.2.2.</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热力设备、汽水管道、热风道的保温表面温度，当环境温度小于或等于35℃时，不应超过50℃，当环境温度大于35℃时保温层表面温度不能高于55℃，散热量不超过290w/m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vertAlign w:val="baseline"/>
          <w:lang w:eastAsia="zh-CN"/>
        </w:rPr>
        <w:t>；</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vertAlign w:val="baseline"/>
          <w:lang w:val="en-US" w:eastAsia="zh-CN"/>
        </w:rPr>
        <w:t>3.2.2.3.</w:t>
      </w:r>
      <w:r>
        <w:rPr>
          <w:rFonts w:hint="eastAsia" w:ascii="仿宋_GB2312" w:hAnsi="仿宋_GB2312" w:eastAsia="仿宋_GB2312" w:cs="仿宋_GB2312"/>
          <w:sz w:val="28"/>
          <w:szCs w:val="28"/>
        </w:rPr>
        <w:t>保温材料及其制品应符合下列规定：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主厂房汽水管道、设备保温材料性能表（性能不得低于下表参数）</w:t>
      </w:r>
    </w:p>
    <w:tbl>
      <w:tblPr>
        <w:tblStyle w:val="9"/>
        <w:tblW w:w="0" w:type="auto"/>
        <w:tblInd w:w="93" w:type="dxa"/>
        <w:tblLayout w:type="fixed"/>
        <w:tblCellMar>
          <w:top w:w="0" w:type="dxa"/>
          <w:left w:w="108" w:type="dxa"/>
          <w:bottom w:w="0" w:type="dxa"/>
          <w:right w:w="108" w:type="dxa"/>
        </w:tblCellMar>
      </w:tblPr>
      <w:tblGrid>
        <w:gridCol w:w="848"/>
        <w:gridCol w:w="4041"/>
        <w:gridCol w:w="1222"/>
        <w:gridCol w:w="2209"/>
      </w:tblGrid>
      <w:tr>
        <w:tblPrEx>
          <w:tblCellMar>
            <w:top w:w="0" w:type="dxa"/>
            <w:left w:w="108" w:type="dxa"/>
            <w:bottom w:w="0" w:type="dxa"/>
            <w:right w:w="108" w:type="dxa"/>
          </w:tblCellMar>
        </w:tblPrEx>
        <w:trPr>
          <w:trHeight w:val="375" w:hRule="atLeast"/>
        </w:trPr>
        <w:tc>
          <w:tcPr>
            <w:tcW w:w="83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1硅酸铝制品</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4041"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指标</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密度 </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kg/m3</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96-200　(毯制品128)</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导热系数（平均温度 500℃±20℃）</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W/（m·K）</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0.032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渣球含量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16.3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加热线收缩率（1150℃保持6h）</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3.9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有机物含量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吸湿率</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抗拉强度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MPa</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0.15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氧化铝含量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43.59</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纤维长度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mm</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纤维平均直径</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mm</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3.2</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4041" w:type="dxa"/>
            <w:tcBorders>
              <w:top w:val="nil"/>
              <w:left w:val="nil"/>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最高使用温度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r>
    </w:tbl>
    <w:p>
      <w:pPr>
        <w:spacing w:line="360" w:lineRule="auto"/>
        <w:contextualSpacing/>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3.2.2.</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不燃等级：A级</w:t>
      </w:r>
    </w:p>
    <w:p>
      <w:pPr>
        <w:spacing w:line="360" w:lineRule="auto"/>
        <w:contextualSpacing/>
        <w:rPr>
          <w:rFonts w:hint="eastAsia" w:ascii="仿宋_GB2312" w:hAnsi="仿宋_GB2312" w:eastAsia="仿宋_GB2312" w:cs="仿宋_GB2312"/>
          <w:sz w:val="24"/>
        </w:rPr>
      </w:pPr>
      <w:r>
        <w:rPr>
          <w:rFonts w:hint="eastAsia" w:ascii="仿宋_GB2312" w:hAnsi="仿宋_GB2312" w:eastAsia="仿宋_GB2312" w:cs="仿宋_GB2312"/>
          <w:sz w:val="28"/>
          <w:szCs w:val="28"/>
          <w:lang w:val="en-US" w:eastAsia="zh-CN"/>
        </w:rPr>
        <w:t>3.2.2.</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保温材料的性能(性能不低于下表参数)：</w:t>
      </w:r>
      <w:r>
        <w:rPr>
          <w:rFonts w:hint="eastAsia" w:ascii="仿宋_GB2312" w:hAnsi="仿宋_GB2312" w:eastAsia="仿宋_GB2312" w:cs="仿宋_GB2312"/>
          <w:sz w:val="24"/>
        </w:rPr>
        <w:t xml:space="preserve"> </w:t>
      </w:r>
    </w:p>
    <w:tbl>
      <w:tblPr>
        <w:tblStyle w:val="9"/>
        <w:tblW w:w="829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079"/>
        <w:gridCol w:w="1680"/>
        <w:gridCol w:w="1680"/>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密度(Kg/m3)</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推荐最高使用温度（℃）</w:t>
            </w:r>
          </w:p>
        </w:tc>
        <w:tc>
          <w:tcPr>
            <w:tcW w:w="1680" w:type="dxa"/>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bCs/>
                <w:szCs w:val="21"/>
              </w:rPr>
              <w:t>热导率λ</w:t>
            </w:r>
            <w:r>
              <w:rPr>
                <w:rFonts w:hint="eastAsia" w:ascii="仿宋_GB2312" w:hAnsi="仿宋_GB2312" w:eastAsia="仿宋_GB2312" w:cs="仿宋_GB2312"/>
                <w:bCs/>
                <w:szCs w:val="21"/>
                <w:vertAlign w:val="subscript"/>
              </w:rPr>
              <w:t>0</w:t>
            </w:r>
            <w:r>
              <w:rPr>
                <w:rFonts w:hint="eastAsia" w:ascii="仿宋_GB2312" w:hAnsi="仿宋_GB2312" w:eastAsia="仿宋_GB2312" w:cs="仿宋_GB2312"/>
                <w:bCs/>
                <w:szCs w:val="21"/>
              </w:rPr>
              <w:t>（70℃）W/(M.K)</w:t>
            </w:r>
          </w:p>
        </w:tc>
        <w:tc>
          <w:tcPr>
            <w:tcW w:w="2203"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热导率方程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硅酸铝针丝毯</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64</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0.056</w:t>
            </w:r>
          </w:p>
        </w:tc>
        <w:tc>
          <w:tcPr>
            <w:tcW w:w="2203" w:type="dxa"/>
            <w:vMerge w:val="restart"/>
            <w:vAlign w:val="center"/>
          </w:tcPr>
          <w:p>
            <w:pPr>
              <w:spacing w:line="360" w:lineRule="auto"/>
              <w:contextualSpacing/>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Tm≤400℃时，λ</w:t>
            </w:r>
            <w:r>
              <w:rPr>
                <w:rFonts w:hint="eastAsia" w:ascii="仿宋_GB2312" w:hAnsi="仿宋_GB2312" w:eastAsia="仿宋_GB2312" w:cs="仿宋_GB2312"/>
                <w:bCs/>
                <w:szCs w:val="21"/>
                <w:vertAlign w:val="subscript"/>
              </w:rPr>
              <w:t>l</w:t>
            </w:r>
            <w:r>
              <w:rPr>
                <w:rFonts w:hint="eastAsia" w:ascii="仿宋_GB2312" w:hAnsi="仿宋_GB2312" w:eastAsia="仿宋_GB2312" w:cs="仿宋_GB2312"/>
                <w:bCs/>
                <w:szCs w:val="21"/>
              </w:rPr>
              <w:t>=λ</w:t>
            </w:r>
            <w:r>
              <w:rPr>
                <w:rFonts w:hint="eastAsia" w:ascii="仿宋_GB2312" w:hAnsi="仿宋_GB2312" w:eastAsia="仿宋_GB2312" w:cs="仿宋_GB2312"/>
                <w:bCs/>
                <w:szCs w:val="21"/>
                <w:vertAlign w:val="subscript"/>
              </w:rPr>
              <w:t>0</w:t>
            </w:r>
            <w:r>
              <w:rPr>
                <w:rFonts w:hint="eastAsia" w:ascii="仿宋_GB2312" w:hAnsi="仿宋_GB2312" w:eastAsia="仿宋_GB2312" w:cs="仿宋_GB2312"/>
                <w:bCs/>
                <w:szCs w:val="21"/>
              </w:rPr>
              <w:t>+0.0002(t</w:t>
            </w:r>
            <w:r>
              <w:rPr>
                <w:rFonts w:hint="eastAsia" w:ascii="仿宋_GB2312" w:hAnsi="仿宋_GB2312" w:eastAsia="仿宋_GB2312" w:cs="仿宋_GB2312"/>
                <w:bCs/>
                <w:szCs w:val="21"/>
                <w:vertAlign w:val="subscript"/>
              </w:rPr>
              <w:t>M</w:t>
            </w:r>
            <w:r>
              <w:rPr>
                <w:rFonts w:hint="eastAsia" w:ascii="仿宋_GB2312" w:hAnsi="仿宋_GB2312" w:eastAsia="仿宋_GB2312" w:cs="仿宋_GB2312"/>
                <w:bCs/>
                <w:szCs w:val="21"/>
              </w:rPr>
              <w:t>-70) Tm〉400℃时，λ</w:t>
            </w:r>
            <w:r>
              <w:rPr>
                <w:rFonts w:hint="eastAsia" w:ascii="仿宋_GB2312" w:hAnsi="仿宋_GB2312" w:eastAsia="仿宋_GB2312" w:cs="仿宋_GB2312"/>
                <w:bCs/>
                <w:szCs w:val="21"/>
                <w:vertAlign w:val="subscript"/>
              </w:rPr>
              <w:t>h</w:t>
            </w:r>
            <w:r>
              <w:rPr>
                <w:rFonts w:hint="eastAsia" w:ascii="仿宋_GB2312" w:hAnsi="仿宋_GB2312" w:eastAsia="仿宋_GB2312" w:cs="仿宋_GB2312"/>
                <w:bCs/>
                <w:szCs w:val="21"/>
              </w:rPr>
              <w:t>=λ</w:t>
            </w:r>
            <w:r>
              <w:rPr>
                <w:rFonts w:hint="eastAsia" w:ascii="仿宋_GB2312" w:hAnsi="仿宋_GB2312" w:eastAsia="仿宋_GB2312" w:cs="仿宋_GB2312"/>
                <w:bCs/>
                <w:szCs w:val="21"/>
                <w:vertAlign w:val="subscript"/>
              </w:rPr>
              <w:t>l</w:t>
            </w:r>
            <w:r>
              <w:rPr>
                <w:rFonts w:hint="eastAsia" w:ascii="仿宋_GB2312" w:hAnsi="仿宋_GB2312" w:eastAsia="仿宋_GB2312" w:cs="仿宋_GB2312"/>
                <w:bCs/>
                <w:szCs w:val="21"/>
              </w:rPr>
              <w:t>+0.00036(t</w:t>
            </w:r>
            <w:r>
              <w:rPr>
                <w:rFonts w:hint="eastAsia" w:ascii="仿宋_GB2312" w:hAnsi="仿宋_GB2312" w:eastAsia="仿宋_GB2312" w:cs="仿宋_GB2312"/>
                <w:bCs/>
                <w:szCs w:val="21"/>
                <w:vertAlign w:val="subscript"/>
              </w:rPr>
              <w:t>M</w:t>
            </w:r>
            <w:r>
              <w:rPr>
                <w:rFonts w:hint="eastAsia" w:ascii="仿宋_GB2312" w:hAnsi="仿宋_GB2312" w:eastAsia="仿宋_GB2312" w:cs="仿宋_GB2312"/>
                <w:bCs/>
                <w:szCs w:val="21"/>
              </w:rPr>
              <w:t>-400)（下式中λ</w:t>
            </w:r>
            <w:r>
              <w:rPr>
                <w:rFonts w:hint="eastAsia" w:ascii="仿宋_GB2312" w:hAnsi="仿宋_GB2312" w:eastAsia="仿宋_GB2312" w:cs="仿宋_GB2312"/>
                <w:bCs/>
                <w:szCs w:val="21"/>
                <w:vertAlign w:val="subscript"/>
              </w:rPr>
              <w:t>l</w:t>
            </w:r>
            <w:r>
              <w:rPr>
                <w:rFonts w:hint="eastAsia" w:ascii="仿宋_GB2312" w:hAnsi="仿宋_GB2312" w:eastAsia="仿宋_GB2312" w:cs="仿宋_GB2312"/>
                <w:bCs/>
                <w:szCs w:val="21"/>
              </w:rPr>
              <w:t>取上式tm=400℃时计算结果）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硅酸铝缝毡</w:t>
            </w:r>
            <w:r>
              <w:rPr>
                <w:rFonts w:hint="eastAsia" w:ascii="仿宋_GB2312" w:hAnsi="仿宋_GB2312" w:eastAsia="仿宋_GB2312" w:cs="仿宋_GB2312"/>
                <w:szCs w:val="21"/>
              </w:rPr>
              <w:t xml:space="preserve"> </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96</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0.056</w:t>
            </w:r>
          </w:p>
        </w:tc>
        <w:tc>
          <w:tcPr>
            <w:tcW w:w="2203" w:type="dxa"/>
            <w:vMerge w:val="continue"/>
            <w:vAlign w:val="center"/>
          </w:tcPr>
          <w:p>
            <w:pPr>
              <w:spacing w:line="360" w:lineRule="auto"/>
              <w:contextualSpacing/>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硅酸铝板</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128</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0.056</w:t>
            </w:r>
          </w:p>
        </w:tc>
        <w:tc>
          <w:tcPr>
            <w:tcW w:w="2203" w:type="dxa"/>
            <w:vMerge w:val="continue"/>
            <w:vAlign w:val="center"/>
          </w:tcPr>
          <w:p>
            <w:pPr>
              <w:widowControl/>
              <w:spacing w:line="360" w:lineRule="auto"/>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硅酸铝管壳</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192</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0.056</w:t>
            </w:r>
          </w:p>
        </w:tc>
        <w:tc>
          <w:tcPr>
            <w:tcW w:w="2203" w:type="dxa"/>
            <w:vMerge w:val="continue"/>
            <w:vAlign w:val="center"/>
          </w:tcPr>
          <w:p>
            <w:pPr>
              <w:spacing w:line="360" w:lineRule="auto"/>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硅酸铝纤维绳</w:t>
            </w:r>
          </w:p>
        </w:tc>
        <w:tc>
          <w:tcPr>
            <w:tcW w:w="1079"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450-550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1680" w:type="dxa"/>
            <w:vAlign w:val="center"/>
          </w:tcPr>
          <w:p>
            <w:pPr>
              <w:widowControl/>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0.056</w:t>
            </w:r>
          </w:p>
        </w:tc>
        <w:tc>
          <w:tcPr>
            <w:tcW w:w="2203" w:type="dxa"/>
            <w:vMerge w:val="continue"/>
            <w:vAlign w:val="center"/>
          </w:tcPr>
          <w:p>
            <w:pPr>
              <w:widowControl/>
              <w:spacing w:line="360" w:lineRule="auto"/>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高温玻璃棉</w:t>
            </w:r>
          </w:p>
        </w:tc>
        <w:tc>
          <w:tcPr>
            <w:tcW w:w="1079" w:type="dxa"/>
            <w:vAlign w:val="center"/>
          </w:tcPr>
          <w:p>
            <w:pPr>
              <w:widowControl/>
              <w:spacing w:line="360" w:lineRule="auto"/>
              <w:contextualSpacing/>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48~120</w:t>
            </w:r>
          </w:p>
        </w:tc>
        <w:tc>
          <w:tcPr>
            <w:tcW w:w="1680" w:type="dxa"/>
            <w:vAlign w:val="center"/>
          </w:tcPr>
          <w:p>
            <w:pPr>
              <w:widowControl/>
              <w:spacing w:line="360" w:lineRule="auto"/>
              <w:contextualSpacing/>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350</w:t>
            </w:r>
          </w:p>
        </w:tc>
        <w:tc>
          <w:tcPr>
            <w:tcW w:w="1680" w:type="dxa"/>
          </w:tcPr>
          <w:p>
            <w:pPr>
              <w:widowControl/>
              <w:spacing w:line="360" w:lineRule="auto"/>
              <w:contextualSpacing/>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≤0.041</w:t>
            </w:r>
          </w:p>
        </w:tc>
        <w:tc>
          <w:tcPr>
            <w:tcW w:w="2203" w:type="dxa"/>
            <w:vAlign w:val="center"/>
          </w:tcPr>
          <w:p>
            <w:pPr>
              <w:widowControl/>
              <w:spacing w:line="360" w:lineRule="auto"/>
              <w:contextualSpacing/>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λ=λ</w:t>
            </w:r>
            <w:r>
              <w:rPr>
                <w:rFonts w:hint="eastAsia" w:ascii="仿宋_GB2312" w:hAnsi="仿宋_GB2312" w:eastAsia="仿宋_GB2312" w:cs="仿宋_GB2312"/>
                <w:bCs/>
                <w:szCs w:val="21"/>
                <w:vertAlign w:val="subscript"/>
              </w:rPr>
              <w:t>0</w:t>
            </w:r>
            <w:r>
              <w:rPr>
                <w:rFonts w:hint="eastAsia" w:ascii="仿宋_GB2312" w:hAnsi="仿宋_GB2312" w:eastAsia="仿宋_GB2312" w:cs="仿宋_GB2312"/>
                <w:bCs/>
                <w:szCs w:val="21"/>
              </w:rPr>
              <w:t>+0.00017(T</w:t>
            </w:r>
            <w:r>
              <w:rPr>
                <w:rFonts w:hint="eastAsia" w:ascii="仿宋_GB2312" w:hAnsi="仿宋_GB2312" w:eastAsia="仿宋_GB2312" w:cs="仿宋_GB2312"/>
                <w:bCs/>
                <w:szCs w:val="21"/>
                <w:vertAlign w:val="subscript"/>
              </w:rPr>
              <w:t>M</w:t>
            </w:r>
            <w:r>
              <w:rPr>
                <w:rFonts w:hint="eastAsia" w:ascii="仿宋_GB2312" w:hAnsi="仿宋_GB2312" w:eastAsia="仿宋_GB2312" w:cs="仿宋_GB2312"/>
                <w:bCs/>
                <w:szCs w:val="21"/>
              </w:rPr>
              <w:t>-70)</w:t>
            </w:r>
          </w:p>
        </w:tc>
      </w:tr>
    </w:tbl>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3.2.2.6.</w:t>
      </w:r>
      <w:r>
        <w:rPr>
          <w:rFonts w:hint="eastAsia" w:ascii="仿宋_GB2312" w:hAnsi="仿宋_GB2312" w:eastAsia="仿宋_GB2312" w:cs="仿宋_GB2312"/>
          <w:sz w:val="28"/>
          <w:szCs w:val="28"/>
        </w:rPr>
        <w:t>卖方必须提供保温材料物理化学性能的检验报告，报告必须由国家、部指定的检测机构按国家标准检验而提供的原始文件，包括以下内容：</w:t>
      </w:r>
    </w:p>
    <w:p>
      <w:pPr>
        <w:spacing w:line="360" w:lineRule="auto"/>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1）热导率方程式、图或表；</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2）密度；</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3）最高使用温度；</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4）不燃性；</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5）对硬质保温制品应具有良好的抗拉强度、质量含水率、干燥线收缩率低和抗折强度等，对软质保温材料及其半硬质制品应具有渣球含量低、有机物含量低、干燥线收缩率低、吸湿率低和憎水度高等；</w:t>
      </w:r>
    </w:p>
    <w:p>
      <w:pPr>
        <w:spacing w:line="360" w:lineRule="auto"/>
        <w:contextualSpacing/>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管道保护保温层作为高温管道的外部层面,需要具备较好的防腐、防水、防静电等功能。</w:t>
      </w:r>
    </w:p>
    <w:p>
      <w:pPr>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硅酸铝保温材料的辅助材料钢丝网应为不锈钢材质。</w:t>
      </w:r>
    </w:p>
    <w:p>
      <w:pPr>
        <w:adjustRightInd w:val="0"/>
        <w:spacing w:line="440" w:lineRule="exact"/>
        <w:rPr>
          <w:rFonts w:ascii="仿宋" w:hAnsi="仿宋" w:eastAsia="仿宋" w:cs="仿宋"/>
          <w:b/>
          <w:bCs/>
          <w:spacing w:val="40"/>
          <w:kern w:val="28"/>
          <w:sz w:val="36"/>
          <w:szCs w:val="36"/>
        </w:rPr>
      </w:pPr>
      <w:r>
        <w:rPr>
          <w:rFonts w:hint="eastAsia" w:ascii="仿宋" w:hAnsi="仿宋" w:eastAsia="仿宋" w:cs="仿宋"/>
          <w:b/>
          <w:bCs/>
          <w:spacing w:val="40"/>
          <w:kern w:val="28"/>
          <w:sz w:val="36"/>
          <w:szCs w:val="36"/>
        </w:rPr>
        <w:t>对乙方项目施工要求：</w:t>
      </w:r>
    </w:p>
    <w:p>
      <w:pPr>
        <w:numPr>
          <w:ilvl w:val="0"/>
          <w:numId w:val="0"/>
        </w:numPr>
        <w:adjustRightInd w:val="0"/>
        <w:spacing w:line="440" w:lineRule="exact"/>
        <w:ind w:leftChars="0"/>
        <w:rPr>
          <w:rFonts w:hint="eastAsia" w:ascii="华文仿宋" w:hAnsi="华文仿宋" w:eastAsia="华文仿宋" w:cs="华文仿宋"/>
          <w:color w:val="auto"/>
          <w:kern w:val="0"/>
          <w:sz w:val="30"/>
          <w:szCs w:val="30"/>
          <w:lang w:eastAsia="zh-CN"/>
        </w:rPr>
      </w:pPr>
      <w:r>
        <w:rPr>
          <w:rFonts w:hint="eastAsia" w:ascii="华文仿宋" w:hAnsi="华文仿宋" w:eastAsia="华文仿宋" w:cs="华文仿宋"/>
          <w:color w:val="auto"/>
          <w:kern w:val="0"/>
          <w:sz w:val="30"/>
          <w:szCs w:val="30"/>
          <w:lang w:eastAsia="zh-CN"/>
        </w:rPr>
        <w:t>技术要求：</w:t>
      </w:r>
    </w:p>
    <w:p>
      <w:pPr>
        <w:numPr>
          <w:ilvl w:val="0"/>
          <w:numId w:val="0"/>
        </w:numPr>
        <w:adjustRightInd w:val="0"/>
        <w:spacing w:line="440" w:lineRule="exact"/>
        <w:rPr>
          <w:rFonts w:hint="eastAsia" w:ascii="华文仿宋" w:hAnsi="华文仿宋" w:eastAsia="华文仿宋" w:cs="华文仿宋"/>
          <w:sz w:val="30"/>
          <w:szCs w:val="30"/>
        </w:rPr>
      </w:pPr>
      <w:r>
        <w:rPr>
          <w:rStyle w:val="17"/>
          <w:rFonts w:hint="eastAsia" w:ascii="华文仿宋" w:hAnsi="华文仿宋" w:eastAsia="华文仿宋" w:cs="华文仿宋"/>
          <w:sz w:val="30"/>
          <w:szCs w:val="30"/>
          <w:lang w:val="en-US" w:eastAsia="zh-CN" w:bidi="ar"/>
        </w:rPr>
        <w:t>1）符合国家要求的保温工程技术要求，及相关的国家建筑工程质量、保温工程质量验收标准，及相关行业标准等各项行政管理部门法规要求</w:t>
      </w:r>
    </w:p>
    <w:p>
      <w:pPr>
        <w:adjustRightInd w:val="0"/>
        <w:spacing w:line="440" w:lineRule="exact"/>
        <w:rPr>
          <w:rFonts w:hint="eastAsia" w:ascii="华文仿宋" w:hAnsi="华文仿宋" w:eastAsia="华文仿宋" w:cs="华文仿宋"/>
          <w:b/>
          <w:sz w:val="30"/>
          <w:szCs w:val="30"/>
        </w:rPr>
      </w:pPr>
      <w:r>
        <w:rPr>
          <w:rFonts w:hint="eastAsia" w:ascii="华文仿宋" w:hAnsi="华文仿宋" w:eastAsia="华文仿宋" w:cs="华文仿宋"/>
          <w:color w:val="000000"/>
          <w:sz w:val="30"/>
          <w:szCs w:val="30"/>
          <w:lang w:val="en-US" w:eastAsia="zh-CN"/>
        </w:rPr>
        <w:t>2）</w:t>
      </w:r>
      <w:r>
        <w:rPr>
          <w:rFonts w:hint="eastAsia" w:ascii="华文仿宋" w:hAnsi="华文仿宋" w:eastAsia="华文仿宋" w:cs="华文仿宋"/>
          <w:color w:val="000000"/>
          <w:sz w:val="30"/>
          <w:szCs w:val="30"/>
        </w:rPr>
        <w:t>乙方在施工过程临时拆除的附属件，在项目施工完毕，验收合格后，临时拆除的附属件应全部恢复原状。</w:t>
      </w:r>
    </w:p>
    <w:p>
      <w:pPr>
        <w:numPr>
          <w:ilvl w:val="0"/>
          <w:numId w:val="0"/>
        </w:numPr>
        <w:tabs>
          <w:tab w:val="left" w:pos="756"/>
        </w:tabs>
        <w:spacing w:line="460" w:lineRule="exact"/>
        <w:rPr>
          <w:rFonts w:hint="eastAsia" w:ascii="华文仿宋" w:hAnsi="华文仿宋" w:eastAsia="华文仿宋" w:cs="华文仿宋"/>
          <w:sz w:val="30"/>
          <w:szCs w:val="30"/>
        </w:rPr>
      </w:pPr>
      <w:r>
        <w:rPr>
          <w:rFonts w:hint="eastAsia" w:ascii="华文仿宋" w:hAnsi="华文仿宋" w:eastAsia="华文仿宋" w:cs="华文仿宋"/>
          <w:b w:val="0"/>
          <w:bCs/>
          <w:sz w:val="30"/>
          <w:szCs w:val="30"/>
          <w:u w:val="none"/>
          <w:lang w:val="en-US" w:eastAsia="zh-CN"/>
        </w:rPr>
        <w:t>3）</w:t>
      </w:r>
      <w:r>
        <w:rPr>
          <w:rFonts w:hint="eastAsia" w:ascii="华文仿宋" w:hAnsi="华文仿宋" w:eastAsia="华文仿宋"/>
          <w:sz w:val="30"/>
          <w:szCs w:val="30"/>
        </w:rPr>
        <w:t>采购清单</w:t>
      </w:r>
      <w:r>
        <w:rPr>
          <w:rFonts w:hint="eastAsia" w:ascii="华文仿宋" w:hAnsi="华文仿宋" w:eastAsia="华文仿宋"/>
          <w:sz w:val="30"/>
          <w:szCs w:val="30"/>
          <w:lang w:eastAsia="zh-CN"/>
        </w:rPr>
        <w:t>中所列数量是预估数量</w:t>
      </w:r>
      <w:r>
        <w:rPr>
          <w:rFonts w:hint="eastAsia" w:ascii="华文仿宋" w:hAnsi="华文仿宋" w:eastAsia="华文仿宋"/>
          <w:sz w:val="28"/>
          <w:szCs w:val="28"/>
          <w:lang w:eastAsia="zh-CN"/>
        </w:rPr>
        <w:t>，</w:t>
      </w:r>
      <w:r>
        <w:rPr>
          <w:rFonts w:hint="eastAsia" w:ascii="华文仿宋" w:hAnsi="华文仿宋" w:eastAsia="华文仿宋" w:cs="华文仿宋"/>
          <w:b w:val="0"/>
          <w:bCs/>
          <w:sz w:val="30"/>
          <w:szCs w:val="30"/>
          <w:u w:val="none"/>
          <w:lang w:eastAsia="zh-CN"/>
        </w:rPr>
        <w:t>按照实际施工面积测量后核算</w:t>
      </w:r>
      <w:r>
        <w:rPr>
          <w:rFonts w:hint="eastAsia" w:ascii="华文仿宋" w:hAnsi="华文仿宋" w:eastAsia="华文仿宋" w:cs="华文仿宋"/>
          <w:b w:val="0"/>
          <w:bCs/>
          <w:sz w:val="30"/>
          <w:szCs w:val="30"/>
          <w:u w:val="none"/>
        </w:rPr>
        <w:t xml:space="preserve"> </w:t>
      </w:r>
      <w:r>
        <w:rPr>
          <w:rFonts w:hint="eastAsia" w:ascii="华文仿宋" w:hAnsi="华文仿宋" w:eastAsia="华文仿宋" w:cs="华文仿宋"/>
          <w:b w:val="0"/>
          <w:bCs/>
          <w:sz w:val="30"/>
          <w:szCs w:val="30"/>
          <w:u w:val="none"/>
          <w:lang w:eastAsia="zh-CN"/>
        </w:rPr>
        <w:t>，每平方米价格按照竟标时的价格进行结算。</w:t>
      </w:r>
      <w:r>
        <w:rPr>
          <w:rFonts w:hint="eastAsia" w:ascii="华文仿宋" w:hAnsi="华文仿宋" w:eastAsia="华文仿宋" w:cs="华文仿宋"/>
          <w:b w:val="0"/>
          <w:bCs/>
          <w:sz w:val="30"/>
          <w:szCs w:val="30"/>
          <w:u w:val="none"/>
        </w:rPr>
        <w:t xml:space="preserve"> </w:t>
      </w:r>
    </w:p>
    <w:p>
      <w:pPr>
        <w:pStyle w:val="18"/>
        <w:numPr>
          <w:ilvl w:val="0"/>
          <w:numId w:val="0"/>
        </w:numPr>
        <w:adjustRightInd w:val="0"/>
        <w:ind w:leftChars="0"/>
        <w:jc w:val="left"/>
        <w:rPr>
          <w:rFonts w:ascii="华文仿宋" w:hAnsi="华文仿宋" w:eastAsia="华文仿宋" w:cs="宋体"/>
          <w:sz w:val="30"/>
          <w:szCs w:val="30"/>
        </w:rPr>
      </w:pPr>
      <w:r>
        <w:rPr>
          <w:rFonts w:hint="eastAsia" w:ascii="华文仿宋" w:hAnsi="华文仿宋" w:eastAsia="华文仿宋" w:cs="宋体"/>
          <w:sz w:val="30"/>
          <w:szCs w:val="30"/>
          <w:lang w:val="en-US" w:eastAsia="zh-CN"/>
        </w:rPr>
        <w:t>4）</w:t>
      </w:r>
      <w:r>
        <w:rPr>
          <w:rFonts w:hint="eastAsia" w:ascii="华文仿宋" w:hAnsi="华文仿宋" w:eastAsia="华文仿宋" w:cs="宋体"/>
          <w:sz w:val="30"/>
          <w:szCs w:val="30"/>
        </w:rPr>
        <w:t>本项目施工承包方应设置一名专职安全监护人。</w:t>
      </w:r>
    </w:p>
    <w:p>
      <w:pPr>
        <w:pStyle w:val="18"/>
        <w:widowControl/>
        <w:numPr>
          <w:ilvl w:val="0"/>
          <w:numId w:val="0"/>
        </w:numPr>
        <w:adjustRightInd w:val="0"/>
        <w:ind w:leftChars="0"/>
        <w:jc w:val="left"/>
        <w:rPr>
          <w:rFonts w:ascii="华文仿宋" w:hAnsi="华文仿宋" w:eastAsia="华文仿宋" w:cs="宋体"/>
          <w:color w:val="000000"/>
          <w:sz w:val="30"/>
          <w:szCs w:val="30"/>
        </w:rPr>
      </w:pPr>
      <w:r>
        <w:rPr>
          <w:rFonts w:hint="eastAsia" w:ascii="华文仿宋" w:hAnsi="华文仿宋" w:eastAsia="华文仿宋" w:cs="宋体"/>
          <w:kern w:val="0"/>
          <w:sz w:val="30"/>
          <w:szCs w:val="30"/>
          <w:lang w:val="en-US" w:eastAsia="zh-CN"/>
        </w:rPr>
        <w:t>5）</w:t>
      </w:r>
      <w:r>
        <w:rPr>
          <w:rFonts w:hint="eastAsia" w:ascii="华文仿宋" w:hAnsi="华文仿宋" w:eastAsia="华文仿宋" w:cs="宋体"/>
          <w:kern w:val="0"/>
          <w:sz w:val="30"/>
          <w:szCs w:val="30"/>
        </w:rPr>
        <w:t>本项目承包方应</w:t>
      </w:r>
      <w:r>
        <w:rPr>
          <w:rFonts w:hint="eastAsia" w:ascii="华文仿宋" w:hAnsi="华文仿宋" w:eastAsia="华文仿宋" w:cs="宋体"/>
          <w:kern w:val="0"/>
          <w:sz w:val="30"/>
          <w:szCs w:val="30"/>
          <w:lang w:eastAsia="zh-CN"/>
        </w:rPr>
        <w:t>至少</w:t>
      </w:r>
      <w:r>
        <w:rPr>
          <w:rFonts w:hint="eastAsia" w:ascii="华文仿宋" w:hAnsi="华文仿宋" w:eastAsia="华文仿宋" w:cs="宋体"/>
          <w:kern w:val="0"/>
          <w:sz w:val="30"/>
          <w:szCs w:val="30"/>
        </w:rPr>
        <w:t>安排</w:t>
      </w:r>
      <w:r>
        <w:rPr>
          <w:rFonts w:hint="eastAsia" w:ascii="华文仿宋" w:hAnsi="华文仿宋" w:eastAsia="华文仿宋" w:cs="宋体"/>
          <w:kern w:val="0"/>
          <w:sz w:val="30"/>
          <w:szCs w:val="30"/>
          <w:lang w:val="en-US" w:eastAsia="zh-CN"/>
        </w:rPr>
        <w:t>8-10</w:t>
      </w:r>
      <w:r>
        <w:rPr>
          <w:rFonts w:hint="eastAsia" w:ascii="华文仿宋" w:hAnsi="华文仿宋" w:eastAsia="华文仿宋" w:cs="宋体"/>
          <w:kern w:val="0"/>
          <w:sz w:val="30"/>
          <w:szCs w:val="30"/>
        </w:rPr>
        <w:t>名安装人员进行</w:t>
      </w:r>
      <w:r>
        <w:rPr>
          <w:rFonts w:hint="eastAsia" w:ascii="华文仿宋" w:hAnsi="华文仿宋" w:eastAsia="华文仿宋" w:cs="宋体"/>
          <w:kern w:val="0"/>
          <w:sz w:val="30"/>
          <w:szCs w:val="30"/>
          <w:lang w:val="en-US" w:eastAsia="zh-CN"/>
        </w:rPr>
        <w:t>现场</w:t>
      </w:r>
      <w:r>
        <w:rPr>
          <w:rFonts w:hint="eastAsia" w:ascii="华文仿宋" w:hAnsi="华文仿宋" w:eastAsia="华文仿宋" w:cs="宋体"/>
          <w:kern w:val="0"/>
          <w:sz w:val="30"/>
          <w:szCs w:val="30"/>
        </w:rPr>
        <w:t>施工，确保施工安全和进度。</w:t>
      </w:r>
    </w:p>
    <w:p>
      <w:pPr>
        <w:pStyle w:val="18"/>
        <w:numPr>
          <w:ilvl w:val="0"/>
          <w:numId w:val="0"/>
        </w:numPr>
        <w:spacing w:line="360" w:lineRule="auto"/>
        <w:ind w:leftChars="0"/>
        <w:jc w:val="left"/>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项目</w:t>
      </w:r>
      <w:r>
        <w:rPr>
          <w:rFonts w:ascii="仿宋" w:hAnsi="仿宋" w:eastAsia="仿宋"/>
          <w:sz w:val="30"/>
          <w:szCs w:val="30"/>
        </w:rPr>
        <w:t>完工进行调试，</w:t>
      </w:r>
      <w:r>
        <w:rPr>
          <w:rFonts w:hint="eastAsia" w:ascii="仿宋" w:hAnsi="仿宋" w:eastAsia="仿宋"/>
          <w:sz w:val="30"/>
          <w:szCs w:val="30"/>
          <w:lang w:eastAsia="zh-CN"/>
        </w:rPr>
        <w:t>达到</w:t>
      </w:r>
      <w:r>
        <w:rPr>
          <w:rFonts w:hint="eastAsia" w:ascii="华文仿宋" w:hAnsi="华文仿宋" w:eastAsia="华文仿宋" w:cs="华文仿宋"/>
          <w:color w:val="000000"/>
          <w:sz w:val="30"/>
          <w:szCs w:val="30"/>
        </w:rPr>
        <w:t>国家行业设计技术标准、技术要求及特别约定</w:t>
      </w:r>
      <w:r>
        <w:rPr>
          <w:rFonts w:hint="eastAsia" w:ascii="华文仿宋" w:hAnsi="华文仿宋" w:eastAsia="华文仿宋" w:cs="华文仿宋"/>
          <w:color w:val="000000"/>
          <w:sz w:val="30"/>
          <w:szCs w:val="30"/>
          <w:lang w:eastAsia="zh-CN"/>
        </w:rPr>
        <w:t>标准</w:t>
      </w:r>
      <w:r>
        <w:rPr>
          <w:rFonts w:hint="eastAsia" w:ascii="华文仿宋" w:hAnsi="华文仿宋" w:eastAsia="华文仿宋" w:cs="华文仿宋"/>
          <w:sz w:val="30"/>
          <w:szCs w:val="30"/>
        </w:rPr>
        <w:t>。</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2、</w:t>
      </w:r>
      <w:r>
        <w:rPr>
          <w:rFonts w:hint="eastAsia" w:ascii="华文仿宋" w:hAnsi="华文仿宋" w:eastAsia="华文仿宋" w:cs="宋体"/>
          <w:kern w:val="0"/>
          <w:sz w:val="30"/>
          <w:szCs w:val="30"/>
        </w:rPr>
        <w:t>施工</w:t>
      </w:r>
      <w:r>
        <w:rPr>
          <w:rFonts w:ascii="华文仿宋" w:hAnsi="华文仿宋" w:eastAsia="华文仿宋" w:cs="宋体"/>
          <w:kern w:val="0"/>
          <w:sz w:val="30"/>
          <w:szCs w:val="30"/>
        </w:rPr>
        <w:t>过程安全专项要求：</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1</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特种作业需持证作业；</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2</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作业人员穿戴个体防护用品；</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3</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作业人员拥有人身保险（</w:t>
      </w:r>
      <w:r>
        <w:rPr>
          <w:rFonts w:hint="eastAsia" w:ascii="华文仿宋" w:hAnsi="华文仿宋" w:eastAsia="华文仿宋" w:cs="宋体"/>
          <w:kern w:val="0"/>
          <w:sz w:val="30"/>
          <w:szCs w:val="30"/>
          <w:lang w:val="en-US" w:eastAsia="zh-CN"/>
        </w:rPr>
        <w:t>10</w:t>
      </w:r>
      <w:r>
        <w:rPr>
          <w:rFonts w:ascii="华文仿宋" w:hAnsi="华文仿宋" w:eastAsia="华文仿宋" w:cs="宋体"/>
          <w:kern w:val="0"/>
          <w:sz w:val="30"/>
          <w:szCs w:val="30"/>
        </w:rPr>
        <w:t>0万以上保额）；</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4</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作业人员身体健康（持健康体检证明：无高血压、低血糖、脑梗、心梗等有妨碍作业的禁忌症）；</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5</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作业区域安全警示牌、围挡警戒）；</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6</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完工后必备的安全措施（警示牌、设备防护罩、护栏等）；</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7</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施工垃圾清运出厂；</w:t>
      </w:r>
    </w:p>
    <w:p>
      <w:pPr>
        <w:widowControl/>
        <w:jc w:val="left"/>
        <w:rPr>
          <w:rFonts w:hint="eastAsia" w:ascii="宋体" w:hAnsi="宋体" w:eastAsia="宋体" w:cs="宋体"/>
          <w:color w:val="auto"/>
          <w:kern w:val="0"/>
          <w:sz w:val="20"/>
          <w:szCs w:val="20"/>
        </w:rPr>
      </w:pPr>
      <w:r>
        <w:rPr>
          <w:rFonts w:ascii="华文仿宋" w:hAnsi="华文仿宋" w:eastAsia="华文仿宋" w:cs="宋体"/>
          <w:kern w:val="0"/>
          <w:sz w:val="30"/>
          <w:szCs w:val="30"/>
        </w:rPr>
        <w:t>8</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不得使用国家明令淘汰</w:t>
      </w:r>
      <w:r>
        <w:rPr>
          <w:rFonts w:hint="eastAsia" w:ascii="华文仿宋" w:hAnsi="华文仿宋" w:eastAsia="华文仿宋" w:cs="宋体"/>
          <w:kern w:val="0"/>
          <w:sz w:val="30"/>
          <w:szCs w:val="30"/>
        </w:rPr>
        <w:t>的</w:t>
      </w:r>
      <w:r>
        <w:rPr>
          <w:rFonts w:ascii="华文仿宋" w:hAnsi="华文仿宋" w:eastAsia="华文仿宋" w:cs="宋体"/>
          <w:kern w:val="0"/>
          <w:sz w:val="30"/>
          <w:szCs w:val="30"/>
        </w:rPr>
        <w:t>物品、用具。</w:t>
      </w:r>
    </w:p>
    <w:p>
      <w:pPr>
        <w:widowControl/>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、费用的界定：</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1）项目的申报费、检验费、探伤费由施工方承担。</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2）所有材料的运费由乙方承担。</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3）维修过程中所需辅助材料的费用由施工方承担。</w:t>
      </w:r>
    </w:p>
    <w:p>
      <w:pPr>
        <w:widowControl/>
        <w:jc w:val="left"/>
        <w:rPr>
          <w:rFonts w:hint="eastAsia" w:ascii="仿宋_GB2312" w:hAnsi="仿宋_GB2312" w:eastAsia="仿宋_GB2312" w:cs="仿宋_GB2312"/>
          <w:sz w:val="28"/>
          <w:szCs w:val="28"/>
        </w:rPr>
      </w:pPr>
      <w:r>
        <w:rPr>
          <w:rFonts w:hint="eastAsia" w:ascii="华文仿宋" w:hAnsi="华文仿宋" w:eastAsia="华文仿宋" w:cs="华文仿宋"/>
          <w:color w:val="auto"/>
          <w:kern w:val="0"/>
          <w:sz w:val="30"/>
          <w:szCs w:val="30"/>
          <w:lang w:val="en-US" w:eastAsia="zh-CN"/>
        </w:rPr>
        <w:t>4）</w:t>
      </w:r>
      <w:r>
        <w:rPr>
          <w:rFonts w:hint="eastAsia" w:ascii="华文仿宋" w:hAnsi="华文仿宋" w:eastAsia="华文仿宋" w:cs="华文仿宋"/>
          <w:color w:val="auto"/>
          <w:kern w:val="0"/>
          <w:sz w:val="30"/>
          <w:szCs w:val="30"/>
        </w:rPr>
        <w:t>质量保证：质保期为一年，保修期内所发生的质量问题应无偿修复。</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4.1</w:t>
      </w:r>
      <w:r>
        <w:rPr>
          <w:rFonts w:hint="eastAsia" w:ascii="仿宋_GB2312" w:hAnsi="仿宋_GB2312" w:eastAsia="仿宋_GB2312" w:cs="仿宋_GB2312"/>
          <w:color w:val="000000" w:themeColor="text1"/>
          <w:sz w:val="28"/>
          <w:szCs w:val="28"/>
          <w14:textFill>
            <w14:solidFill>
              <w14:schemeClr w14:val="tx1"/>
            </w14:solidFill>
          </w14:textFill>
        </w:rPr>
        <w:t>项目总工期：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2024年8月初至9月初</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lang w:val="en-US" w:eastAsia="zh-CN"/>
        </w:rPr>
        <w:t>4.2</w:t>
      </w:r>
      <w:r>
        <w:rPr>
          <w:rFonts w:hint="eastAsia" w:ascii="华文仿宋" w:hAnsi="华文仿宋" w:eastAsia="华文仿宋" w:cs="华文仿宋"/>
          <w:color w:val="auto"/>
          <w:kern w:val="0"/>
          <w:sz w:val="30"/>
          <w:szCs w:val="30"/>
        </w:rPr>
        <w:t>甲方不提供住宿条件，乙方自行解决。</w:t>
      </w:r>
    </w:p>
    <w:p>
      <w:pPr>
        <w:widowControl/>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auto"/>
          <w:kern w:val="0"/>
          <w:sz w:val="30"/>
          <w:szCs w:val="30"/>
          <w:lang w:val="en-US" w:eastAsia="zh-CN"/>
        </w:rPr>
        <w:t>4.3</w:t>
      </w:r>
      <w:r>
        <w:rPr>
          <w:rFonts w:hint="eastAsia" w:ascii="华文仿宋" w:hAnsi="华文仿宋" w:eastAsia="华文仿宋" w:cs="华文仿宋"/>
          <w:color w:val="auto"/>
          <w:kern w:val="0"/>
          <w:sz w:val="30"/>
          <w:szCs w:val="30"/>
        </w:rPr>
        <w:t xml:space="preserve">施工完成产生的建筑垃圾乙方必须清理出厂。                                                                                                             </w:t>
      </w:r>
      <w:r>
        <w:rPr>
          <w:rFonts w:hint="eastAsia" w:ascii="华文仿宋" w:hAnsi="华文仿宋" w:eastAsia="华文仿宋" w:cs="华文仿宋"/>
          <w:color w:val="auto"/>
          <w:kern w:val="0"/>
          <w:sz w:val="30"/>
          <w:szCs w:val="30"/>
          <w:lang w:val="en-US" w:eastAsia="zh-CN"/>
        </w:rPr>
        <w:t>4.4</w:t>
      </w:r>
      <w:r>
        <w:rPr>
          <w:rFonts w:hint="eastAsia" w:ascii="华文仿宋" w:hAnsi="华文仿宋" w:eastAsia="华文仿宋" w:cs="华文仿宋"/>
          <w:color w:val="auto"/>
          <w:kern w:val="0"/>
          <w:sz w:val="30"/>
          <w:szCs w:val="30"/>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4.5</w:t>
      </w:r>
      <w:r>
        <w:rPr>
          <w:rFonts w:hint="eastAsia" w:ascii="仿宋_GB2312" w:hAnsi="仿宋_GB2312" w:eastAsia="仿宋_GB2312" w:cs="仿宋_GB2312"/>
          <w:color w:val="000000" w:themeColor="text1"/>
          <w:sz w:val="28"/>
          <w:szCs w:val="28"/>
          <w14:textFill>
            <w14:solidFill>
              <w14:schemeClr w14:val="tx1"/>
            </w14:solidFill>
          </w14:textFill>
        </w:rPr>
        <w:t>施工地点：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四方、新源、新宁、博州、额敏、焉耆、昌吉、奇台糖厂院内</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4.6</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生产技术部：王乾龙15709912176；</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四方糖业：陶伟傧：18999570881；新源糖业李强：18599294360；</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新宁糖业孙斌：13565210952；博州糖业李卫东：18099091313；</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额敏糖业喻彦青13779220692；焉耆糖业李雄伟：15899046540；</w:t>
      </w:r>
    </w:p>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奇台糖业巩静静：13565356003；昌吉糖业剪宏伟：13899696629</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采购方式：询比价</w:t>
      </w:r>
    </w:p>
    <w:p>
      <w:pPr>
        <w:snapToGrid w:val="0"/>
        <w:spacing w:line="360" w:lineRule="auto"/>
        <w:jc w:val="left"/>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定价方式：</w:t>
      </w:r>
      <w:r>
        <w:rPr>
          <w:rFonts w:hint="eastAsia" w:ascii="仿宋_GB2312" w:hAnsi="仿宋_GB2312" w:eastAsia="仿宋_GB2312" w:cs="仿宋_GB2312"/>
          <w:sz w:val="28"/>
          <w:szCs w:val="28"/>
          <w:lang w:val="en-US" w:eastAsia="zh-CN"/>
        </w:rPr>
        <w:t>阶梯性定价，供应商不唯一。</w:t>
      </w:r>
    </w:p>
    <w:p>
      <w:pPr>
        <w:snapToGrid w:val="0"/>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投标保证金：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采购程序：（EPS平台程序）项目审核后发布、供应商编制响应文件、报价响应、谈判/比价、评标、定标、中标通知、履约保证、合同签订、响应不足两家的取得响应审批后执行响应操作。</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报名截止时间：根据EPS时间</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报名地点：EPS</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监督方式：附件2</w:t>
      </w:r>
    </w:p>
    <w:p>
      <w:pPr>
        <w:snapToGrid w:val="0"/>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合同草案：附件3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合同模板</w:t>
      </w:r>
      <w:r>
        <w:rPr>
          <w:rFonts w:hint="eastAsia" w:ascii="仿宋_GB2312" w:hAnsi="仿宋_GB2312" w:eastAsia="仿宋_GB2312" w:cs="仿宋_GB2312"/>
          <w:sz w:val="28"/>
          <w:szCs w:val="28"/>
          <w:lang w:eastAsia="zh-CN"/>
        </w:rPr>
        <w:t>）</w:t>
      </w:r>
    </w:p>
    <w:p>
      <w:pPr>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投标文件上传：</w:t>
      </w:r>
    </w:p>
    <w:p>
      <w:pPr>
        <w:snapToGrid w:val="0"/>
        <w:spacing w:line="360" w:lineRule="auto"/>
        <w:ind w:firstLine="280" w:firstLineChars="100"/>
        <w:jc w:val="left"/>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1）报价按清单格式传盖章报价单。</w:t>
      </w:r>
    </w:p>
    <w:p>
      <w:pPr>
        <w:snapToGrid w:val="0"/>
        <w:spacing w:line="360" w:lineRule="auto"/>
        <w:ind w:firstLine="280" w:firstLineChars="100"/>
        <w:jc w:val="left"/>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2）商务部分按照</w:t>
      </w:r>
      <w:r>
        <w:rPr>
          <w:rFonts w:hint="eastAsia" w:ascii="仿宋_GB2312" w:hAnsi="仿宋_GB2312" w:eastAsia="仿宋_GB2312" w:cs="仿宋_GB2312"/>
          <w:b w:val="0"/>
          <w:bCs/>
          <w:sz w:val="28"/>
          <w:szCs w:val="28"/>
          <w:highlight w:val="none"/>
          <w:lang w:val="en-US" w:eastAsia="zh-CN"/>
        </w:rPr>
        <w:t>询比价招标办法进行对应编制</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后续如有改变可作为谈判附件上传。</w:t>
      </w:r>
    </w:p>
    <w:p>
      <w:pPr>
        <w:snapToGrid w:val="0"/>
        <w:spacing w:line="360" w:lineRule="auto"/>
        <w:ind w:firstLine="280" w:firstLineChars="100"/>
        <w:jc w:val="left"/>
        <w:rPr>
          <w:rFonts w:ascii="华文仿宋" w:hAnsi="华文仿宋" w:eastAsia="华文仿宋" w:cs="宋体"/>
          <w:sz w:val="28"/>
          <w:szCs w:val="28"/>
        </w:rPr>
      </w:pPr>
      <w:r>
        <w:rPr>
          <w:rFonts w:hint="eastAsia" w:ascii="仿宋_GB2312" w:hAnsi="仿宋_GB2312" w:eastAsia="仿宋_GB2312" w:cs="仿宋_GB2312"/>
          <w:b w:val="0"/>
          <w:bCs/>
          <w:sz w:val="28"/>
          <w:szCs w:val="28"/>
          <w:highlight w:val="none"/>
        </w:rPr>
        <w:t>3）后续谈判的每轮报价单都必须加盖公章。</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hint="eastAsia" w:ascii="华文仿宋" w:hAnsi="华文仿宋" w:eastAsia="华文仿宋" w:cs="宋体"/>
          <w:sz w:val="28"/>
          <w:szCs w:val="28"/>
          <w:lang w:val="en-US" w:eastAsia="zh-CN"/>
        </w:rPr>
        <w:t>1</w:t>
      </w:r>
      <w:r>
        <w:rPr>
          <w:rFonts w:hint="eastAsia" w:ascii="华文仿宋" w:hAnsi="华文仿宋" w:eastAsia="华文仿宋" w:cs="宋体"/>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hint="eastAsia" w:ascii="华文仿宋" w:hAnsi="华文仿宋" w:eastAsia="华文仿宋" w:cs="宋体"/>
          <w:sz w:val="28"/>
          <w:szCs w:val="28"/>
          <w:lang w:val="en-US" w:eastAsia="zh-CN"/>
        </w:rPr>
        <w:t>2</w:t>
      </w:r>
      <w:r>
        <w:rPr>
          <w:rFonts w:hint="eastAsia" w:ascii="华文仿宋" w:hAnsi="华文仿宋" w:eastAsia="华文仿宋" w:cs="宋体"/>
          <w:sz w:val="28"/>
          <w:szCs w:val="28"/>
        </w:rPr>
        <w:t>：合同草案</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lang w:val="en-US" w:eastAsia="zh-CN"/>
        </w:rPr>
        <w:t>3</w:t>
      </w:r>
      <w:r>
        <w:rPr>
          <w:rFonts w:hint="eastAsia" w:ascii="华文仿宋" w:hAnsi="华文仿宋" w:eastAsia="华文仿宋" w:cs="宋体"/>
          <w:sz w:val="28"/>
          <w:szCs w:val="28"/>
        </w:rPr>
        <w:t>：安全协议</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lang w:val="en-US" w:eastAsia="zh-CN"/>
        </w:rPr>
        <w:t>4</w:t>
      </w:r>
      <w:r>
        <w:rPr>
          <w:rFonts w:hint="eastAsia" w:ascii="华文仿宋" w:hAnsi="华文仿宋" w:eastAsia="华文仿宋" w:cs="宋体"/>
          <w:sz w:val="28"/>
          <w:szCs w:val="28"/>
        </w:rPr>
        <w:t>：环保协议</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hint="eastAsia" w:ascii="华文仿宋" w:hAnsi="华文仿宋" w:eastAsia="华文仿宋" w:cs="宋体"/>
          <w:sz w:val="28"/>
          <w:szCs w:val="28"/>
          <w:lang w:val="en-US" w:eastAsia="zh-CN"/>
        </w:rPr>
        <w:t>1</w:t>
      </w:r>
      <w:r>
        <w:rPr>
          <w:rFonts w:hint="eastAsia" w:ascii="华文仿宋" w:hAnsi="华文仿宋" w:eastAsia="华文仿宋" w:cs="宋体"/>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一、寄信</w:t>
      </w:r>
      <w:r>
        <w:rPr>
          <w:rFonts w:ascii="华文仿宋" w:hAnsi="华文仿宋" w:eastAsia="华文仿宋" w:cs="宋体"/>
          <w:sz w:val="28"/>
          <w:szCs w:val="28"/>
        </w:rPr>
        <w:t xml:space="preserve"> 通信地址：北京市朝阳区朝阳门南大街8号中粮福临门大厦9层905房间，中粮糖业纪委办公室收，邮编100020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二、致电</w:t>
      </w:r>
      <w:r>
        <w:rPr>
          <w:rFonts w:ascii="华文仿宋" w:hAnsi="华文仿宋" w:eastAsia="华文仿宋" w:cs="宋体"/>
          <w:sz w:val="28"/>
          <w:szCs w:val="28"/>
        </w:rPr>
        <w:t xml:space="preserve"> 举报电话：010-85017235。</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三、采购项目监督人员联系方式</w:t>
      </w:r>
    </w:p>
    <w:p>
      <w:pPr>
        <w:snapToGrid w:val="0"/>
        <w:spacing w:line="360" w:lineRule="auto"/>
        <w:jc w:val="left"/>
        <w:rPr>
          <w:rFonts w:hint="eastAsia" w:ascii="华文仿宋" w:hAnsi="华文仿宋" w:eastAsia="华文仿宋" w:cs="宋体"/>
          <w:sz w:val="28"/>
          <w:szCs w:val="28"/>
          <w:lang w:val="en-US"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val="en-US" w:eastAsia="zh-CN"/>
        </w:rPr>
        <w:t>姜欢</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联系电话：15894688905</w:t>
      </w:r>
    </w:p>
    <w:p>
      <w:pPr>
        <w:snapToGrid w:val="0"/>
        <w:spacing w:line="360" w:lineRule="auto"/>
        <w:jc w:val="left"/>
      </w:pPr>
      <w:r>
        <w:rPr>
          <w:rFonts w:hint="eastAsia" w:ascii="华文仿宋" w:hAnsi="华文仿宋" w:eastAsia="华文仿宋" w:cs="宋体"/>
          <w:sz w:val="28"/>
          <w:szCs w:val="28"/>
        </w:rPr>
        <w:t>电子邮箱：jianghuan@cofco.com</w:t>
      </w: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2</w:t>
      </w:r>
      <w:r>
        <w:rPr>
          <w:rFonts w:hint="eastAsia" w:ascii="仿宋_GB2312" w:hAnsi="仿宋_GB2312" w:eastAsia="仿宋_GB2312" w:cs="仿宋_GB2312"/>
          <w:sz w:val="28"/>
          <w:szCs w:val="32"/>
        </w:rPr>
        <w:t>：合同草案</w:t>
      </w:r>
    </w:p>
    <w:p>
      <w:pPr>
        <w:spacing w:line="460" w:lineRule="exact"/>
        <w:rPr>
          <w:rFonts w:hint="eastAsia" w:ascii="仿宋_GB2312" w:eastAsia="仿宋_GB2312"/>
          <w:b/>
          <w:color w:val="000000"/>
          <w:sz w:val="28"/>
          <w:szCs w:val="28"/>
        </w:rPr>
      </w:pPr>
      <w:r>
        <w:rPr>
          <w:color w:val="000000"/>
        </w:rPr>
        <w:drawing>
          <wp:inline distT="0" distB="0" distL="114300" distR="114300">
            <wp:extent cx="9119870" cy="89090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9119870" cy="890905"/>
                    </a:xfrm>
                    <a:prstGeom prst="rect">
                      <a:avLst/>
                    </a:prstGeom>
                    <a:noFill/>
                    <a:ln>
                      <a:noFill/>
                    </a:ln>
                  </pic:spPr>
                </pic:pic>
              </a:graphicData>
            </a:graphic>
          </wp:inline>
        </w:drawing>
      </w:r>
    </w:p>
    <w:p>
      <w:pPr>
        <w:spacing w:line="460" w:lineRule="exact"/>
        <w:jc w:val="center"/>
        <w:rPr>
          <w:rFonts w:hint="eastAsia" w:ascii="黑体" w:eastAsia="黑体"/>
          <w:b/>
          <w:color w:val="000000"/>
          <w:sz w:val="40"/>
          <w:szCs w:val="28"/>
        </w:rPr>
      </w:pPr>
      <w:r>
        <w:rPr>
          <w:rFonts w:hint="eastAsia" w:ascii="黑体" w:eastAsia="黑体"/>
          <w:b/>
          <w:color w:val="000000"/>
          <w:sz w:val="40"/>
          <w:szCs w:val="28"/>
          <w:lang w:val="en-US" w:eastAsia="zh-CN"/>
        </w:rPr>
        <w:t>甜菜糖部</w:t>
      </w:r>
      <w:r>
        <w:rPr>
          <w:rFonts w:hint="eastAsia" w:ascii="黑体" w:eastAsia="黑体"/>
          <w:b/>
          <w:color w:val="000000"/>
          <w:sz w:val="40"/>
          <w:szCs w:val="28"/>
        </w:rPr>
        <w:t>项目合同</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  </w:t>
      </w:r>
      <w:r>
        <w:rPr>
          <w:rFonts w:hint="eastAsia" w:ascii="仿宋_GB2312" w:eastAsia="仿宋_GB2312"/>
          <w:b/>
          <w:bCs/>
          <w:color w:val="000000"/>
          <w:sz w:val="28"/>
          <w:szCs w:val="28"/>
        </w:rPr>
        <w:t>年  月   日</w:t>
      </w:r>
    </w:p>
    <w:p>
      <w:pPr>
        <w:spacing w:line="460" w:lineRule="exact"/>
        <w:ind w:left="4536" w:leftChars="2160"/>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。（请根据合同实际情况勾选）。</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pPr>
        <w:tabs>
          <w:tab w:val="left" w:pos="900"/>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pPr>
        <w:widowControl/>
        <w:spacing w:line="460" w:lineRule="exact"/>
        <w:rPr>
          <w:rFonts w:hint="eastAsia" w:ascii="仿宋_GB2312" w:eastAsia="仿宋_GB2312"/>
          <w:b/>
          <w:color w:val="000000"/>
          <w:sz w:val="28"/>
          <w:szCs w:val="28"/>
        </w:rPr>
      </w:pPr>
      <w:r>
        <w:rPr>
          <w:rFonts w:hint="eastAsia" w:ascii="仿宋_GB2312" w:eastAsia="仿宋_GB2312"/>
          <w:b/>
          <w:color w:val="000000"/>
          <w:sz w:val="28"/>
          <w:szCs w:val="28"/>
        </w:rPr>
        <w:t>付款方式：</w:t>
      </w:r>
    </w:p>
    <w:p>
      <w:pPr>
        <w:widowControl/>
        <w:tabs>
          <w:tab w:val="left" w:pos="0"/>
        </w:tabs>
        <w:spacing w:line="460" w:lineRule="exact"/>
        <w:jc w:val="left"/>
        <w:rPr>
          <w:rFonts w:hint="eastAsia"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pPr>
        <w:widowControl/>
        <w:spacing w:line="460" w:lineRule="exact"/>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项目施工设备、施工材料、人员进场，乙方需提供相关材料的材质检验合格证书给甲方，所有资料必须盖有公章。材料验收合格后并提供对应付款比例的金额发票后，甲方以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w:t>
      </w:r>
    </w:p>
    <w:p>
      <w:pPr>
        <w:widowControl/>
        <w:spacing w:line="460" w:lineRule="exact"/>
        <w:rPr>
          <w:rFonts w:hint="eastAsia" w:ascii="仿宋_GB2312" w:eastAsia="仿宋_GB2312"/>
          <w:color w:val="000000"/>
          <w:sz w:val="28"/>
          <w:szCs w:val="28"/>
        </w:rPr>
      </w:pPr>
      <w:r>
        <w:rPr>
          <w:rFonts w:hint="eastAsia" w:ascii="仿宋_GB2312" w:eastAsia="仿宋_GB2312"/>
          <w:color w:val="000000"/>
          <w:sz w:val="28"/>
          <w:szCs w:val="28"/>
        </w:rPr>
        <w:t>3.在项目完工验收之后，正常使用一个月，经验收后无质量问题，乙方向甲方提供合同金额的全额增值税专用发票，甲方以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方式按批复的资金计划支付给乙方合同总价的【】%，即【】元；在工结算审核中介机构出具工程结算审核定案表之前，累计付款额不超过总价</w:t>
      </w:r>
      <w:r>
        <w:rPr>
          <w:rFonts w:ascii="仿宋_GB2312" w:eastAsia="仿宋_GB2312"/>
          <w:color w:val="000000"/>
          <w:sz w:val="28"/>
          <w:szCs w:val="28"/>
        </w:rPr>
        <w:t>80%。</w:t>
      </w:r>
    </w:p>
    <w:p>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在工程结算审核中介机构出具工程结算审核定案表之后，甲方以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方式按审定金额的【】%即【】元（累计付款额不超过审定金额的9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%）支付给乙方，扣除已付金额后的余额向乙方付款，付款之前乙方须按审定金额向甲方补足全额合法合规的增值税专用发票；</w:t>
      </w:r>
    </w:p>
    <w:p>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质保金：剩余款项作为质保金【3】</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开票期间如遇国家政策调整增值税税率，以合同中不含税金额为基数，按照适用税率调整结算金额和开票金额。</w:t>
      </w:r>
    </w:p>
    <w:p>
      <w:pPr>
        <w:widowControl/>
        <w:tabs>
          <w:tab w:val="left" w:pos="0"/>
        </w:tabs>
        <w:spacing w:line="460" w:lineRule="exact"/>
        <w:rPr>
          <w:rFonts w:hint="eastAsia" w:ascii="仿宋_GB2312" w:eastAsia="仿宋_GB2312"/>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382"/>
        <w:gridCol w:w="1382"/>
        <w:gridCol w:w="1104"/>
        <w:gridCol w:w="1891"/>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预计工程量及相关技术要求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公司名称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管道类总量/㎡</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设备类总量/㎡</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总计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管道保温技术要求</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设备保温技术要求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四方</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1210</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1070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2280</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1.介质温度低于100度，保温厚度5cm，材质硅酸盐针刺毯板，表面0.5cm镀锌铁皮。</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1.介质温度低于100度，保温厚度5cm，材质硅酸盐板，表面0.5cm瓦楞板（颜色根据实际选用）。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新源</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835.17</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67.97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903.14</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2.介质温度100-300度，保温厚度10cm，材质硅酸盐针刺毯板，表面0.5cm镀锌铁皮。</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2.介质温度100-300度，保温厚度10cm，材质硅酸盐板，表面0.5cm瓦楞板（颜色根据实际选用）。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新宁</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460.91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153.12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614.03</w:t>
            </w: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介质温度300-400度，保温厚度15cm，材质硅酸盐针刺毯板，表面0.5cm镀锌铁皮。</w:t>
            </w:r>
          </w:p>
          <w:p>
            <w:pPr>
              <w:keepNext w:val="0"/>
              <w:keepLines w:val="0"/>
              <w:widowControl/>
              <w:numPr>
                <w:ilvl w:val="0"/>
                <w:numId w:val="4"/>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介质温度400度以上，保温厚度20cm，材质硅酸盐针刺毯板，表面0.5cm镀锌铁皮。</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介质温度300度-400度，保温厚度15cm，材质硅酸盐板，表面0.5cm瓦楞板（颜色根据实际选用）。</w:t>
            </w:r>
          </w:p>
          <w:p>
            <w:pPr>
              <w:keepNext w:val="0"/>
              <w:keepLines w:val="0"/>
              <w:widowControl/>
              <w:numPr>
                <w:ilvl w:val="0"/>
                <w:numId w:val="5"/>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介质温度400度以上，保温厚度20cm，材质硅酸盐针刺毯板，表面0.5cm镀锌铁皮。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博州</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184.1958</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211.58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395.7758</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额敏</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954.8262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285.206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1240.0322</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焉耆</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1445.45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342.9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1788.35</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奇台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187.8</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288.6</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昌吉</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632.2</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5478.552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2663.576</w:t>
            </w:r>
          </w:p>
        </w:tc>
        <w:tc>
          <w:tcPr>
            <w:tcW w:w="64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8142.128</w:t>
            </w: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bl>
    <w:p>
      <w:pPr>
        <w:tabs>
          <w:tab w:val="left" w:pos="1004"/>
        </w:tabs>
        <w:spacing w:line="460" w:lineRule="exact"/>
        <w:rPr>
          <w:rFonts w:hint="eastAsia" w:ascii="仿宋_GB2312" w:eastAsia="仿宋_GB2312"/>
          <w:b/>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pPr>
        <w:spacing w:line="360" w:lineRule="auto"/>
        <w:contextualSpacing/>
        <w:rPr>
          <w:rFonts w:hint="eastAsia" w:eastAsiaTheme="minorEastAsia"/>
          <w:sz w:val="24"/>
          <w:lang w:eastAsia="zh-CN"/>
        </w:rPr>
      </w:pPr>
      <w:r>
        <w:rPr>
          <w:rFonts w:hint="eastAsia"/>
          <w:sz w:val="24"/>
        </w:rPr>
        <w:t>1</w:t>
      </w:r>
      <w:r>
        <w:rPr>
          <w:rFonts w:hint="eastAsia"/>
          <w:sz w:val="24"/>
          <w:lang w:val="en-US" w:eastAsia="zh-CN"/>
        </w:rPr>
        <w:t>.</w:t>
      </w:r>
      <w:r>
        <w:rPr>
          <w:sz w:val="24"/>
        </w:rPr>
        <w:t>保温材料各项性能指标应满足本技术协议书,以及《火力发电厂热力设备和管道保温材料技术条件和检验办法》和《火力发电厂保温油漆设计规程</w:t>
      </w:r>
      <w:r>
        <w:rPr>
          <w:rFonts w:hint="eastAsia"/>
          <w:sz w:val="24"/>
        </w:rPr>
        <w:t>DL/T5072-2019</w:t>
      </w:r>
      <w:r>
        <w:rPr>
          <w:sz w:val="24"/>
        </w:rPr>
        <w:t>》中的各项技术要求</w:t>
      </w:r>
      <w:r>
        <w:rPr>
          <w:rFonts w:hint="eastAsia"/>
          <w:sz w:val="24"/>
          <w:lang w:eastAsia="zh-CN"/>
        </w:rPr>
        <w:t>；</w:t>
      </w:r>
    </w:p>
    <w:p>
      <w:pPr>
        <w:spacing w:line="360" w:lineRule="auto"/>
        <w:contextualSpacing/>
        <w:rPr>
          <w:rFonts w:hint="eastAsia" w:eastAsiaTheme="minorEastAsia"/>
          <w:sz w:val="24"/>
          <w:vertAlign w:val="baseline"/>
          <w:lang w:eastAsia="zh-CN"/>
        </w:rPr>
      </w:pPr>
      <w:r>
        <w:rPr>
          <w:rFonts w:hint="eastAsia"/>
          <w:sz w:val="24"/>
        </w:rPr>
        <w:t>2</w:t>
      </w:r>
      <w:r>
        <w:rPr>
          <w:rFonts w:hint="eastAsia"/>
          <w:sz w:val="24"/>
          <w:lang w:val="en-US" w:eastAsia="zh-CN"/>
        </w:rPr>
        <w:t>.</w:t>
      </w:r>
      <w:r>
        <w:rPr>
          <w:sz w:val="24"/>
        </w:rPr>
        <w:t>热力设备、汽水管道、热风道的保温表面温度，当环境温度小于或等于35℃时，不应超过50℃，当环境温度大于35℃时保温层表面温度不能高于55℃，散热量不超过290w/m</w:t>
      </w:r>
      <w:r>
        <w:rPr>
          <w:sz w:val="24"/>
          <w:vertAlign w:val="superscript"/>
        </w:rPr>
        <w:t>2</w:t>
      </w:r>
      <w:r>
        <w:rPr>
          <w:rFonts w:hint="eastAsia"/>
          <w:sz w:val="24"/>
          <w:vertAlign w:val="baseline"/>
          <w:lang w:eastAsia="zh-CN"/>
        </w:rPr>
        <w:t>；</w:t>
      </w:r>
    </w:p>
    <w:p>
      <w:pPr>
        <w:spacing w:line="360" w:lineRule="auto"/>
        <w:contextualSpacing/>
        <w:rPr>
          <w:sz w:val="24"/>
        </w:rPr>
      </w:pPr>
      <w:r>
        <w:rPr>
          <w:rFonts w:hint="eastAsia"/>
          <w:sz w:val="24"/>
          <w:vertAlign w:val="baseline"/>
          <w:lang w:val="en-US" w:eastAsia="zh-CN"/>
        </w:rPr>
        <w:t>3.</w:t>
      </w:r>
      <w:r>
        <w:rPr>
          <w:sz w:val="24"/>
        </w:rPr>
        <w:t>保温材料及其制品应符合下列规定：</w:t>
      </w:r>
    </w:p>
    <w:p>
      <w:pPr>
        <w:spacing w:line="360" w:lineRule="auto"/>
        <w:rPr>
          <w:rFonts w:eastAsia="Times New Roman"/>
          <w:sz w:val="24"/>
        </w:rPr>
      </w:pPr>
      <w:r>
        <w:rPr>
          <w:sz w:val="24"/>
        </w:rPr>
        <w:t>主厂房汽水管道、设备保温材料性能表（性能不得低于下表参数）</w:t>
      </w:r>
    </w:p>
    <w:tbl>
      <w:tblPr>
        <w:tblStyle w:val="9"/>
        <w:tblW w:w="0" w:type="auto"/>
        <w:tblInd w:w="93" w:type="dxa"/>
        <w:tblLayout w:type="fixed"/>
        <w:tblCellMar>
          <w:top w:w="0" w:type="dxa"/>
          <w:left w:w="108" w:type="dxa"/>
          <w:bottom w:w="0" w:type="dxa"/>
          <w:right w:w="108" w:type="dxa"/>
        </w:tblCellMar>
      </w:tblPr>
      <w:tblGrid>
        <w:gridCol w:w="848"/>
        <w:gridCol w:w="4041"/>
        <w:gridCol w:w="1222"/>
        <w:gridCol w:w="2209"/>
      </w:tblGrid>
      <w:tr>
        <w:tblPrEx>
          <w:tblCellMar>
            <w:top w:w="0" w:type="dxa"/>
            <w:left w:w="108" w:type="dxa"/>
            <w:bottom w:w="0" w:type="dxa"/>
            <w:right w:w="108" w:type="dxa"/>
          </w:tblCellMar>
        </w:tblPrEx>
        <w:trPr>
          <w:trHeight w:val="375" w:hRule="atLeast"/>
        </w:trPr>
        <w:tc>
          <w:tcPr>
            <w:tcW w:w="83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1硅酸铝制品</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序号</w:t>
            </w:r>
          </w:p>
        </w:tc>
        <w:tc>
          <w:tcPr>
            <w:tcW w:w="4041"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项目</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单位</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指标</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 xml:space="preserve">密度 </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kg/m3</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rFonts w:hint="eastAsia"/>
                <w:szCs w:val="21"/>
              </w:rPr>
              <w:t>96</w:t>
            </w:r>
            <w:r>
              <w:rPr>
                <w:szCs w:val="21"/>
              </w:rPr>
              <w:t>-</w:t>
            </w:r>
            <w:r>
              <w:rPr>
                <w:rFonts w:hint="eastAsia"/>
                <w:szCs w:val="21"/>
              </w:rPr>
              <w:t>200</w:t>
            </w:r>
            <w:r>
              <w:rPr>
                <w:szCs w:val="21"/>
              </w:rPr>
              <w:t>　(毯制品128)</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2</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导热系数（平均温度 500℃±20℃）</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W/（m·K）</w:t>
            </w:r>
          </w:p>
        </w:tc>
        <w:tc>
          <w:tcPr>
            <w:tcW w:w="2209" w:type="dxa"/>
            <w:tcBorders>
              <w:top w:val="nil"/>
              <w:left w:val="nil"/>
              <w:bottom w:val="single" w:color="auto" w:sz="4" w:space="0"/>
              <w:right w:val="single" w:color="auto" w:sz="4" w:space="0"/>
            </w:tcBorders>
            <w:vAlign w:val="center"/>
          </w:tcPr>
          <w:p>
            <w:pPr>
              <w:widowControl/>
              <w:spacing w:line="360" w:lineRule="auto"/>
              <w:jc w:val="center"/>
              <w:rPr>
                <w:color w:val="FF0000"/>
                <w:szCs w:val="21"/>
              </w:rPr>
            </w:pPr>
            <w:r>
              <w:rPr>
                <w:color w:val="000000" w:themeColor="text1"/>
                <w:szCs w:val="21"/>
                <w14:textFill>
                  <w14:solidFill>
                    <w14:schemeClr w14:val="tx1"/>
                  </w14:solidFill>
                </w14:textFill>
              </w:rPr>
              <w:t>0.032</w:t>
            </w:r>
            <w:r>
              <w:rPr>
                <w:color w:val="FF0000"/>
                <w:szCs w:val="21"/>
              </w:rPr>
              <w:t>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3</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渣球含量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16.3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4</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加热线收缩率（1150℃保持6h）</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3.9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5</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有机物含量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4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6</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吸湿率</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7</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抗拉强度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MPa</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0.15　</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8</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氧化铝含量</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43.59</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9</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纤维长度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mm</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1.2</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10</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纤维平均直径</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mm</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3.2</w:t>
            </w:r>
          </w:p>
        </w:tc>
      </w:tr>
      <w:tr>
        <w:tblPrEx>
          <w:tblCellMar>
            <w:top w:w="0" w:type="dxa"/>
            <w:left w:w="108" w:type="dxa"/>
            <w:bottom w:w="0" w:type="dxa"/>
            <w:right w:w="108" w:type="dxa"/>
          </w:tblCellMar>
        </w:tblPrEx>
        <w:trPr>
          <w:trHeight w:val="284" w:hRule="atLeast"/>
        </w:trPr>
        <w:tc>
          <w:tcPr>
            <w:tcW w:w="848"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11</w:t>
            </w:r>
          </w:p>
        </w:tc>
        <w:tc>
          <w:tcPr>
            <w:tcW w:w="4041" w:type="dxa"/>
            <w:tcBorders>
              <w:top w:val="nil"/>
              <w:left w:val="nil"/>
              <w:bottom w:val="single" w:color="auto" w:sz="4" w:space="0"/>
              <w:right w:val="single" w:color="auto" w:sz="4" w:space="0"/>
            </w:tcBorders>
            <w:vAlign w:val="center"/>
          </w:tcPr>
          <w:p>
            <w:pPr>
              <w:widowControl/>
              <w:spacing w:line="360" w:lineRule="auto"/>
              <w:jc w:val="left"/>
              <w:rPr>
                <w:szCs w:val="21"/>
              </w:rPr>
            </w:pPr>
            <w:r>
              <w:rPr>
                <w:szCs w:val="21"/>
              </w:rPr>
              <w:t>最高使用温度</w:t>
            </w:r>
          </w:p>
        </w:tc>
        <w:tc>
          <w:tcPr>
            <w:tcW w:w="1222"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w:t>
            </w:r>
          </w:p>
        </w:tc>
        <w:tc>
          <w:tcPr>
            <w:tcW w:w="2209"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800</w:t>
            </w:r>
          </w:p>
        </w:tc>
      </w:tr>
    </w:tbl>
    <w:p>
      <w:pPr>
        <w:spacing w:line="360" w:lineRule="auto"/>
        <w:contextualSpacing/>
        <w:rPr>
          <w:rFonts w:hint="default" w:eastAsiaTheme="minorEastAsia"/>
          <w:sz w:val="24"/>
          <w:vertAlign w:val="baseline"/>
          <w:lang w:val="en-US" w:eastAsia="zh-CN"/>
        </w:rPr>
      </w:pPr>
      <w:r>
        <w:rPr>
          <w:rFonts w:hint="eastAsia"/>
          <w:sz w:val="24"/>
        </w:rPr>
        <w:t>4、</w:t>
      </w:r>
      <w:r>
        <w:rPr>
          <w:sz w:val="24"/>
        </w:rPr>
        <w:t>不燃等级：A级</w:t>
      </w:r>
    </w:p>
    <w:p>
      <w:pPr>
        <w:spacing w:line="360" w:lineRule="auto"/>
        <w:contextualSpacing/>
        <w:rPr>
          <w:sz w:val="24"/>
        </w:rPr>
      </w:pPr>
      <w:r>
        <w:rPr>
          <w:rFonts w:hint="eastAsia"/>
          <w:sz w:val="24"/>
        </w:rPr>
        <w:t>5、</w:t>
      </w:r>
      <w:r>
        <w:rPr>
          <w:sz w:val="24"/>
        </w:rPr>
        <w:t xml:space="preserve">保温材料的性能(性能不低于下表参数)： </w:t>
      </w:r>
    </w:p>
    <w:tbl>
      <w:tblPr>
        <w:tblStyle w:val="9"/>
        <w:tblW w:w="829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079"/>
        <w:gridCol w:w="1680"/>
        <w:gridCol w:w="1680"/>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szCs w:val="21"/>
              </w:rPr>
            </w:pPr>
            <w:r>
              <w:rPr>
                <w:szCs w:val="21"/>
              </w:rPr>
              <w:t>名称</w:t>
            </w:r>
          </w:p>
        </w:tc>
        <w:tc>
          <w:tcPr>
            <w:tcW w:w="1079" w:type="dxa"/>
            <w:vAlign w:val="center"/>
          </w:tcPr>
          <w:p>
            <w:pPr>
              <w:widowControl/>
              <w:spacing w:line="360" w:lineRule="auto"/>
              <w:contextualSpacing/>
              <w:jc w:val="center"/>
              <w:rPr>
                <w:szCs w:val="21"/>
              </w:rPr>
            </w:pPr>
            <w:r>
              <w:rPr>
                <w:szCs w:val="21"/>
              </w:rPr>
              <w:t>密度(Kg/m3)</w:t>
            </w:r>
          </w:p>
        </w:tc>
        <w:tc>
          <w:tcPr>
            <w:tcW w:w="1680" w:type="dxa"/>
            <w:vAlign w:val="center"/>
          </w:tcPr>
          <w:p>
            <w:pPr>
              <w:widowControl/>
              <w:spacing w:line="360" w:lineRule="auto"/>
              <w:contextualSpacing/>
              <w:jc w:val="center"/>
              <w:rPr>
                <w:szCs w:val="21"/>
              </w:rPr>
            </w:pPr>
            <w:r>
              <w:rPr>
                <w:szCs w:val="21"/>
              </w:rPr>
              <w:t>推荐最高使用温度（℃）</w:t>
            </w:r>
          </w:p>
        </w:tc>
        <w:tc>
          <w:tcPr>
            <w:tcW w:w="1680" w:type="dxa"/>
          </w:tcPr>
          <w:p>
            <w:pPr>
              <w:widowControl/>
              <w:spacing w:line="360" w:lineRule="auto"/>
              <w:contextualSpacing/>
              <w:jc w:val="center"/>
              <w:rPr>
                <w:szCs w:val="21"/>
              </w:rPr>
            </w:pPr>
            <w:r>
              <w:rPr>
                <w:bCs/>
                <w:szCs w:val="21"/>
              </w:rPr>
              <w:t>热导率λ</w:t>
            </w:r>
            <w:r>
              <w:rPr>
                <w:bCs/>
                <w:szCs w:val="21"/>
                <w:vertAlign w:val="subscript"/>
              </w:rPr>
              <w:t>0</w:t>
            </w:r>
            <w:r>
              <w:rPr>
                <w:bCs/>
                <w:szCs w:val="21"/>
              </w:rPr>
              <w:t>（70℃）W/(M.K)</w:t>
            </w:r>
          </w:p>
        </w:tc>
        <w:tc>
          <w:tcPr>
            <w:tcW w:w="2203" w:type="dxa"/>
            <w:vAlign w:val="center"/>
          </w:tcPr>
          <w:p>
            <w:pPr>
              <w:widowControl/>
              <w:spacing w:line="360" w:lineRule="auto"/>
              <w:contextualSpacing/>
              <w:jc w:val="center"/>
              <w:rPr>
                <w:szCs w:val="21"/>
              </w:rPr>
            </w:pPr>
            <w:r>
              <w:rPr>
                <w:szCs w:val="21"/>
              </w:rPr>
              <w:t>热导率方程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kern w:val="0"/>
                <w:szCs w:val="21"/>
              </w:rPr>
              <w:t>硅酸铝针丝毯</w:t>
            </w:r>
          </w:p>
        </w:tc>
        <w:tc>
          <w:tcPr>
            <w:tcW w:w="1079" w:type="dxa"/>
            <w:vAlign w:val="center"/>
          </w:tcPr>
          <w:p>
            <w:pPr>
              <w:widowControl/>
              <w:spacing w:line="360" w:lineRule="auto"/>
              <w:contextualSpacing/>
              <w:jc w:val="center"/>
              <w:rPr>
                <w:szCs w:val="21"/>
              </w:rPr>
            </w:pPr>
            <w:r>
              <w:rPr>
                <w:szCs w:val="21"/>
              </w:rPr>
              <w:t>64</w:t>
            </w:r>
          </w:p>
        </w:tc>
        <w:tc>
          <w:tcPr>
            <w:tcW w:w="1680" w:type="dxa"/>
            <w:vAlign w:val="center"/>
          </w:tcPr>
          <w:p>
            <w:pPr>
              <w:widowControl/>
              <w:spacing w:line="360" w:lineRule="auto"/>
              <w:contextualSpacing/>
              <w:jc w:val="center"/>
              <w:rPr>
                <w:szCs w:val="21"/>
              </w:rPr>
            </w:pPr>
            <w:r>
              <w:rPr>
                <w:szCs w:val="21"/>
              </w:rPr>
              <w:t>800</w:t>
            </w:r>
          </w:p>
        </w:tc>
        <w:tc>
          <w:tcPr>
            <w:tcW w:w="1680" w:type="dxa"/>
            <w:vAlign w:val="center"/>
          </w:tcPr>
          <w:p>
            <w:pPr>
              <w:widowControl/>
              <w:spacing w:line="360" w:lineRule="auto"/>
              <w:contextualSpacing/>
              <w:jc w:val="center"/>
              <w:rPr>
                <w:szCs w:val="21"/>
              </w:rPr>
            </w:pPr>
            <w:r>
              <w:rPr>
                <w:szCs w:val="21"/>
              </w:rPr>
              <w:t>0.056</w:t>
            </w:r>
          </w:p>
        </w:tc>
        <w:tc>
          <w:tcPr>
            <w:tcW w:w="2203" w:type="dxa"/>
            <w:vMerge w:val="restart"/>
            <w:vAlign w:val="center"/>
          </w:tcPr>
          <w:p>
            <w:pPr>
              <w:spacing w:line="360" w:lineRule="auto"/>
              <w:contextualSpacing/>
              <w:jc w:val="center"/>
              <w:rPr>
                <w:bCs/>
                <w:szCs w:val="21"/>
              </w:rPr>
            </w:pPr>
            <w:r>
              <w:rPr>
                <w:bCs/>
                <w:szCs w:val="21"/>
              </w:rPr>
              <w:t>Tm≤400℃时，λ</w:t>
            </w:r>
            <w:r>
              <w:rPr>
                <w:bCs/>
                <w:szCs w:val="21"/>
                <w:vertAlign w:val="subscript"/>
              </w:rPr>
              <w:t>l</w:t>
            </w:r>
            <w:r>
              <w:rPr>
                <w:bCs/>
                <w:szCs w:val="21"/>
              </w:rPr>
              <w:t>=λ</w:t>
            </w:r>
            <w:r>
              <w:rPr>
                <w:bCs/>
                <w:szCs w:val="21"/>
                <w:vertAlign w:val="subscript"/>
              </w:rPr>
              <w:t>0</w:t>
            </w:r>
            <w:r>
              <w:rPr>
                <w:bCs/>
                <w:szCs w:val="21"/>
              </w:rPr>
              <w:t>+0.0002(t</w:t>
            </w:r>
            <w:r>
              <w:rPr>
                <w:bCs/>
                <w:szCs w:val="21"/>
                <w:vertAlign w:val="subscript"/>
              </w:rPr>
              <w:t>M</w:t>
            </w:r>
            <w:r>
              <w:rPr>
                <w:bCs/>
                <w:szCs w:val="21"/>
              </w:rPr>
              <w:t>-70) Tm〉400℃时，λ</w:t>
            </w:r>
            <w:r>
              <w:rPr>
                <w:bCs/>
                <w:szCs w:val="21"/>
                <w:vertAlign w:val="subscript"/>
              </w:rPr>
              <w:t>h</w:t>
            </w:r>
            <w:r>
              <w:rPr>
                <w:bCs/>
                <w:szCs w:val="21"/>
              </w:rPr>
              <w:t>=λ</w:t>
            </w:r>
            <w:r>
              <w:rPr>
                <w:bCs/>
                <w:szCs w:val="21"/>
                <w:vertAlign w:val="subscript"/>
              </w:rPr>
              <w:t>l</w:t>
            </w:r>
            <w:r>
              <w:rPr>
                <w:bCs/>
                <w:szCs w:val="21"/>
              </w:rPr>
              <w:t>+0.00036(t</w:t>
            </w:r>
            <w:r>
              <w:rPr>
                <w:bCs/>
                <w:szCs w:val="21"/>
                <w:vertAlign w:val="subscript"/>
              </w:rPr>
              <w:t>M</w:t>
            </w:r>
            <w:r>
              <w:rPr>
                <w:bCs/>
                <w:szCs w:val="21"/>
              </w:rPr>
              <w:t>-400)（下式中λ</w:t>
            </w:r>
            <w:r>
              <w:rPr>
                <w:bCs/>
                <w:szCs w:val="21"/>
                <w:vertAlign w:val="subscript"/>
              </w:rPr>
              <w:t>l</w:t>
            </w:r>
            <w:r>
              <w:rPr>
                <w:bCs/>
                <w:szCs w:val="21"/>
              </w:rPr>
              <w:t>取上式tm=400℃时计算结果）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kern w:val="0"/>
                <w:szCs w:val="21"/>
              </w:rPr>
              <w:t>硅酸铝缝毡</w:t>
            </w:r>
            <w:r>
              <w:rPr>
                <w:szCs w:val="21"/>
              </w:rPr>
              <w:t xml:space="preserve"> </w:t>
            </w:r>
          </w:p>
        </w:tc>
        <w:tc>
          <w:tcPr>
            <w:tcW w:w="1079" w:type="dxa"/>
            <w:vAlign w:val="center"/>
          </w:tcPr>
          <w:p>
            <w:pPr>
              <w:widowControl/>
              <w:spacing w:line="360" w:lineRule="auto"/>
              <w:contextualSpacing/>
              <w:jc w:val="center"/>
              <w:rPr>
                <w:szCs w:val="21"/>
              </w:rPr>
            </w:pPr>
            <w:r>
              <w:rPr>
                <w:szCs w:val="21"/>
              </w:rPr>
              <w:t>96</w:t>
            </w:r>
          </w:p>
        </w:tc>
        <w:tc>
          <w:tcPr>
            <w:tcW w:w="1680" w:type="dxa"/>
            <w:vAlign w:val="center"/>
          </w:tcPr>
          <w:p>
            <w:pPr>
              <w:widowControl/>
              <w:spacing w:line="360" w:lineRule="auto"/>
              <w:contextualSpacing/>
              <w:jc w:val="center"/>
              <w:rPr>
                <w:szCs w:val="21"/>
              </w:rPr>
            </w:pPr>
            <w:r>
              <w:rPr>
                <w:szCs w:val="21"/>
              </w:rPr>
              <w:t>800</w:t>
            </w:r>
          </w:p>
        </w:tc>
        <w:tc>
          <w:tcPr>
            <w:tcW w:w="1680" w:type="dxa"/>
            <w:vAlign w:val="center"/>
          </w:tcPr>
          <w:p>
            <w:pPr>
              <w:widowControl/>
              <w:spacing w:line="360" w:lineRule="auto"/>
              <w:contextualSpacing/>
              <w:jc w:val="center"/>
              <w:rPr>
                <w:szCs w:val="21"/>
              </w:rPr>
            </w:pPr>
            <w:r>
              <w:rPr>
                <w:szCs w:val="21"/>
              </w:rPr>
              <w:t>0.056</w:t>
            </w:r>
          </w:p>
        </w:tc>
        <w:tc>
          <w:tcPr>
            <w:tcW w:w="2203" w:type="dxa"/>
            <w:vMerge w:val="continue"/>
            <w:vAlign w:val="center"/>
          </w:tcPr>
          <w:p>
            <w:pPr>
              <w:spacing w:line="360" w:lineRule="auto"/>
              <w:contextualSpacing/>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kern w:val="0"/>
                <w:szCs w:val="21"/>
              </w:rPr>
              <w:t>硅酸铝板</w:t>
            </w:r>
          </w:p>
        </w:tc>
        <w:tc>
          <w:tcPr>
            <w:tcW w:w="1079" w:type="dxa"/>
            <w:vAlign w:val="center"/>
          </w:tcPr>
          <w:p>
            <w:pPr>
              <w:widowControl/>
              <w:spacing w:line="360" w:lineRule="auto"/>
              <w:contextualSpacing/>
              <w:jc w:val="center"/>
              <w:rPr>
                <w:szCs w:val="21"/>
              </w:rPr>
            </w:pPr>
            <w:r>
              <w:rPr>
                <w:szCs w:val="21"/>
              </w:rPr>
              <w:t>128</w:t>
            </w:r>
          </w:p>
        </w:tc>
        <w:tc>
          <w:tcPr>
            <w:tcW w:w="1680" w:type="dxa"/>
            <w:vAlign w:val="center"/>
          </w:tcPr>
          <w:p>
            <w:pPr>
              <w:widowControl/>
              <w:spacing w:line="360" w:lineRule="auto"/>
              <w:contextualSpacing/>
              <w:jc w:val="center"/>
              <w:rPr>
                <w:szCs w:val="21"/>
              </w:rPr>
            </w:pPr>
            <w:r>
              <w:rPr>
                <w:szCs w:val="21"/>
              </w:rPr>
              <w:t>800</w:t>
            </w:r>
          </w:p>
        </w:tc>
        <w:tc>
          <w:tcPr>
            <w:tcW w:w="1680" w:type="dxa"/>
            <w:vAlign w:val="center"/>
          </w:tcPr>
          <w:p>
            <w:pPr>
              <w:widowControl/>
              <w:spacing w:line="360" w:lineRule="auto"/>
              <w:contextualSpacing/>
              <w:jc w:val="center"/>
              <w:rPr>
                <w:szCs w:val="21"/>
              </w:rPr>
            </w:pPr>
            <w:r>
              <w:rPr>
                <w:szCs w:val="21"/>
              </w:rPr>
              <w:t>0.056</w:t>
            </w:r>
          </w:p>
        </w:tc>
        <w:tc>
          <w:tcPr>
            <w:tcW w:w="2203" w:type="dxa"/>
            <w:vMerge w:val="continue"/>
            <w:vAlign w:val="center"/>
          </w:tcPr>
          <w:p>
            <w:pPr>
              <w:widowControl/>
              <w:spacing w:line="360" w:lineRule="auto"/>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kern w:val="0"/>
                <w:szCs w:val="21"/>
              </w:rPr>
              <w:t>硅酸铝管壳</w:t>
            </w:r>
          </w:p>
        </w:tc>
        <w:tc>
          <w:tcPr>
            <w:tcW w:w="1079" w:type="dxa"/>
            <w:vAlign w:val="center"/>
          </w:tcPr>
          <w:p>
            <w:pPr>
              <w:widowControl/>
              <w:spacing w:line="360" w:lineRule="auto"/>
              <w:contextualSpacing/>
              <w:jc w:val="center"/>
              <w:rPr>
                <w:szCs w:val="21"/>
              </w:rPr>
            </w:pPr>
            <w:r>
              <w:rPr>
                <w:szCs w:val="21"/>
              </w:rPr>
              <w:t>192</w:t>
            </w:r>
          </w:p>
        </w:tc>
        <w:tc>
          <w:tcPr>
            <w:tcW w:w="1680" w:type="dxa"/>
            <w:vAlign w:val="center"/>
          </w:tcPr>
          <w:p>
            <w:pPr>
              <w:widowControl/>
              <w:spacing w:line="360" w:lineRule="auto"/>
              <w:contextualSpacing/>
              <w:jc w:val="center"/>
              <w:rPr>
                <w:szCs w:val="21"/>
              </w:rPr>
            </w:pPr>
            <w:r>
              <w:rPr>
                <w:szCs w:val="21"/>
              </w:rPr>
              <w:t>800</w:t>
            </w:r>
          </w:p>
        </w:tc>
        <w:tc>
          <w:tcPr>
            <w:tcW w:w="1680" w:type="dxa"/>
            <w:vAlign w:val="center"/>
          </w:tcPr>
          <w:p>
            <w:pPr>
              <w:widowControl/>
              <w:spacing w:line="360" w:lineRule="auto"/>
              <w:contextualSpacing/>
              <w:jc w:val="center"/>
              <w:rPr>
                <w:szCs w:val="21"/>
              </w:rPr>
            </w:pPr>
            <w:r>
              <w:rPr>
                <w:szCs w:val="21"/>
              </w:rPr>
              <w:t>0.056</w:t>
            </w:r>
          </w:p>
        </w:tc>
        <w:tc>
          <w:tcPr>
            <w:tcW w:w="2203" w:type="dxa"/>
            <w:vMerge w:val="continue"/>
            <w:vAlign w:val="center"/>
          </w:tcPr>
          <w:p>
            <w:pPr>
              <w:spacing w:line="360" w:lineRule="auto"/>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kern w:val="0"/>
                <w:szCs w:val="21"/>
              </w:rPr>
              <w:t>硅酸铝纤维绳</w:t>
            </w:r>
          </w:p>
        </w:tc>
        <w:tc>
          <w:tcPr>
            <w:tcW w:w="1079" w:type="dxa"/>
            <w:vAlign w:val="center"/>
          </w:tcPr>
          <w:p>
            <w:pPr>
              <w:widowControl/>
              <w:spacing w:line="360" w:lineRule="auto"/>
              <w:contextualSpacing/>
              <w:jc w:val="center"/>
              <w:rPr>
                <w:szCs w:val="21"/>
              </w:rPr>
            </w:pPr>
            <w:r>
              <w:rPr>
                <w:szCs w:val="21"/>
              </w:rPr>
              <w:t>450-550</w:t>
            </w:r>
          </w:p>
        </w:tc>
        <w:tc>
          <w:tcPr>
            <w:tcW w:w="1680" w:type="dxa"/>
            <w:vAlign w:val="center"/>
          </w:tcPr>
          <w:p>
            <w:pPr>
              <w:widowControl/>
              <w:spacing w:line="360" w:lineRule="auto"/>
              <w:contextualSpacing/>
              <w:jc w:val="center"/>
              <w:rPr>
                <w:szCs w:val="21"/>
              </w:rPr>
            </w:pPr>
            <w:r>
              <w:rPr>
                <w:szCs w:val="21"/>
              </w:rPr>
              <w:t>800</w:t>
            </w:r>
          </w:p>
        </w:tc>
        <w:tc>
          <w:tcPr>
            <w:tcW w:w="1680" w:type="dxa"/>
            <w:vAlign w:val="center"/>
          </w:tcPr>
          <w:p>
            <w:pPr>
              <w:widowControl/>
              <w:spacing w:line="360" w:lineRule="auto"/>
              <w:contextualSpacing/>
              <w:jc w:val="center"/>
              <w:rPr>
                <w:szCs w:val="21"/>
              </w:rPr>
            </w:pPr>
            <w:r>
              <w:rPr>
                <w:szCs w:val="21"/>
              </w:rPr>
              <w:t>0.056</w:t>
            </w:r>
          </w:p>
        </w:tc>
        <w:tc>
          <w:tcPr>
            <w:tcW w:w="2203" w:type="dxa"/>
            <w:vMerge w:val="continue"/>
            <w:vAlign w:val="center"/>
          </w:tcPr>
          <w:p>
            <w:pPr>
              <w:widowControl/>
              <w:spacing w:line="360" w:lineRule="auto"/>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6" w:type="dxa"/>
            <w:vAlign w:val="center"/>
          </w:tcPr>
          <w:p>
            <w:pPr>
              <w:widowControl/>
              <w:spacing w:line="360" w:lineRule="auto"/>
              <w:contextualSpacing/>
              <w:jc w:val="center"/>
              <w:rPr>
                <w:kern w:val="0"/>
                <w:szCs w:val="21"/>
              </w:rPr>
            </w:pPr>
            <w:r>
              <w:rPr>
                <w:rFonts w:hint="eastAsia"/>
                <w:kern w:val="0"/>
                <w:szCs w:val="21"/>
              </w:rPr>
              <w:t>高温玻璃</w:t>
            </w:r>
            <w:r>
              <w:rPr>
                <w:kern w:val="0"/>
                <w:szCs w:val="21"/>
              </w:rPr>
              <w:t>棉</w:t>
            </w:r>
          </w:p>
        </w:tc>
        <w:tc>
          <w:tcPr>
            <w:tcW w:w="1079" w:type="dxa"/>
            <w:vAlign w:val="center"/>
          </w:tcPr>
          <w:p>
            <w:pPr>
              <w:widowControl/>
              <w:spacing w:line="360" w:lineRule="auto"/>
              <w:contextualSpacing/>
              <w:jc w:val="center"/>
              <w:rPr>
                <w:bCs/>
                <w:szCs w:val="21"/>
              </w:rPr>
            </w:pPr>
            <w:r>
              <w:rPr>
                <w:rFonts w:hint="eastAsia"/>
                <w:bCs/>
                <w:szCs w:val="21"/>
              </w:rPr>
              <w:t>48~120</w:t>
            </w:r>
          </w:p>
        </w:tc>
        <w:tc>
          <w:tcPr>
            <w:tcW w:w="1680" w:type="dxa"/>
            <w:vAlign w:val="center"/>
          </w:tcPr>
          <w:p>
            <w:pPr>
              <w:widowControl/>
              <w:spacing w:line="360" w:lineRule="auto"/>
              <w:contextualSpacing/>
              <w:jc w:val="center"/>
              <w:rPr>
                <w:bCs/>
                <w:szCs w:val="21"/>
              </w:rPr>
            </w:pPr>
            <w:r>
              <w:rPr>
                <w:rFonts w:hint="eastAsia"/>
                <w:bCs/>
                <w:szCs w:val="21"/>
              </w:rPr>
              <w:t>35</w:t>
            </w:r>
            <w:r>
              <w:rPr>
                <w:bCs/>
                <w:szCs w:val="21"/>
              </w:rPr>
              <w:t>0</w:t>
            </w:r>
          </w:p>
        </w:tc>
        <w:tc>
          <w:tcPr>
            <w:tcW w:w="1680" w:type="dxa"/>
          </w:tcPr>
          <w:p>
            <w:pPr>
              <w:widowControl/>
              <w:spacing w:line="360" w:lineRule="auto"/>
              <w:contextualSpacing/>
              <w:jc w:val="center"/>
              <w:rPr>
                <w:bCs/>
                <w:szCs w:val="21"/>
              </w:rPr>
            </w:pPr>
            <w:r>
              <w:rPr>
                <w:bCs/>
                <w:szCs w:val="21"/>
              </w:rPr>
              <w:t>≤0.04</w:t>
            </w:r>
            <w:r>
              <w:rPr>
                <w:rFonts w:hint="eastAsia"/>
                <w:bCs/>
                <w:szCs w:val="21"/>
              </w:rPr>
              <w:t>1</w:t>
            </w:r>
          </w:p>
        </w:tc>
        <w:tc>
          <w:tcPr>
            <w:tcW w:w="2203" w:type="dxa"/>
            <w:vAlign w:val="center"/>
          </w:tcPr>
          <w:p>
            <w:pPr>
              <w:widowControl/>
              <w:spacing w:line="360" w:lineRule="auto"/>
              <w:contextualSpacing/>
              <w:jc w:val="center"/>
              <w:rPr>
                <w:bCs/>
                <w:szCs w:val="21"/>
              </w:rPr>
            </w:pPr>
            <w:r>
              <w:rPr>
                <w:bCs/>
                <w:szCs w:val="21"/>
              </w:rPr>
              <w:t>λ=λ</w:t>
            </w:r>
            <w:r>
              <w:rPr>
                <w:bCs/>
                <w:szCs w:val="21"/>
                <w:vertAlign w:val="subscript"/>
              </w:rPr>
              <w:t>0</w:t>
            </w:r>
            <w:r>
              <w:rPr>
                <w:bCs/>
                <w:szCs w:val="21"/>
              </w:rPr>
              <w:t>+0.0001</w:t>
            </w:r>
            <w:r>
              <w:rPr>
                <w:rFonts w:hint="eastAsia"/>
                <w:bCs/>
                <w:szCs w:val="21"/>
              </w:rPr>
              <w:t>7</w:t>
            </w:r>
            <w:r>
              <w:rPr>
                <w:bCs/>
                <w:szCs w:val="21"/>
              </w:rPr>
              <w:t>(T</w:t>
            </w:r>
            <w:r>
              <w:rPr>
                <w:bCs/>
                <w:szCs w:val="21"/>
                <w:vertAlign w:val="subscript"/>
              </w:rPr>
              <w:t>M</w:t>
            </w:r>
            <w:r>
              <w:rPr>
                <w:bCs/>
                <w:szCs w:val="21"/>
              </w:rPr>
              <w:t>-70)</w:t>
            </w:r>
          </w:p>
        </w:tc>
      </w:tr>
    </w:tbl>
    <w:p>
      <w:pPr>
        <w:spacing w:line="360" w:lineRule="auto"/>
        <w:contextualSpacing/>
        <w:rPr>
          <w:sz w:val="24"/>
        </w:rPr>
      </w:pPr>
      <w:r>
        <w:rPr>
          <w:rFonts w:hint="eastAsia"/>
          <w:sz w:val="24"/>
        </w:rPr>
        <w:t>6</w:t>
      </w:r>
      <w:r>
        <w:rPr>
          <w:rFonts w:hint="eastAsia"/>
          <w:sz w:val="24"/>
          <w:lang w:val="en-US" w:eastAsia="zh-CN"/>
        </w:rPr>
        <w:t>.</w:t>
      </w:r>
      <w:r>
        <w:rPr>
          <w:sz w:val="24"/>
        </w:rPr>
        <w:t>卖方必须提供保温材料物理化学性能的检验报告，报告必须由国家、部指定的检测机构按国家标准检验而提供的原始文件，包括以下内容：</w:t>
      </w:r>
    </w:p>
    <w:p>
      <w:pPr>
        <w:spacing w:line="360" w:lineRule="auto"/>
        <w:contextualSpacing/>
        <w:rPr>
          <w:sz w:val="24"/>
        </w:rPr>
      </w:pPr>
      <w:r>
        <w:rPr>
          <w:sz w:val="24"/>
        </w:rPr>
        <w:t>1）热导率方程式、图或表；</w:t>
      </w:r>
    </w:p>
    <w:p>
      <w:pPr>
        <w:spacing w:line="360" w:lineRule="auto"/>
        <w:contextualSpacing/>
        <w:rPr>
          <w:sz w:val="24"/>
        </w:rPr>
      </w:pPr>
      <w:r>
        <w:rPr>
          <w:sz w:val="24"/>
        </w:rPr>
        <w:t>2）密度；</w:t>
      </w:r>
    </w:p>
    <w:p>
      <w:pPr>
        <w:spacing w:line="360" w:lineRule="auto"/>
        <w:contextualSpacing/>
        <w:rPr>
          <w:sz w:val="24"/>
        </w:rPr>
      </w:pPr>
      <w:r>
        <w:rPr>
          <w:sz w:val="24"/>
        </w:rPr>
        <w:t>3）最高使用温度；</w:t>
      </w:r>
    </w:p>
    <w:p>
      <w:pPr>
        <w:spacing w:line="360" w:lineRule="auto"/>
        <w:contextualSpacing/>
        <w:rPr>
          <w:sz w:val="24"/>
        </w:rPr>
      </w:pPr>
      <w:r>
        <w:rPr>
          <w:sz w:val="24"/>
        </w:rPr>
        <w:t>4）不燃性；</w:t>
      </w:r>
    </w:p>
    <w:p>
      <w:pPr>
        <w:spacing w:line="360" w:lineRule="auto"/>
        <w:contextualSpacing/>
        <w:rPr>
          <w:sz w:val="24"/>
        </w:rPr>
      </w:pPr>
      <w:r>
        <w:rPr>
          <w:sz w:val="24"/>
        </w:rPr>
        <w:t>5）对硬质保温制品应具有良好的抗拉强度、质量含水率、干燥线收缩率低和抗折强度等，对软质保温材料及其半硬质制品应具有渣球含量低、有机物含量低、干燥线收缩率低、吸湿率低和憎水度高等；</w:t>
      </w:r>
    </w:p>
    <w:p>
      <w:pPr>
        <w:spacing w:line="360" w:lineRule="auto"/>
        <w:contextualSpacing/>
        <w:rPr>
          <w:sz w:val="24"/>
        </w:rPr>
      </w:pPr>
      <w:r>
        <w:rPr>
          <w:sz w:val="24"/>
        </w:rPr>
        <w:t>6）对设备和管道表面无腐蚀。</w:t>
      </w:r>
    </w:p>
    <w:p>
      <w:pPr>
        <w:widowControl w:val="0"/>
        <w:numPr>
          <w:ilvl w:val="0"/>
          <w:numId w:val="0"/>
        </w:numPr>
        <w:tabs>
          <w:tab w:val="left" w:pos="900"/>
          <w:tab w:val="left" w:pos="1004"/>
        </w:tabs>
        <w:spacing w:line="460" w:lineRule="exact"/>
        <w:jc w:val="left"/>
        <w:rPr>
          <w:rFonts w:hint="eastAsia" w:ascii="仿宋_GB2312" w:eastAsia="仿宋_GB2312"/>
          <w:b/>
          <w:color w:val="000000"/>
          <w:sz w:val="28"/>
          <w:szCs w:val="28"/>
        </w:rPr>
      </w:pPr>
      <w:r>
        <w:rPr>
          <w:rFonts w:hint="eastAsia"/>
          <w:sz w:val="24"/>
          <w:lang w:val="en-US" w:eastAsia="zh-CN"/>
        </w:rPr>
        <w:t>7.</w:t>
      </w:r>
      <w:r>
        <w:rPr>
          <w:sz w:val="24"/>
        </w:rPr>
        <w:t>硅酸铝保温材料的辅助材料钢丝网应为不锈钢材质。</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pPr>
        <w:numPr>
          <w:ilvl w:val="0"/>
          <w:numId w:val="3"/>
        </w:numPr>
        <w:tabs>
          <w:tab w:val="left" w:pos="900"/>
          <w:tab w:val="left" w:pos="1004"/>
        </w:tabs>
        <w:spacing w:line="460" w:lineRule="exact"/>
        <w:rPr>
          <w:rFonts w:hint="eastAsia"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w:t>
      </w:r>
      <w:bookmarkStart w:id="5" w:name="_GoBack"/>
      <w:bookmarkEnd w:id="5"/>
      <w:r>
        <w:rPr>
          <w:rFonts w:hint="eastAsia" w:ascii="仿宋_GB2312" w:eastAsia="仿宋_GB2312"/>
          <w:color w:val="000000"/>
          <w:sz w:val="28"/>
          <w:szCs w:val="28"/>
        </w:rPr>
        <w:t>尺寸均应符合图纸设计要求。</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甲方权利、义务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pPr>
        <w:spacing w:line="46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pPr>
        <w:spacing w:line="460" w:lineRule="exact"/>
        <w:ind w:left="42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_GB2312" w:eastAsia="仿宋_GB2312"/>
          <w:b/>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numPr>
          <w:ilvl w:val="0"/>
          <w:numId w:val="3"/>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b/>
          <w:color w:val="000000"/>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违约责任</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合同变更</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pPr>
        <w:pStyle w:val="5"/>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000000"/>
          <w:sz w:val="28"/>
          <w:szCs w:val="28"/>
        </w:rPr>
      </w:pPr>
    </w:p>
    <w:p>
      <w:pPr>
        <w:pStyle w:val="5"/>
        <w:spacing w:line="460" w:lineRule="exact"/>
        <w:ind w:left="480" w:leftChars="162" w:hanging="140" w:hangingChars="50"/>
        <w:rPr>
          <w:rFonts w:hint="eastAsia" w:ascii="仿宋_GB2312" w:eastAsia="仿宋_GB2312"/>
          <w:color w:val="000000"/>
          <w:szCs w:val="28"/>
        </w:rPr>
      </w:pPr>
      <w:r>
        <w:rPr>
          <w:rFonts w:hint="eastAsia" w:ascii="仿宋_GB2312" w:eastAsia="仿宋_GB2312"/>
          <w:color w:val="000000"/>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pPr>
              <w:spacing w:line="460" w:lineRule="exact"/>
              <w:rPr>
                <w:rFonts w:hint="eastAsia" w:ascii="仿宋_GB2312" w:eastAsia="仿宋_GB2312"/>
                <w:color w:val="000000"/>
                <w:sz w:val="28"/>
                <w:szCs w:val="28"/>
              </w:rPr>
            </w:pPr>
          </w:p>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帐号：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邮编：</w:t>
            </w:r>
          </w:p>
        </w:tc>
      </w:tr>
    </w:tbl>
    <w:p>
      <w:pPr>
        <w:spacing w:line="460" w:lineRule="exact"/>
        <w:rPr>
          <w:color w:val="000000"/>
        </w:rPr>
      </w:pPr>
    </w:p>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3</w:t>
      </w:r>
      <w:r>
        <w:rPr>
          <w:rFonts w:hint="eastAsia" w:ascii="仿宋_GB2312" w:hAnsi="仿宋_GB2312" w:eastAsia="仿宋_GB2312" w:cs="仿宋_GB2312"/>
          <w:sz w:val="28"/>
          <w:szCs w:val="32"/>
        </w:rPr>
        <w:t>：安全协议</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w:t>
      </w:r>
      <w:r>
        <w:rPr>
          <w:rFonts w:hint="eastAsia" w:ascii="仿宋_GB2312" w:hAnsi="仿宋" w:eastAsia="仿宋_GB2312" w:cs="仿宋"/>
          <w:b w:val="0"/>
          <w:sz w:val="32"/>
          <w:szCs w:val="30"/>
          <w:lang w:val="en-US" w:eastAsia="zh-CN"/>
        </w:rPr>
        <w:t>保温</w:t>
      </w:r>
      <w:r>
        <w:rPr>
          <w:rFonts w:hint="eastAsia" w:ascii="仿宋_GB2312" w:hAnsi="仿宋" w:eastAsia="仿宋_GB2312" w:cs="仿宋"/>
          <w:b w:val="0"/>
          <w:sz w:val="32"/>
          <w:szCs w:val="30"/>
        </w:rPr>
        <w:t>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6"/>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8"/>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jc w:val="both"/>
        <w:rPr>
          <w:rFonts w:hint="eastAsia" w:ascii="仿宋" w:hAnsi="仿宋" w:eastAsia="仿宋" w:cs="仿宋"/>
          <w:sz w:val="32"/>
          <w:szCs w:val="32"/>
        </w:rPr>
      </w:pPr>
      <w:r>
        <w:rPr>
          <w:rFonts w:hint="eastAsia" w:ascii="仿宋" w:hAnsi="仿宋" w:eastAsia="仿宋" w:cs="仿宋"/>
          <w:sz w:val="32"/>
          <w:szCs w:val="32"/>
        </w:rPr>
        <w:br w:type="page"/>
      </w:r>
    </w:p>
    <w:p>
      <w:pPr>
        <w:jc w:val="both"/>
        <w:rPr>
          <w:rFonts w:hint="eastAsia" w:ascii="仿宋" w:hAnsi="仿宋" w:eastAsia="仿宋" w:cs="仿宋"/>
          <w:sz w:val="32"/>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4</w:t>
      </w:r>
      <w:r>
        <w:rPr>
          <w:rFonts w:hint="eastAsia" w:ascii="仿宋_GB2312" w:hAnsi="仿宋_GB2312" w:eastAsia="仿宋_GB2312" w:cs="仿宋_GB2312"/>
          <w:sz w:val="28"/>
          <w:szCs w:val="32"/>
        </w:rPr>
        <w:t>：环保协议</w:t>
      </w:r>
    </w:p>
    <w:p>
      <w:pPr>
        <w:spacing w:before="156" w:beforeLines="50" w:after="156" w:afterLines="50" w:line="300" w:lineRule="auto"/>
        <w:jc w:val="center"/>
        <w:rPr>
          <w:rFonts w:hint="eastAsia" w:ascii="黑体" w:hAnsi="黑体" w:eastAsia="黑体" w:cs="黑体"/>
          <w:sz w:val="36"/>
          <w:szCs w:val="36"/>
        </w:rPr>
      </w:pPr>
      <w:r>
        <w:rPr>
          <w:rFonts w:hint="eastAsia" w:ascii="黑体" w:hAnsi="黑体" w:eastAsia="黑体" w:cs="黑体"/>
          <w:sz w:val="36"/>
          <w:szCs w:val="36"/>
        </w:rPr>
        <w:t>环保管理协议书</w:t>
      </w:r>
    </w:p>
    <w:p>
      <w:pPr>
        <w:spacing w:before="156" w:beforeLines="50" w:after="156" w:afterLines="50" w:line="300" w:lineRule="auto"/>
        <w:rPr>
          <w:rFonts w:hint="eastAsia" w:ascii="仿宋_GB2312" w:hAnsi="宋体" w:eastAsia="仿宋_GB2312" w:cs="Times New Roman"/>
          <w:sz w:val="28"/>
          <w:szCs w:val="28"/>
        </w:rPr>
      </w:pP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发包方：</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承包方：</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为中粮糖业控股股份有限公司在劳务外包期间厂区及周边环境保护工作，减少作业对厂区环境的污染，认真贯彻执行环境保护等有关法律法规，结合本单位实际情况，经甲乙双方同意特签订环境保护协议如下：</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第一条乙方为甲方劳务外包期间，应满足如下要求：</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（一）乙方在甲方现场的所有活动必须遵守国家相关法律法规。</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（二）乙方进入甲方厂内必须对因施工或其他生产行为可能对环境造成的污染应采取积极预防并不断改进的措施，确保污染物达标排放，同时应做出持续改进的承诺。</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（三）乙方在甲方厂内工作前有义务主动向甲方了解作业区域内环保管理要求。</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（四）甲乙双方合同履行期间，乙方必须采取有效措施将乙方人员在劳动过程对产生环境影响的主要因素进行有效控制。</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（五）乙方人员在上岗前必须对现场作业人员进行环保教育或培训，提高现场人员的环保意识。</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（六）乙方必须建立一套环境事故应急反应预案并且在甲方处备案。</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（七）甲方将不定期对乙方在环境保护方面的工作落实情况进行检查，乙方应积极配合，如有检查确认的不合格项，乙方须予以整改。</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（八）乙方在环境保护工作落实期间如遇突发问题,甲方应予以积极协助和指导。乙方在整个劳务外包期间,始终具有履行环境保护工作的责任和义务。甲方负责检查、指导和监督。</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（九）以上对乙方的环保要求的最终解释权归甲方所有，乙方可向甲方进行咨询。</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（十）如有未尽事宜，甲乙双方及时协商。</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（十一）本协议一式两份，双方各持一份，协议内容自双方盖章之日起开始实施。</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甲方：</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（盖章）</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日期：      年   月   日</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乙方：</w:t>
      </w:r>
    </w:p>
    <w:p>
      <w:pPr>
        <w:spacing w:before="156" w:beforeLines="50" w:after="156" w:afterLines="50" w:line="30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（盖章）</w:t>
      </w:r>
    </w:p>
    <w:p>
      <w:pPr>
        <w:spacing w:before="156" w:beforeLines="50" w:after="156" w:afterLines="50" w:line="300" w:lineRule="auto"/>
      </w:pPr>
      <w:r>
        <w:rPr>
          <w:rFonts w:hint="eastAsia" w:ascii="仿宋_GB2312" w:hAnsi="宋体" w:eastAsia="仿宋_GB2312" w:cs="Times New Roman"/>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288B7"/>
    <w:multiLevelType w:val="singleLevel"/>
    <w:tmpl w:val="8A4288B7"/>
    <w:lvl w:ilvl="0" w:tentative="0">
      <w:start w:val="3"/>
      <w:numFmt w:val="decimal"/>
      <w:lvlText w:val="%1."/>
      <w:lvlJc w:val="left"/>
      <w:pPr>
        <w:tabs>
          <w:tab w:val="left" w:pos="312"/>
        </w:tabs>
      </w:pPr>
    </w:lvl>
  </w:abstractNum>
  <w:abstractNum w:abstractNumId="1">
    <w:nsid w:val="8C87D72E"/>
    <w:multiLevelType w:val="singleLevel"/>
    <w:tmpl w:val="8C87D72E"/>
    <w:lvl w:ilvl="0" w:tentative="0">
      <w:start w:val="3"/>
      <w:numFmt w:val="decimal"/>
      <w:lvlText w:val="%1."/>
      <w:lvlJc w:val="left"/>
      <w:pPr>
        <w:tabs>
          <w:tab w:val="left" w:pos="312"/>
        </w:tabs>
      </w:pPr>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lang w:val="en-US"/>
      </w:rPr>
    </w:lvl>
  </w:abstractNum>
  <w:abstractNum w:abstractNumId="3">
    <w:nsid w:val="27A34325"/>
    <w:multiLevelType w:val="singleLevel"/>
    <w:tmpl w:val="27A34325"/>
    <w:lvl w:ilvl="0" w:tentative="0">
      <w:start w:val="3"/>
      <w:numFmt w:val="decimal"/>
      <w:lvlText w:val="%1."/>
      <w:lvlJc w:val="left"/>
      <w:pPr>
        <w:tabs>
          <w:tab w:val="left" w:pos="312"/>
        </w:tabs>
      </w:pPr>
    </w:lvl>
  </w:abstractNum>
  <w:abstractNum w:abstractNumId="4">
    <w:nsid w:val="470B5F6E"/>
    <w:multiLevelType w:val="singleLevel"/>
    <w:tmpl w:val="470B5F6E"/>
    <w:lvl w:ilvl="0" w:tentative="0">
      <w:start w:val="3"/>
      <w:numFmt w:val="decimal"/>
      <w:lvlText w:val="%1."/>
      <w:lvlJc w:val="left"/>
      <w:pPr>
        <w:tabs>
          <w:tab w:val="left" w:pos="312"/>
        </w:tabs>
      </w:pPr>
    </w:lvl>
  </w:abstractNum>
  <w:abstractNum w:abstractNumId="5">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jNhNjY4MDA3ZWVjZjJlODBlYTI5NDZkZjZlMzUifQ=="/>
  </w:docVars>
  <w:rsids>
    <w:rsidRoot w:val="003A308F"/>
    <w:rsid w:val="0002010D"/>
    <w:rsid w:val="000845B6"/>
    <w:rsid w:val="00086847"/>
    <w:rsid w:val="00092D68"/>
    <w:rsid w:val="001253D7"/>
    <w:rsid w:val="001A5466"/>
    <w:rsid w:val="00237540"/>
    <w:rsid w:val="002A74E5"/>
    <w:rsid w:val="002B6A38"/>
    <w:rsid w:val="003565DF"/>
    <w:rsid w:val="003A308F"/>
    <w:rsid w:val="003C3907"/>
    <w:rsid w:val="003D597A"/>
    <w:rsid w:val="004B1675"/>
    <w:rsid w:val="0052728A"/>
    <w:rsid w:val="006B0770"/>
    <w:rsid w:val="00770BA6"/>
    <w:rsid w:val="00812135"/>
    <w:rsid w:val="008B3454"/>
    <w:rsid w:val="009105C9"/>
    <w:rsid w:val="009136F4"/>
    <w:rsid w:val="00974B3E"/>
    <w:rsid w:val="00994EF0"/>
    <w:rsid w:val="009A6EE9"/>
    <w:rsid w:val="009B32DA"/>
    <w:rsid w:val="00A47F9D"/>
    <w:rsid w:val="00A54B08"/>
    <w:rsid w:val="00AA3292"/>
    <w:rsid w:val="00B737DB"/>
    <w:rsid w:val="00B7677E"/>
    <w:rsid w:val="00C2797C"/>
    <w:rsid w:val="00E626EF"/>
    <w:rsid w:val="00E73073"/>
    <w:rsid w:val="00EB377E"/>
    <w:rsid w:val="00EE157C"/>
    <w:rsid w:val="00EF2887"/>
    <w:rsid w:val="00F7693C"/>
    <w:rsid w:val="00F83E71"/>
    <w:rsid w:val="00FB2BE2"/>
    <w:rsid w:val="01FC2DC5"/>
    <w:rsid w:val="232474D6"/>
    <w:rsid w:val="49F031DE"/>
    <w:rsid w:val="4A37665F"/>
    <w:rsid w:val="56F558DF"/>
    <w:rsid w:val="67162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rFonts w:ascii="Calibri" w:hAnsi="Calibri"/>
      <w:szCs w:val="22"/>
    </w:rPr>
  </w:style>
  <w:style w:type="character" w:customStyle="1" w:styleId="11">
    <w:name w:val="页眉 Char"/>
    <w:basedOn w:val="10"/>
    <w:link w:val="7"/>
    <w:autoRedefine/>
    <w:uiPriority w:val="99"/>
    <w:rPr>
      <w:sz w:val="18"/>
      <w:szCs w:val="18"/>
    </w:rPr>
  </w:style>
  <w:style w:type="character" w:customStyle="1" w:styleId="12">
    <w:name w:val="页脚 Char"/>
    <w:basedOn w:val="10"/>
    <w:link w:val="6"/>
    <w:uiPriority w:val="99"/>
    <w:rPr>
      <w:sz w:val="18"/>
      <w:szCs w:val="18"/>
    </w:rPr>
  </w:style>
  <w:style w:type="paragraph" w:customStyle="1" w:styleId="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4">
    <w:name w:val="标题 2 Char"/>
    <w:basedOn w:val="10"/>
    <w:link w:val="3"/>
    <w:autoRedefine/>
    <w:semiHidden/>
    <w:qFormat/>
    <w:uiPriority w:val="9"/>
    <w:rPr>
      <w:rFonts w:asciiTheme="majorHAnsi" w:hAnsiTheme="majorHAnsi" w:eastAsiaTheme="majorEastAsia" w:cstheme="majorBidi"/>
      <w:b/>
      <w:bCs/>
      <w:sz w:val="32"/>
      <w:szCs w:val="32"/>
    </w:rPr>
  </w:style>
  <w:style w:type="character" w:customStyle="1" w:styleId="15">
    <w:name w:val="表格文字 Char"/>
    <w:link w:val="16"/>
    <w:autoRedefine/>
    <w:qFormat/>
    <w:uiPriority w:val="2"/>
    <w:rPr>
      <w:szCs w:val="21"/>
    </w:rPr>
  </w:style>
  <w:style w:type="paragraph" w:customStyle="1" w:styleId="16">
    <w:name w:val="表格文字"/>
    <w:basedOn w:val="1"/>
    <w:link w:val="15"/>
    <w:autoRedefine/>
    <w:qFormat/>
    <w:uiPriority w:val="2"/>
    <w:rPr>
      <w:szCs w:val="21"/>
    </w:rPr>
  </w:style>
  <w:style w:type="character" w:customStyle="1" w:styleId="17">
    <w:name w:val="font21"/>
    <w:basedOn w:val="10"/>
    <w:autoRedefine/>
    <w:qFormat/>
    <w:uiPriority w:val="0"/>
    <w:rPr>
      <w:rFonts w:hint="default" w:ascii="Arial" w:hAnsi="Arial" w:cs="Arial"/>
      <w:color w:val="000000"/>
      <w:sz w:val="20"/>
      <w:szCs w:val="20"/>
      <w:u w:val="none"/>
    </w:rPr>
  </w:style>
  <w:style w:type="paragraph" w:styleId="18">
    <w:name w:val="List Paragraph"/>
    <w:basedOn w:val="1"/>
    <w:autoRedefine/>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364</Words>
  <Characters>2076</Characters>
  <Lines>17</Lines>
  <Paragraphs>4</Paragraphs>
  <TotalTime>1</TotalTime>
  <ScaleCrop>false</ScaleCrop>
  <LinksUpToDate>false</LinksUpToDate>
  <CharactersWithSpaces>2436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 乾龙</cp:lastModifiedBy>
  <dcterms:modified xsi:type="dcterms:W3CDTF">2024-06-06T09:45:15Z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FCB6FAC4EC134EF89568C40336BC9A83_13</vt:lpwstr>
  </property>
</Properties>
</file>