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中粮屯河番茄有限公司外贸代理供应商准入谈判采购，采购人为中粮屯河番茄有限公司。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中粮屯河番茄有限公司外贸代理供应商准入谈判采购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每年我公司出口货量初步预估约为8</w:t>
      </w:r>
      <w:bookmarkStart w:id="18" w:name="_GoBack"/>
      <w:bookmarkEnd w:id="18"/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万吨，具体数量以实际为准。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_GB2312" w:hAnsi="黑体" w:eastAsia="仿宋_GB2312" w:cs="黑体"/>
          <w:b/>
          <w:bCs/>
          <w:sz w:val="28"/>
          <w:szCs w:val="28"/>
          <w:highlight w:val="none"/>
          <w:lang w:val="en-US" w:eastAsia="zh-CN"/>
        </w:rPr>
        <w:t>天津港口、连云港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外贸进出口业务订舱、配载、装箱、运输等事宜。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2024年8月1日-长期（供应商不纳入黑名单，供应商资格长期有效）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:00前交纳3万元（叁万元整）/最低5000元（伍仟元整）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外贸代理供应商准入意向保证金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2024年7月3日9：00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前在中粮糖业EPS采购平台（网址：https://eps.tunhe.com/Supplier/ForeSupplier/QwRegStepStart）完成注册；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2024年7月5日9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点前完成系统报名；采购人组织资格审查合格后，供应商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2024年7月8日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25027"/>
      <w:bookmarkStart w:id="6" w:name="_Toc30288"/>
      <w:bookmarkStart w:id="7" w:name="_Toc9870"/>
      <w:bookmarkStart w:id="8" w:name="_Toc17966"/>
      <w:bookmarkStart w:id="9" w:name="_Toc32404"/>
      <w:bookmarkStart w:id="10" w:name="_Toc1597"/>
      <w:bookmarkStart w:id="11" w:name="_Toc5837"/>
      <w:bookmarkStart w:id="12" w:name="_Toc25787"/>
      <w:bookmarkStart w:id="13" w:name="_Toc26629"/>
      <w:bookmarkStart w:id="14" w:name="_Toc27851"/>
      <w:bookmarkStart w:id="15" w:name="_Toc13094"/>
      <w:bookmarkStart w:id="16" w:name="_Toc12326"/>
      <w:bookmarkStart w:id="17" w:name="_Toc1824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pStyle w:val="3"/>
        <w:ind w:firstLine="560" w:firstLineChars="200"/>
        <w:jc w:val="left"/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>采购业务监督人员</w:t>
      </w:r>
      <w:r>
        <w:rPr>
          <w:rFonts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>及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>电话：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杨丽娟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 xml:space="preserve"> 18622860565/仲廷霞 13689908372</w:t>
      </w:r>
    </w:p>
    <w:p>
      <w:pPr>
        <w:pStyle w:val="3"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>采购业务监督人员邮箱：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>yanglj.th@cofco.com/zhongtx@cofco.com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 xml:space="preserve"> 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UwMDA3YTVmNzA4ODE4MWIyYWIyNThiMmNlNjAifQ=="/>
  </w:docVars>
  <w:rsids>
    <w:rsidRoot w:val="3C234AC0"/>
    <w:rsid w:val="0D7F41E7"/>
    <w:rsid w:val="117776E6"/>
    <w:rsid w:val="3C234AC0"/>
    <w:rsid w:val="40DE086C"/>
    <w:rsid w:val="4E506146"/>
    <w:rsid w:val="64411C2C"/>
    <w:rsid w:val="691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杨华东</cp:lastModifiedBy>
  <dcterms:modified xsi:type="dcterms:W3CDTF">2024-07-02T09:51:06Z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98C7F4BF4D294B7EB2F894906D912360_13</vt:lpwstr>
  </property>
</Properties>
</file>