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B4F56C">
      <w:pPr>
        <w:spacing w:line="560" w:lineRule="exact"/>
        <w:jc w:val="cente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中粮梁河糖业公司设备购置及土建项目-梁河糖业2024年勐养动力车间35t/h锅炉修理项目设备采购谈判采购文件</w:t>
      </w:r>
    </w:p>
    <w:p w14:paraId="33DDA760">
      <w:pPr>
        <w:rPr>
          <w:rFonts w:ascii="Times New Roman" w:hAnsi="Times New Roman" w:eastAsia="仿宋_GB2312" w:cs="Times New Roman"/>
          <w:b/>
          <w:snapToGrid w:val="0"/>
          <w:sz w:val="36"/>
          <w:szCs w:val="36"/>
        </w:rPr>
      </w:pPr>
    </w:p>
    <w:p w14:paraId="5CFDC6B1">
      <w:pPr>
        <w:jc w:val="center"/>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（采购编号： 2024年</w:t>
      </w:r>
      <w:r>
        <w:rPr>
          <w:rFonts w:hint="eastAsia" w:ascii="Times New Roman" w:hAnsi="Times New Roman" w:eastAsia="仿宋_GB2312" w:cs="Times New Roman"/>
          <w:snapToGrid w:val="0"/>
          <w:sz w:val="32"/>
          <w:szCs w:val="32"/>
          <w:lang w:val="en-US" w:eastAsia="zh-CN"/>
        </w:rPr>
        <w:t>6</w:t>
      </w:r>
      <w:r>
        <w:rPr>
          <w:rFonts w:ascii="Times New Roman" w:hAnsi="Times New Roman" w:eastAsia="仿宋_GB2312" w:cs="Times New Roman"/>
          <w:snapToGrid w:val="0"/>
          <w:sz w:val="32"/>
          <w:szCs w:val="32"/>
        </w:rPr>
        <w:t>月 ）</w:t>
      </w:r>
    </w:p>
    <w:p w14:paraId="35C15C49">
      <w:pPr>
        <w:rPr>
          <w:rFonts w:ascii="Times New Roman" w:hAnsi="Times New Roman" w:cs="Times New Roman"/>
          <w:snapToGrid w:val="0"/>
        </w:rPr>
      </w:pPr>
    </w:p>
    <w:p w14:paraId="28AAF166">
      <w:pPr>
        <w:rPr>
          <w:rFonts w:ascii="Times New Roman" w:hAnsi="Times New Roman" w:cs="Times New Roman"/>
          <w:snapToGrid w:val="0"/>
        </w:rPr>
      </w:pPr>
    </w:p>
    <w:p w14:paraId="22F330FA">
      <w:pPr>
        <w:rPr>
          <w:rFonts w:ascii="Times New Roman" w:hAnsi="Times New Roman" w:cs="Times New Roman"/>
          <w:snapToGrid w:val="0"/>
        </w:rPr>
      </w:pPr>
    </w:p>
    <w:p w14:paraId="11F3CE88">
      <w:pPr>
        <w:rPr>
          <w:rFonts w:ascii="Times New Roman" w:hAnsi="Times New Roman" w:cs="Times New Roman"/>
          <w:snapToGrid w:val="0"/>
        </w:rPr>
      </w:pPr>
    </w:p>
    <w:p w14:paraId="727D6519">
      <w:pPr>
        <w:jc w:val="center"/>
        <w:outlineLvl w:val="0"/>
        <w:rPr>
          <w:rFonts w:ascii="Times New Roman" w:hAnsi="Times New Roman" w:eastAsia="仿宋_GB2312" w:cs="Times New Roman"/>
          <w:snapToGrid w:val="0"/>
          <w:sz w:val="32"/>
          <w:szCs w:val="32"/>
        </w:rPr>
      </w:pPr>
      <w:bookmarkStart w:id="0" w:name="_Toc23171"/>
      <w:r>
        <w:rPr>
          <w:rFonts w:ascii="Times New Roman" w:hAnsi="Times New Roman" w:eastAsia="仿宋_GB2312" w:cs="Times New Roman"/>
          <w:snapToGrid w:val="0"/>
          <w:sz w:val="32"/>
          <w:szCs w:val="32"/>
        </w:rPr>
        <w:t>谈判采购文件</w:t>
      </w:r>
      <w:bookmarkEnd w:id="0"/>
    </w:p>
    <w:p w14:paraId="0C0F0FBC">
      <w:pPr>
        <w:jc w:val="center"/>
        <w:rPr>
          <w:rFonts w:ascii="Times New Roman" w:hAnsi="Times New Roman" w:cs="Times New Roman"/>
          <w:snapToGrid w:val="0"/>
        </w:rPr>
      </w:pPr>
    </w:p>
    <w:p w14:paraId="03872335">
      <w:pPr>
        <w:jc w:val="center"/>
        <w:rPr>
          <w:rFonts w:ascii="Times New Roman" w:hAnsi="Times New Roman" w:cs="Times New Roman"/>
          <w:snapToGrid w:val="0"/>
        </w:rPr>
      </w:pPr>
    </w:p>
    <w:p w14:paraId="19631622">
      <w:pPr>
        <w:jc w:val="center"/>
        <w:rPr>
          <w:rFonts w:ascii="Times New Roman" w:hAnsi="Times New Roman" w:cs="Times New Roman"/>
          <w:snapToGrid w:val="0"/>
        </w:rPr>
      </w:pPr>
    </w:p>
    <w:p w14:paraId="28BCCB34">
      <w:pPr>
        <w:jc w:val="center"/>
        <w:rPr>
          <w:rFonts w:ascii="Times New Roman" w:hAnsi="Times New Roman" w:cs="Times New Roman"/>
          <w:snapToGrid w:val="0"/>
        </w:rPr>
      </w:pPr>
    </w:p>
    <w:p w14:paraId="6A283866">
      <w:pPr>
        <w:jc w:val="center"/>
        <w:rPr>
          <w:rFonts w:ascii="Times New Roman" w:hAnsi="Times New Roman" w:cs="Times New Roman"/>
          <w:snapToGrid w:val="0"/>
        </w:rPr>
      </w:pPr>
    </w:p>
    <w:p w14:paraId="18A5AFCF">
      <w:pPr>
        <w:jc w:val="center"/>
        <w:rPr>
          <w:rFonts w:ascii="Times New Roman" w:hAnsi="Times New Roman" w:cs="Times New Roman"/>
          <w:snapToGrid w:val="0"/>
        </w:rPr>
      </w:pPr>
    </w:p>
    <w:p w14:paraId="6D288D87">
      <w:pPr>
        <w:jc w:val="center"/>
        <w:rPr>
          <w:rFonts w:ascii="Times New Roman" w:hAnsi="Times New Roman" w:cs="Times New Roman"/>
          <w:snapToGrid w:val="0"/>
        </w:rPr>
      </w:pPr>
    </w:p>
    <w:p w14:paraId="71F88636">
      <w:pPr>
        <w:jc w:val="center"/>
        <w:rPr>
          <w:rFonts w:ascii="Times New Roman" w:hAnsi="Times New Roman" w:eastAsia="仿宋_GB2312" w:cs="Times New Roman"/>
          <w:snapToGrid w:val="0"/>
          <w:sz w:val="32"/>
          <w:szCs w:val="32"/>
          <w:u w:val="none"/>
        </w:rPr>
      </w:pPr>
      <w:r>
        <w:rPr>
          <w:rFonts w:ascii="Times New Roman" w:hAnsi="Times New Roman" w:eastAsia="仿宋_GB2312" w:cs="Times New Roman"/>
          <w:snapToGrid w:val="0"/>
          <w:sz w:val="32"/>
          <w:szCs w:val="32"/>
          <w:u w:val="none"/>
        </w:rPr>
        <w:t>采购组织：中粮梁河糖业有限公司（盖单位公章）</w:t>
      </w:r>
    </w:p>
    <w:p w14:paraId="41C148AC">
      <w:pPr>
        <w:jc w:val="center"/>
        <w:rPr>
          <w:rFonts w:ascii="Times New Roman" w:hAnsi="Times New Roman" w:eastAsia="仿宋_GB2312" w:cs="Times New Roman"/>
          <w:snapToGrid w:val="0"/>
          <w:sz w:val="28"/>
          <w:szCs w:val="28"/>
        </w:rPr>
      </w:pPr>
    </w:p>
    <w:p w14:paraId="0CEAECF7">
      <w:pPr>
        <w:jc w:val="center"/>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 xml:space="preserve">2024 年  </w:t>
      </w:r>
      <w:r>
        <w:rPr>
          <w:rFonts w:hint="eastAsia" w:ascii="Times New Roman" w:hAnsi="Times New Roman" w:eastAsia="仿宋_GB2312" w:cs="Times New Roman"/>
          <w:snapToGrid w:val="0"/>
          <w:sz w:val="32"/>
          <w:szCs w:val="32"/>
          <w:lang w:val="en-US" w:eastAsia="zh-CN"/>
        </w:rPr>
        <w:t>6</w:t>
      </w:r>
      <w:r>
        <w:rPr>
          <w:rFonts w:ascii="Times New Roman" w:hAnsi="Times New Roman" w:eastAsia="仿宋_GB2312" w:cs="Times New Roman"/>
          <w:snapToGrid w:val="0"/>
          <w:sz w:val="32"/>
          <w:szCs w:val="32"/>
        </w:rPr>
        <w:t>月</w:t>
      </w:r>
      <w:r>
        <w:rPr>
          <w:rFonts w:hint="eastAsia" w:ascii="Times New Roman" w:hAnsi="Times New Roman" w:eastAsia="仿宋_GB2312" w:cs="Times New Roman"/>
          <w:snapToGrid w:val="0"/>
          <w:sz w:val="32"/>
          <w:szCs w:val="32"/>
          <w:lang w:val="en-US" w:eastAsia="zh-CN"/>
        </w:rPr>
        <w:t>25</w:t>
      </w:r>
      <w:r>
        <w:rPr>
          <w:rFonts w:ascii="Times New Roman" w:hAnsi="Times New Roman" w:eastAsia="仿宋_GB2312" w:cs="Times New Roman"/>
          <w:snapToGrid w:val="0"/>
          <w:sz w:val="32"/>
          <w:szCs w:val="32"/>
        </w:rPr>
        <w:t xml:space="preserve"> 日</w:t>
      </w:r>
    </w:p>
    <w:p w14:paraId="137F2104">
      <w:pPr>
        <w:rPr>
          <w:rFonts w:ascii="Times New Roman" w:hAnsi="Times New Roman" w:cs="Times New Roman"/>
          <w:snapToGrid w:val="0"/>
        </w:rPr>
      </w:pPr>
    </w:p>
    <w:p w14:paraId="67BACCE9">
      <w:pPr>
        <w:rPr>
          <w:rFonts w:ascii="Times New Roman" w:hAnsi="Times New Roman" w:cs="Times New Roman"/>
          <w:snapToGrid w:val="0"/>
        </w:rPr>
      </w:pPr>
      <w:r>
        <w:rPr>
          <w:rFonts w:ascii="Times New Roman" w:hAnsi="Times New Roman" w:cs="Times New Roman"/>
          <w:snapToGrid w:val="0"/>
        </w:rPr>
        <w:br w:type="page"/>
      </w:r>
    </w:p>
    <w:sdt>
      <w:sdtPr>
        <w:rPr>
          <w:rFonts w:ascii="宋体" w:hAnsi="宋体" w:eastAsia="宋体" w:cstheme="minorBidi"/>
          <w:sz w:val="21"/>
          <w:szCs w:val="21"/>
          <w:lang w:val="en-US" w:eastAsia="zh-CN" w:bidi="ar-SA"/>
        </w:rPr>
        <w:id w:val="147469393"/>
        <w15:color w:val="DBDBDB"/>
        <w:docPartObj>
          <w:docPartGallery w:val="Table of Contents"/>
          <w:docPartUnique/>
        </w:docPartObj>
      </w:sdtPr>
      <w:sdtEndPr>
        <w:rPr>
          <w:rFonts w:ascii="宋体" w:hAnsi="宋体" w:eastAsia="宋体" w:cstheme="minorBidi"/>
          <w:sz w:val="21"/>
          <w:szCs w:val="21"/>
          <w:lang w:val="en-US" w:eastAsia="zh-CN" w:bidi="ar-SA"/>
        </w:rPr>
      </w:sdtEndPr>
      <w:sdtContent>
        <w:p w14:paraId="01ECF03D">
          <w:pPr>
            <w:spacing w:before="0" w:beforeLines="0" w:after="0" w:afterLines="0" w:line="240" w:lineRule="auto"/>
            <w:ind w:left="0" w:leftChars="0" w:right="0" w:righ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目录</w:t>
          </w:r>
        </w:p>
        <w:p w14:paraId="496A1EAA">
          <w:pPr>
            <w:pStyle w:val="134"/>
            <w:tabs>
              <w:tab w:val="right" w:leader="dot" w:pos="8737"/>
            </w:tabs>
            <w:rPr>
              <w:rFonts w:hint="eastAsia" w:ascii="仿宋_GB2312" w:hAnsi="仿宋_GB2312" w:eastAsia="仿宋_GB2312" w:cs="仿宋_GB2312"/>
              <w:sz w:val="24"/>
              <w:szCs w:val="24"/>
            </w:rPr>
          </w:pPr>
          <w:r>
            <w:fldChar w:fldCharType="begin"/>
          </w:r>
          <w:r>
            <w:instrText xml:space="preserve">TOC \o "1-3" \h \u </w:instrText>
          </w:r>
          <w:r>
            <w:fldChar w:fldCharType="separate"/>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_Toc1348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第一章  谈判采购公告</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_Toc1348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492DA4C0">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_Toc12422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1.采购项目简介</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_Toc12422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B73E8E5">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_Toc18860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2.采购范围及相关要求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_Toc18860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4257D75E">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_Toc22381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3.供应商资格要求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_Toc22381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A6699F1">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_Toc29639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4.采购文件的获取</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_Toc29639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D0662ED">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_Toc21137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5.响应保证金</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_Toc21137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EF14FE0">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_Toc4800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6.响应文件的上传</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_Toc4800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BF4A5BA">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_Toc4542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7.响应文件的开启</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_Toc4542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483D5B49">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_Toc22289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8.谈判时间和地点</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_Toc22289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5155C291">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_Toc32096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9.谈判方式</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_Toc32096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4D04A391">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_Toc12301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9.纪检监督</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_Toc12301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55A29B0D">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_Toc7841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10.其他</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_Toc7841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0BD80DF">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_Toc2505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11.联系方式</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_Toc2505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88ACF4C">
          <w:pPr>
            <w:pStyle w:val="134"/>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_Toc23495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第二章  供应商须知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_Toc23495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4E4A933">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_Toc26913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napToGrid w:val="0"/>
              <w:sz w:val="24"/>
              <w:szCs w:val="24"/>
            </w:rPr>
            <w:t>供应商须知前附表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_Toc26913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16</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A105C92">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_Toc15877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1.总则</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_Toc15877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59113325">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_Toc7980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2.采购文件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_Toc7980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4F23F661">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_Toc28275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3.响应文件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_Toc28275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25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2B4DC7A">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_Toc23646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4.采购和评审</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_Toc23646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25966DB">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_Toc7582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5．合同授予</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_Toc7582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272AE74">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_Toc10966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6．纪律要求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_Toc10966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565514DF">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_Toc24517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7．需要补充的其他内容</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_Toc24517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54AF733A">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_Toc14868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附件1 问题澄清通知</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_Toc14868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36</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ABC853A">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_Toc28448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附件2 问题的澄清</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_Toc28448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DB5BD25">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_Toc7570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附件3 成交通知书</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_Toc7570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05F1D37">
          <w:pPr>
            <w:pStyle w:val="134"/>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_Toc21353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val="0"/>
              <w:snapToGrid w:val="0"/>
              <w:sz w:val="24"/>
              <w:szCs w:val="24"/>
              <w:lang w:eastAsia="zh-CN"/>
            </w:rPr>
            <w:t>第三</w:t>
          </w:r>
          <w:r>
            <w:rPr>
              <w:rFonts w:hint="eastAsia" w:ascii="仿宋_GB2312" w:hAnsi="仿宋_GB2312" w:eastAsia="仿宋_GB2312" w:cs="仿宋_GB2312"/>
              <w:bCs w:val="0"/>
              <w:snapToGrid w:val="0"/>
              <w:sz w:val="24"/>
              <w:szCs w:val="24"/>
              <w:lang w:val="en-US" w:eastAsia="zh-CN"/>
            </w:rPr>
            <w:t xml:space="preserve"> </w:t>
          </w:r>
          <w:r>
            <w:rPr>
              <w:rFonts w:hint="eastAsia" w:ascii="仿宋_GB2312" w:hAnsi="仿宋_GB2312" w:eastAsia="仿宋_GB2312" w:cs="仿宋_GB2312"/>
              <w:bCs w:val="0"/>
              <w:snapToGrid w:val="0"/>
              <w:sz w:val="24"/>
              <w:szCs w:val="24"/>
              <w:lang w:eastAsia="zh-CN"/>
            </w:rPr>
            <w:t>章评审办法</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_Toc21353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39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86C8D43">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_Toc16652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评审办法前附表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_Toc16652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81E0F66">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_Toc30893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1.评审方法（综合评分法）</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_Toc30893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ED527BB">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_Toc32737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2.初步评审标准和程序</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_Toc32737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545B9030">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_Toc4534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3.详细评审标准和程序</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_Toc4534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47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478FAA09">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_Toc1149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4.评审结果</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_Toc1149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7D5F63E">
          <w:pPr>
            <w:pStyle w:val="134"/>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_Toc27270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Cs/>
              <w:snapToGrid w:val="0"/>
              <w:sz w:val="24"/>
              <w:szCs w:val="24"/>
            </w:rPr>
            <w:t>第四章合同（草案）</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_Toc27270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1181450">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_Toc2539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一、合同标的</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_Toc2539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4298923">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_Toc609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二、付款</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_Toc609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BFC9707">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_Toc25928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三、铭牌及标准</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_Toc25928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08CFE1A">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_Toc20546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四、交货及完工时间</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_Toc20546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E3B0686">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_Toc30516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五、验收、质量保证</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_Toc30516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1A424E8">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_Toc7111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六、违约责任</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_Toc7111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043FF9B">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_Toc18385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七、不可抗力事件处理</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_Toc18385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59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C86311E">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_Toc8183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八、合同争议的解决</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_Toc8183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A0D7C77">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_Toc16728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九、知识产权</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_Toc16728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4D35BC9D">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_Toc25197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十、合同生效及其它</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_Toc25197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B31A600">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_Toc29554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十一、组成合同的文件</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_Toc29554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449EC7E4">
          <w:pPr>
            <w:pStyle w:val="136"/>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_Toc20873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附件1. 技术协议</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_Toc20873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4A8BEEC7">
          <w:pPr>
            <w:pStyle w:val="135"/>
            <w:tabs>
              <w:tab w:val="right" w:leader="dot" w:pos="8737"/>
            </w:tabs>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_Toc5606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附件2. 廉洁合同</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_Toc5606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68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057890A">
          <w:pPr>
            <w:pStyle w:val="136"/>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_Toc26586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附件3：安全管理协议书</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_Toc26586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71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5A602398">
          <w:pPr>
            <w:pStyle w:val="136"/>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_Toc19181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附件4：环保管理协议书</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_Toc19181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88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1DB8471">
          <w:pPr>
            <w:pStyle w:val="136"/>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_Toc24660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第一条乙方为甲方劳务外包期间，应满足如下要求：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_Toc24660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88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0668919A">
          <w:pPr>
            <w:pStyle w:val="134"/>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_Toc7481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第五章  采购需求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_Toc7481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93</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1F7409A">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_Toc20331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一、项目名称：</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_Toc20331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87003FB">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_Toc7587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二、项目内容：</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_Toc7587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9D4015E">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_Toc3441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三、交货期限</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napToGrid w:val="0"/>
              <w:sz w:val="24"/>
              <w:szCs w:val="24"/>
            </w:rPr>
            <w:t>合同签订后</w:t>
          </w:r>
          <w:r>
            <w:rPr>
              <w:rFonts w:hint="eastAsia" w:ascii="仿宋_GB2312" w:hAnsi="仿宋_GB2312" w:eastAsia="仿宋_GB2312" w:cs="仿宋_GB2312"/>
              <w:snapToGrid w:val="0"/>
              <w:sz w:val="24"/>
              <w:szCs w:val="24"/>
              <w:lang w:val="en-US" w:eastAsia="zh-CN"/>
            </w:rPr>
            <w:t>75</w:t>
          </w:r>
          <w:r>
            <w:rPr>
              <w:rFonts w:hint="eastAsia" w:ascii="仿宋_GB2312" w:hAnsi="仿宋_GB2312" w:eastAsia="仿宋_GB2312" w:cs="仿宋_GB2312"/>
              <w:snapToGrid w:val="0"/>
              <w:sz w:val="24"/>
              <w:szCs w:val="24"/>
              <w:highlight w:val="none"/>
            </w:rPr>
            <w:t>日历天</w:t>
          </w:r>
          <w:r>
            <w:rPr>
              <w:rFonts w:hint="eastAsia" w:ascii="仿宋_GB2312" w:hAnsi="仿宋_GB2312" w:eastAsia="仿宋_GB2312" w:cs="仿宋_GB2312"/>
              <w:snapToGrid w:val="0"/>
              <w:sz w:val="24"/>
              <w:szCs w:val="24"/>
              <w:highlight w:val="none"/>
              <w:lang w:eastAsia="zh-CN"/>
            </w:rPr>
            <w:t>。</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_Toc3441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10C66F30">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_Toc1000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四、采购技术规格及参数要求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_Toc1000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DE24B0F">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_Toc20229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五、项目安全要求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_Toc20229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62B3EA7">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_Toc19158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六、项目制作及安装工程质量要求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_Toc19158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D24EFE3">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_Toc17881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七、项目环保及现场卫生要求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_Toc17881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E821D46">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_Toc14237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八、项目施工人员管理要求</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_Toc14237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98</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56BBDCAD">
          <w:pPr>
            <w:pStyle w:val="134"/>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_Toc28503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第六章  响应文件格式</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_Toc28503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99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80EF50F">
          <w:pPr>
            <w:pStyle w:val="135"/>
            <w:tabs>
              <w:tab w:val="right" w:leader="dot" w:pos="8737"/>
            </w:tabs>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_Toc16587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—、响应函</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_Toc16587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102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465CD522">
          <w:pPr>
            <w:pStyle w:val="136"/>
            <w:tabs>
              <w:tab w:val="right" w:leader="dot" w:pos="8737"/>
            </w:tabs>
            <w:ind w:left="0" w:leftChars="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_Toc29592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二、授权委托书</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_Toc29592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104</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6F136F1">
          <w:pPr>
            <w:pStyle w:val="136"/>
            <w:tabs>
              <w:tab w:val="right" w:leader="dot" w:pos="8737"/>
            </w:tabs>
            <w:ind w:left="0" w:leftChars="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_Toc9024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三、联合体协议书</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_Toc9024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105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5483A33F">
          <w:pPr>
            <w:pStyle w:val="136"/>
            <w:tabs>
              <w:tab w:val="right" w:leader="dot" w:pos="8737"/>
            </w:tabs>
            <w:ind w:left="0" w:leftChars="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_Toc10607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四、响应保证金</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_Toc10607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107</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6A064720">
          <w:pPr>
            <w:pStyle w:val="136"/>
            <w:tabs>
              <w:tab w:val="right" w:leader="dot" w:pos="8737"/>
            </w:tabs>
            <w:ind w:left="0" w:leftChars="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_Toc10730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五、商务和技术偏差表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_Toc10730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109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3EA71FDC">
          <w:pPr>
            <w:pStyle w:val="136"/>
            <w:tabs>
              <w:tab w:val="right" w:leader="dot" w:pos="8737"/>
            </w:tabs>
            <w:ind w:left="0" w:leftChars="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_Toc6506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六、响应报价表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_Toc6506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110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40BD478">
          <w:pPr>
            <w:pStyle w:val="136"/>
            <w:tabs>
              <w:tab w:val="right" w:leader="dot" w:pos="8737"/>
            </w:tabs>
            <w:ind w:left="0" w:leftChars="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_Toc28911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七、响应报价明细表</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_Toc28911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111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4504083D">
          <w:pPr>
            <w:pStyle w:val="136"/>
            <w:tabs>
              <w:tab w:val="right" w:leader="dot" w:pos="8737"/>
            </w:tabs>
            <w:ind w:left="0" w:leftChars="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_Toc21511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八、资格审查资料</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_Toc21511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115</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4B9A2C29">
          <w:pPr>
            <w:pStyle w:val="136"/>
            <w:tabs>
              <w:tab w:val="right" w:leader="dot" w:pos="8737"/>
            </w:tabs>
            <w:ind w:left="0" w:leftChars="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_Toc6844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九、响应方案</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_Toc6844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119</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2F6922F1">
          <w:pPr>
            <w:pStyle w:val="136"/>
            <w:tabs>
              <w:tab w:val="right" w:leader="dot" w:pos="8737"/>
            </w:tabs>
            <w:ind w:left="0" w:leftChars="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_Toc12247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十、廉洁承诺书</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_Toc12247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120</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49C0D14F">
          <w:pPr>
            <w:pStyle w:val="136"/>
            <w:tabs>
              <w:tab w:val="right" w:leader="dot" w:pos="8737"/>
            </w:tabs>
            <w:ind w:left="0" w:leftChars="0" w:firstLine="480" w:firstLineChars="200"/>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_Toc16298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napToGrid w:val="0"/>
              <w:sz w:val="24"/>
              <w:szCs w:val="24"/>
            </w:rPr>
            <w:t>十一、保密承诺书</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PAGEREF _Toc16298 \h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122</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fldChar w:fldCharType="end"/>
          </w:r>
        </w:p>
        <w:p w14:paraId="7C77CE1A">
          <w:r>
            <w:fldChar w:fldCharType="end"/>
          </w:r>
        </w:p>
      </w:sdtContent>
    </w:sdt>
    <w:p w14:paraId="4099AACD">
      <w:pPr>
        <w:rPr>
          <w:rFonts w:ascii="Times New Roman" w:hAnsi="Times New Roman" w:eastAsia="黑体" w:cs="Times New Roman"/>
          <w:snapToGrid w:val="0"/>
          <w:sz w:val="21"/>
          <w:szCs w:val="32"/>
          <w:lang w:val="en-US" w:eastAsia="zh-CN" w:bidi="ar-SA"/>
        </w:rPr>
      </w:pPr>
      <w:r>
        <w:rPr>
          <w:rFonts w:ascii="Times New Roman" w:hAnsi="Times New Roman" w:eastAsia="黑体" w:cs="Times New Roman"/>
          <w:snapToGrid w:val="0"/>
          <w:sz w:val="21"/>
          <w:szCs w:val="32"/>
          <w:lang w:val="en-US" w:eastAsia="zh-CN" w:bidi="ar-SA"/>
        </w:rPr>
        <w:br w:type="page"/>
      </w:r>
      <w:bookmarkStart w:id="1" w:name="扫描0001"/>
      <w:bookmarkEnd w:id="1"/>
    </w:p>
    <w:p w14:paraId="77162135">
      <w:pPr>
        <w:jc w:val="center"/>
        <w:rPr>
          <w:rFonts w:ascii="Times New Roman" w:hAnsi="Times New Roman" w:eastAsia="黑体" w:cs="Times New Roman"/>
          <w:snapToGrid w:val="0"/>
          <w:sz w:val="32"/>
          <w:szCs w:val="32"/>
        </w:rPr>
      </w:pPr>
      <w:bookmarkStart w:id="2" w:name="扫描0006"/>
      <w:bookmarkEnd w:id="2"/>
    </w:p>
    <w:p w14:paraId="30D5DE96">
      <w:pPr>
        <w:jc w:val="center"/>
        <w:rPr>
          <w:rFonts w:ascii="Times New Roman" w:hAnsi="Times New Roman" w:eastAsia="黑体" w:cs="Times New Roman"/>
          <w:snapToGrid w:val="0"/>
          <w:sz w:val="32"/>
          <w:szCs w:val="32"/>
        </w:rPr>
      </w:pPr>
    </w:p>
    <w:p w14:paraId="3CBB4DD0">
      <w:pPr>
        <w:jc w:val="center"/>
        <w:rPr>
          <w:rFonts w:ascii="Times New Roman" w:hAnsi="Times New Roman" w:eastAsia="黑体" w:cs="Times New Roman"/>
          <w:snapToGrid w:val="0"/>
          <w:sz w:val="32"/>
          <w:szCs w:val="32"/>
        </w:rPr>
      </w:pPr>
    </w:p>
    <w:p w14:paraId="0B32DC6C">
      <w:pPr>
        <w:jc w:val="center"/>
        <w:rPr>
          <w:rFonts w:ascii="Times New Roman" w:hAnsi="Times New Roman" w:eastAsia="黑体" w:cs="Times New Roman"/>
          <w:snapToGrid w:val="0"/>
          <w:sz w:val="32"/>
          <w:szCs w:val="32"/>
        </w:rPr>
      </w:pPr>
    </w:p>
    <w:p w14:paraId="64355F35">
      <w:pPr>
        <w:jc w:val="center"/>
        <w:rPr>
          <w:rFonts w:ascii="Times New Roman" w:hAnsi="Times New Roman" w:eastAsia="黑体" w:cs="Times New Roman"/>
          <w:snapToGrid w:val="0"/>
          <w:sz w:val="32"/>
          <w:szCs w:val="32"/>
        </w:rPr>
      </w:pPr>
    </w:p>
    <w:p w14:paraId="483C6814">
      <w:pPr>
        <w:jc w:val="center"/>
        <w:rPr>
          <w:rFonts w:ascii="Times New Roman" w:hAnsi="Times New Roman" w:eastAsia="黑体" w:cs="Times New Roman"/>
          <w:snapToGrid w:val="0"/>
          <w:sz w:val="32"/>
          <w:szCs w:val="32"/>
        </w:rPr>
      </w:pPr>
    </w:p>
    <w:p w14:paraId="27601FD0">
      <w:pPr>
        <w:jc w:val="center"/>
        <w:rPr>
          <w:rFonts w:ascii="Times New Roman" w:hAnsi="Times New Roman" w:eastAsia="黑体" w:cs="Times New Roman"/>
          <w:snapToGrid w:val="0"/>
          <w:sz w:val="32"/>
          <w:szCs w:val="32"/>
        </w:rPr>
      </w:pPr>
    </w:p>
    <w:p w14:paraId="7B7C8FF0">
      <w:pPr>
        <w:jc w:val="center"/>
        <w:outlineLvl w:val="0"/>
        <w:rPr>
          <w:rFonts w:ascii="Times New Roman" w:hAnsi="Times New Roman" w:eastAsia="黑体" w:cs="Times New Roman"/>
          <w:snapToGrid w:val="0"/>
          <w:sz w:val="32"/>
          <w:szCs w:val="32"/>
        </w:rPr>
      </w:pPr>
      <w:bookmarkStart w:id="3" w:name="_Toc1348"/>
      <w:r>
        <w:rPr>
          <w:rFonts w:ascii="Times New Roman" w:hAnsi="Times New Roman" w:eastAsia="黑体" w:cs="Times New Roman"/>
          <w:snapToGrid w:val="0"/>
          <w:sz w:val="32"/>
          <w:szCs w:val="32"/>
        </w:rPr>
        <w:t>第一章  谈判采购公告</w:t>
      </w:r>
      <w:bookmarkEnd w:id="3"/>
    </w:p>
    <w:p w14:paraId="7AEA328B">
      <w:pPr>
        <w:jc w:val="center"/>
        <w:rPr>
          <w:rFonts w:ascii="Times New Roman" w:hAnsi="Times New Roman" w:eastAsia="黑体" w:cs="Times New Roman"/>
          <w:snapToGrid w:val="0"/>
          <w:sz w:val="32"/>
          <w:szCs w:val="32"/>
        </w:rPr>
      </w:pPr>
      <w:r>
        <w:rPr>
          <w:rFonts w:ascii="Times New Roman" w:hAnsi="Times New Roman" w:eastAsia="黑体" w:cs="Times New Roman"/>
          <w:snapToGrid w:val="0"/>
          <w:sz w:val="32"/>
          <w:szCs w:val="32"/>
        </w:rPr>
        <w:t>（适用于谈判供应商方式）</w:t>
      </w:r>
    </w:p>
    <w:p w14:paraId="5D91E325">
      <w:pPr>
        <w:rPr>
          <w:rFonts w:ascii="Times New Roman" w:hAnsi="Times New Roman" w:cs="Times New Roman"/>
          <w:snapToGrid w:val="0"/>
        </w:rPr>
      </w:pPr>
      <w:r>
        <w:rPr>
          <w:rFonts w:ascii="Times New Roman" w:hAnsi="Times New Roman" w:cs="Times New Roman"/>
          <w:snapToGrid w:val="0"/>
        </w:rPr>
        <w:br w:type="page"/>
      </w:r>
    </w:p>
    <w:p w14:paraId="0BA04F8E">
      <w:pPr>
        <w:pStyle w:val="3"/>
        <w:spacing w:line="560" w:lineRule="exact"/>
        <w:jc w:val="center"/>
        <w:rPr>
          <w:rFonts w:hint="eastAsia" w:ascii="方正小标宋_GBK" w:hAnsi="方正小标宋_GBK" w:eastAsia="方正小标宋_GBK" w:cs="方正小标宋_GBK"/>
          <w:bCs/>
          <w:color w:val="auto"/>
          <w:sz w:val="44"/>
          <w:szCs w:val="44"/>
          <w:lang w:val="en-US" w:eastAsia="zh-CN" w:bidi="ar-SA"/>
        </w:rPr>
      </w:pPr>
      <w:bookmarkStart w:id="4" w:name="扫描0007"/>
      <w:bookmarkEnd w:id="4"/>
      <w:bookmarkStart w:id="5" w:name="_Toc99394467"/>
      <w:bookmarkStart w:id="6" w:name="_Toc792"/>
      <w:r>
        <w:rPr>
          <w:rFonts w:hint="eastAsia" w:ascii="方正小标宋_GBK" w:hAnsi="方正小标宋_GBK" w:eastAsia="方正小标宋_GBK" w:cs="方正小标宋_GBK"/>
          <w:bCs/>
          <w:color w:val="auto"/>
          <w:sz w:val="44"/>
          <w:szCs w:val="44"/>
          <w:lang w:val="en-US" w:eastAsia="zh-CN" w:bidi="ar-SA"/>
        </w:rPr>
        <w:t>关于中粮梁河糖业公司设备购置及土建项目-梁河糖业2024年勐养动力车间35t/h锅炉修理项目设备</w:t>
      </w:r>
      <w:bookmarkEnd w:id="5"/>
      <w:r>
        <w:rPr>
          <w:rFonts w:hint="eastAsia" w:ascii="方正小标宋_GBK" w:hAnsi="方正小标宋_GBK" w:eastAsia="方正小标宋_GBK" w:cs="方正小标宋_GBK"/>
          <w:bCs/>
          <w:color w:val="auto"/>
          <w:sz w:val="44"/>
          <w:szCs w:val="44"/>
          <w:lang w:val="en-US" w:eastAsia="zh-CN" w:bidi="ar-SA"/>
        </w:rPr>
        <w:t>谈判采购公告</w:t>
      </w:r>
      <w:bookmarkEnd w:id="6"/>
    </w:p>
    <w:p w14:paraId="3D33C0A8">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供应商在投标过程中涉嫌“围标串标”行为的，一经查实，投标无效，涉嫌一律拉入中粮“黑名单”处理，未中标供应商投标保证金不予退还，中标供应商处中标项目金额千分之五以上千分之十以下的保证金扣除，采购方保留由此给采购方带来的各种损失追诉的权利。</w:t>
      </w:r>
    </w:p>
    <w:p w14:paraId="121F6006">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中粮梁河糖业公司设备购置及土建项目-2024中粮梁河糖业公司2024年勐养动力车间35t/h锅炉修理项目</w:t>
      </w:r>
      <w:r>
        <w:rPr>
          <w:rFonts w:ascii="Times New Roman" w:hAnsi="Times New Roman" w:eastAsia="仿宋_GB2312" w:cs="Times New Roman"/>
          <w:snapToGrid w:val="0"/>
          <w:sz w:val="32"/>
          <w:szCs w:val="32"/>
        </w:rPr>
        <w:t>已具备采购条件，现公开邀请供应商参加谈判采购活动。</w:t>
      </w:r>
    </w:p>
    <w:p w14:paraId="2B43A086">
      <w:pPr>
        <w:spacing w:after="0" w:line="560" w:lineRule="exact"/>
        <w:ind w:firstLine="643" w:firstLineChars="200"/>
        <w:jc w:val="both"/>
        <w:outlineLvl w:val="1"/>
        <w:rPr>
          <w:rFonts w:ascii="Times New Roman" w:hAnsi="Times New Roman" w:eastAsia="仿宋_GB2312" w:cs="Times New Roman"/>
          <w:b/>
          <w:sz w:val="32"/>
          <w:szCs w:val="32"/>
        </w:rPr>
      </w:pPr>
      <w:bookmarkStart w:id="7" w:name="_Toc12422"/>
      <w:bookmarkStart w:id="8" w:name="OLE_LINK33"/>
      <w:r>
        <w:rPr>
          <w:rFonts w:ascii="Times New Roman" w:hAnsi="Times New Roman" w:eastAsia="仿宋_GB2312" w:cs="Times New Roman"/>
          <w:b/>
          <w:sz w:val="32"/>
          <w:szCs w:val="32"/>
        </w:rPr>
        <w:t>1.采购项目简介</w:t>
      </w:r>
      <w:bookmarkEnd w:id="7"/>
    </w:p>
    <w:p w14:paraId="69CAD485">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1.1 采购项目名称：</w:t>
      </w:r>
      <w:r>
        <w:rPr>
          <w:rFonts w:hint="eastAsia" w:ascii="Times New Roman" w:hAnsi="Times New Roman" w:eastAsia="仿宋_GB2312" w:cs="Times New Roman"/>
          <w:sz w:val="32"/>
          <w:szCs w:val="32"/>
          <w:u w:val="single"/>
          <w:lang w:val="en-US" w:eastAsia="zh-CN"/>
        </w:rPr>
        <w:t>中粮梁河糖业公司设备购置及土建项目-梁河糖业</w:t>
      </w:r>
      <w:r>
        <w:rPr>
          <w:rFonts w:ascii="Times New Roman" w:hAnsi="Times New Roman" w:eastAsia="仿宋_GB2312" w:cs="Times New Roman"/>
          <w:sz w:val="32"/>
          <w:szCs w:val="32"/>
          <w:u w:val="single"/>
        </w:rPr>
        <w:t>2024年勐养动力车间35t/h锅炉修理项目</w:t>
      </w:r>
      <w:r>
        <w:rPr>
          <w:rFonts w:ascii="Times New Roman" w:hAnsi="Times New Roman" w:eastAsia="仿宋_GB2312" w:cs="Times New Roman"/>
          <w:sz w:val="32"/>
          <w:szCs w:val="32"/>
        </w:rPr>
        <w:t xml:space="preserve">   </w:t>
      </w:r>
    </w:p>
    <w:p w14:paraId="11C3C899">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1.2 采购人：</w:t>
      </w:r>
      <w:r>
        <w:rPr>
          <w:rFonts w:ascii="Times New Roman" w:hAnsi="Times New Roman" w:eastAsia="仿宋_GB2312" w:cs="Times New Roman"/>
          <w:sz w:val="32"/>
          <w:szCs w:val="32"/>
          <w:u w:val="single"/>
        </w:rPr>
        <w:t xml:space="preserve"> 中粮梁河糖业有限公司        </w:t>
      </w:r>
      <w:r>
        <w:rPr>
          <w:rFonts w:ascii="Times New Roman" w:hAnsi="Times New Roman" w:eastAsia="仿宋_GB2312" w:cs="Times New Roman"/>
          <w:sz w:val="32"/>
          <w:szCs w:val="32"/>
        </w:rPr>
        <w:t xml:space="preserve">        </w:t>
      </w:r>
    </w:p>
    <w:p w14:paraId="1CB1A20E">
      <w:pPr>
        <w:spacing w:after="0" w:line="560" w:lineRule="exact"/>
        <w:ind w:firstLine="640" w:firstLineChars="200"/>
        <w:jc w:val="both"/>
        <w:outlineLvl w:val="2"/>
        <w:rPr>
          <w:rFonts w:ascii="Times New Roman" w:hAnsi="Times New Roman" w:eastAsia="仿宋_GB2312" w:cs="Times New Roman"/>
          <w:sz w:val="32"/>
          <w:szCs w:val="32"/>
          <w:u w:val="single"/>
        </w:rPr>
      </w:pPr>
      <w:bookmarkStart w:id="9" w:name="_Toc4071"/>
      <w:bookmarkStart w:id="10" w:name="_Hlk99361831"/>
      <w:r>
        <w:rPr>
          <w:rFonts w:ascii="Times New Roman" w:hAnsi="Times New Roman" w:eastAsia="仿宋_GB2312" w:cs="Times New Roman"/>
          <w:sz w:val="32"/>
          <w:szCs w:val="32"/>
        </w:rPr>
        <w:t xml:space="preserve">1.3 采购项目资金落实情况： </w:t>
      </w:r>
      <w:r>
        <w:rPr>
          <w:rFonts w:ascii="Times New Roman" w:hAnsi="Times New Roman" w:eastAsia="仿宋_GB2312" w:cs="Times New Roman"/>
          <w:sz w:val="32"/>
          <w:szCs w:val="32"/>
          <w:u w:val="single"/>
        </w:rPr>
        <w:t>已落实</w:t>
      </w:r>
      <w:bookmarkEnd w:id="9"/>
      <w:r>
        <w:rPr>
          <w:rFonts w:ascii="Times New Roman" w:hAnsi="Times New Roman" w:eastAsia="仿宋_GB2312" w:cs="Times New Roman"/>
          <w:sz w:val="32"/>
          <w:szCs w:val="32"/>
          <w:u w:val="single"/>
        </w:rPr>
        <w:t xml:space="preserve"> </w:t>
      </w:r>
    </w:p>
    <w:p w14:paraId="130BA007">
      <w:pPr>
        <w:spacing w:after="0" w:line="560" w:lineRule="exact"/>
        <w:ind w:firstLine="640" w:firstLineChars="200"/>
        <w:jc w:val="both"/>
        <w:rPr>
          <w:rFonts w:hint="default" w:ascii="Times New Roman" w:hAnsi="Times New Roman" w:eastAsia="仿宋_GB2312" w:cs="Times New Roman"/>
          <w:sz w:val="32"/>
          <w:szCs w:val="32"/>
          <w:u w:val="single"/>
          <w:lang w:val="en-US" w:eastAsia="zh-CN"/>
        </w:rPr>
      </w:pPr>
      <w:r>
        <w:rPr>
          <w:rFonts w:ascii="Times New Roman" w:hAnsi="Times New Roman" w:eastAsia="仿宋_GB2312" w:cs="Times New Roman"/>
          <w:sz w:val="32"/>
          <w:szCs w:val="32"/>
        </w:rPr>
        <w:t>1.4 采购项目概况：</w:t>
      </w:r>
      <w:r>
        <w:rPr>
          <w:rFonts w:hint="eastAsia" w:ascii="Times New Roman" w:hAnsi="Times New Roman" w:eastAsia="仿宋_GB2312" w:cs="Times New Roman"/>
          <w:sz w:val="32"/>
          <w:szCs w:val="32"/>
          <w:u w:val="single"/>
          <w:lang w:val="en-US" w:eastAsia="zh-CN"/>
        </w:rPr>
        <w:t>采购</w:t>
      </w:r>
      <w:r>
        <w:rPr>
          <w:rFonts w:hint="eastAsia" w:ascii="Times New Roman" w:hAnsi="Times New Roman" w:eastAsia="仿宋_GB2312" w:cs="Times New Roman"/>
          <w:sz w:val="32"/>
          <w:szCs w:val="32"/>
          <w:u w:val="single"/>
        </w:rPr>
        <w:t>安装空气预热器管（材质：Q235A; 规格：高频焊管φ51*2，长度3494mm）1678根</w:t>
      </w:r>
      <w:r>
        <w:rPr>
          <w:rFonts w:hint="eastAsia" w:ascii="Times New Roman" w:hAnsi="Times New Roman" w:eastAsia="仿宋_GB2312" w:cs="Times New Roman"/>
          <w:sz w:val="32"/>
          <w:szCs w:val="32"/>
          <w:u w:val="single"/>
          <w:lang w:eastAsia="zh-CN"/>
        </w:rPr>
        <w:t>、</w:t>
      </w:r>
      <w:r>
        <w:rPr>
          <w:rFonts w:hint="eastAsia" w:ascii="Times New Roman" w:hAnsi="Times New Roman" w:eastAsia="仿宋_GB2312" w:cs="Times New Roman"/>
          <w:sz w:val="32"/>
          <w:szCs w:val="32"/>
          <w:u w:val="single"/>
          <w:lang w:val="en-US" w:eastAsia="zh-CN"/>
        </w:rPr>
        <w:t>拆除重新修复损坏的炉墙（</w:t>
      </w:r>
      <w:r>
        <w:rPr>
          <w:rFonts w:hint="eastAsia" w:ascii="Times New Roman" w:hAnsi="Times New Roman" w:eastAsia="仿宋_GB2312" w:cs="Times New Roman"/>
          <w:sz w:val="32"/>
          <w:szCs w:val="32"/>
          <w:u w:val="single"/>
        </w:rPr>
        <w:t>炉膛后拱</w:t>
      </w:r>
      <w:r>
        <w:rPr>
          <w:rFonts w:hint="eastAsia" w:ascii="Times New Roman" w:hAnsi="Times New Roman" w:eastAsia="仿宋_GB2312" w:cs="Times New Roman"/>
          <w:sz w:val="32"/>
          <w:szCs w:val="32"/>
          <w:u w:val="single"/>
          <w:lang w:val="en-US" w:eastAsia="zh-CN"/>
        </w:rPr>
        <w:t>），及对2024年锅炉外检时的不合格项：5台</w:t>
      </w:r>
      <w:r>
        <w:rPr>
          <w:rFonts w:hint="eastAsia" w:ascii="Times New Roman" w:hAnsi="Times New Roman" w:eastAsia="仿宋_GB2312" w:cs="Times New Roman"/>
          <w:sz w:val="32"/>
          <w:szCs w:val="32"/>
          <w:u w:val="single"/>
        </w:rPr>
        <w:t>汽水取样冷却器</w:t>
      </w:r>
      <w:r>
        <w:rPr>
          <w:rFonts w:hint="eastAsia" w:ascii="Times New Roman" w:hAnsi="Times New Roman" w:eastAsia="仿宋_GB2312" w:cs="Times New Roman"/>
          <w:sz w:val="32"/>
          <w:szCs w:val="32"/>
          <w:u w:val="single"/>
          <w:lang w:eastAsia="zh-CN"/>
        </w:rPr>
        <w:t>、</w:t>
      </w:r>
      <w:r>
        <w:rPr>
          <w:rFonts w:hint="eastAsia" w:ascii="Times New Roman" w:hAnsi="Times New Roman" w:eastAsia="仿宋_GB2312" w:cs="Times New Roman"/>
          <w:sz w:val="32"/>
          <w:szCs w:val="32"/>
          <w:u w:val="single"/>
          <w:lang w:val="en-US" w:eastAsia="zh-CN"/>
        </w:rPr>
        <w:t>仪表、管道等进行改造安装。</w:t>
      </w:r>
    </w:p>
    <w:p w14:paraId="5F236E3A">
      <w:pPr>
        <w:spacing w:after="0" w:line="560" w:lineRule="exact"/>
        <w:ind w:firstLine="640" w:firstLineChars="200"/>
        <w:jc w:val="both"/>
        <w:rPr>
          <w:rFonts w:ascii="Times New Roman" w:hAnsi="Times New Roman" w:eastAsia="仿宋_GB2312" w:cs="Times New Roman"/>
          <w:sz w:val="32"/>
          <w:szCs w:val="32"/>
          <w:u w:val="single"/>
        </w:rPr>
      </w:pPr>
      <w:r>
        <w:rPr>
          <w:rFonts w:ascii="Times New Roman" w:hAnsi="Times New Roman" w:eastAsia="仿宋_GB2312" w:cs="Times New Roman"/>
          <w:sz w:val="32"/>
          <w:szCs w:val="32"/>
          <w:u w:val="none"/>
        </w:rPr>
        <w:t>设备主要技术参数：</w:t>
      </w:r>
      <w:r>
        <w:rPr>
          <w:rFonts w:ascii="Times New Roman" w:hAnsi="Times New Roman" w:eastAsia="仿宋_GB2312" w:cs="Times New Roman"/>
          <w:sz w:val="32"/>
          <w:szCs w:val="32"/>
          <w:u w:val="single"/>
        </w:rPr>
        <w:t xml:space="preserve"> 见采购范围 ；</w:t>
      </w:r>
    </w:p>
    <w:bookmarkEnd w:id="10"/>
    <w:p w14:paraId="3DD1D67C">
      <w:pPr>
        <w:spacing w:line="560" w:lineRule="exact"/>
        <w:ind w:firstLine="640" w:firstLineChars="200"/>
        <w:rPr>
          <w:rFonts w:hint="default" w:ascii="Times New Roman" w:hAnsi="Times New Roman" w:eastAsia="仿宋_GB2312" w:cs="Times New Roman"/>
          <w:snapToGrid w:val="0"/>
          <w:sz w:val="32"/>
          <w:szCs w:val="32"/>
          <w:u w:val="single"/>
        </w:rPr>
      </w:pPr>
      <w:bookmarkStart w:id="11" w:name="_Hlk91559762"/>
      <w:r>
        <w:rPr>
          <w:rFonts w:hint="default" w:ascii="Times New Roman" w:hAnsi="Times New Roman" w:eastAsia="仿宋_GB2312" w:cs="Times New Roman"/>
          <w:snapToGrid w:val="0"/>
          <w:sz w:val="32"/>
          <w:szCs w:val="32"/>
          <w:u w:val="none"/>
        </w:rPr>
        <w:t>设备数量：</w:t>
      </w:r>
      <w:bookmarkStart w:id="12" w:name="OLE_LINK24"/>
      <w:bookmarkStart w:id="13" w:name="OLE_LINK23"/>
      <w:r>
        <w:rPr>
          <w:rFonts w:hint="eastAsia" w:ascii="Times New Roman" w:hAnsi="Times New Roman" w:eastAsia="仿宋_GB2312" w:cs="Times New Roman"/>
          <w:snapToGrid w:val="0"/>
          <w:sz w:val="32"/>
          <w:szCs w:val="32"/>
          <w:u w:val="single"/>
          <w:lang w:eastAsia="zh-CN"/>
        </w:rPr>
        <w:t>见具体设备明细表</w:t>
      </w:r>
      <w:bookmarkEnd w:id="12"/>
      <w:bookmarkEnd w:id="13"/>
      <w:r>
        <w:rPr>
          <w:rFonts w:hint="eastAsia" w:ascii="Times New Roman" w:hAnsi="Times New Roman" w:eastAsia="仿宋_GB2312" w:cs="Times New Roman"/>
          <w:snapToGrid w:val="0"/>
          <w:sz w:val="32"/>
          <w:szCs w:val="32"/>
          <w:u w:val="single"/>
          <w:lang w:eastAsia="zh-CN"/>
        </w:rPr>
        <w:t>；技术要求：详见附件1. 技术协议。</w:t>
      </w:r>
    </w:p>
    <w:p w14:paraId="25FE8404">
      <w:pPr>
        <w:spacing w:line="560" w:lineRule="exact"/>
        <w:ind w:firstLine="640" w:firstLineChars="200"/>
        <w:rPr>
          <w:rFonts w:hint="default" w:ascii="Times New Roman" w:hAnsi="Times New Roman" w:eastAsia="仿宋_GB2312" w:cs="Times New Roman"/>
          <w:snapToGrid w:val="0"/>
          <w:sz w:val="32"/>
          <w:szCs w:val="32"/>
          <w:u w:val="single"/>
        </w:rPr>
      </w:pPr>
      <w:r>
        <w:rPr>
          <w:rFonts w:hint="default" w:ascii="Times New Roman" w:hAnsi="Times New Roman" w:eastAsia="仿宋_GB2312" w:cs="Times New Roman"/>
          <w:snapToGrid w:val="0"/>
          <w:sz w:val="32"/>
          <w:szCs w:val="32"/>
          <w:u w:val="single"/>
        </w:rPr>
        <w:t>项目位于中粮梁河糖业有限公司勐养工厂和芒东工厂</w:t>
      </w:r>
    </w:p>
    <w:p w14:paraId="4D3F8529">
      <w:pPr>
        <w:spacing w:after="0" w:line="560" w:lineRule="exact"/>
        <w:ind w:firstLine="640" w:firstLineChars="200"/>
        <w:jc w:val="both"/>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1.5 项目限价：</w:t>
      </w:r>
      <w:r>
        <w:rPr>
          <w:rFonts w:ascii="Times New Roman" w:hAnsi="Times New Roman" w:eastAsia="仿宋_GB2312" w:cs="Times New Roman"/>
          <w:sz w:val="32"/>
          <w:szCs w:val="32"/>
          <w:u w:val="single"/>
        </w:rPr>
        <w:t xml:space="preserve">   70  万元</w:t>
      </w:r>
    </w:p>
    <w:p w14:paraId="7D3ABEAF">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1.6 设备限价：</w:t>
      </w:r>
      <w:r>
        <w:rPr>
          <w:rFonts w:ascii="Times New Roman" w:hAnsi="Times New Roman" w:eastAsia="仿宋_GB2312" w:cs="Times New Roman"/>
          <w:sz w:val="32"/>
          <w:szCs w:val="32"/>
          <w:u w:val="single"/>
        </w:rPr>
        <w:t xml:space="preserve">    /   </w:t>
      </w:r>
      <w:r>
        <w:rPr>
          <w:rFonts w:ascii="Times New Roman" w:hAnsi="Times New Roman" w:eastAsia="仿宋_GB2312" w:cs="Times New Roman"/>
          <w:sz w:val="32"/>
          <w:szCs w:val="32"/>
        </w:rPr>
        <w:t>万元</w:t>
      </w:r>
    </w:p>
    <w:bookmarkEnd w:id="11"/>
    <w:p w14:paraId="66B4DE68">
      <w:pPr>
        <w:spacing w:after="0" w:line="560" w:lineRule="exact"/>
        <w:ind w:firstLine="640" w:firstLineChars="200"/>
        <w:jc w:val="both"/>
        <w:rPr>
          <w:rFonts w:ascii="Times New Roman" w:hAnsi="Times New Roman" w:eastAsia="仿宋_GB2312" w:cs="Times New Roman"/>
          <w:color w:val="FF0000"/>
          <w:sz w:val="32"/>
          <w:szCs w:val="32"/>
          <w:u w:val="single"/>
        </w:rPr>
      </w:pPr>
      <w:r>
        <w:rPr>
          <w:rFonts w:ascii="Times New Roman" w:hAnsi="Times New Roman" w:eastAsia="仿宋_GB2312" w:cs="Times New Roman"/>
          <w:sz w:val="32"/>
          <w:szCs w:val="32"/>
        </w:rPr>
        <w:t>1.7 计划交货日期：</w:t>
      </w:r>
      <w:r>
        <w:rPr>
          <w:rFonts w:ascii="Times New Roman" w:hAnsi="Times New Roman" w:eastAsia="仿宋_GB2312" w:cs="Times New Roman"/>
          <w:color w:val="auto"/>
          <w:sz w:val="32"/>
          <w:szCs w:val="32"/>
          <w:u w:val="single"/>
        </w:rPr>
        <w:t xml:space="preserve">  </w:t>
      </w:r>
      <w:r>
        <w:rPr>
          <w:rFonts w:hint="eastAsia" w:ascii="Times New Roman" w:hAnsi="Times New Roman" w:eastAsia="仿宋_GB2312" w:cs="Times New Roman"/>
          <w:color w:val="auto"/>
          <w:sz w:val="32"/>
          <w:szCs w:val="32"/>
          <w:u w:val="single"/>
          <w:lang w:val="en-US" w:eastAsia="zh-CN"/>
        </w:rPr>
        <w:t>预计</w:t>
      </w:r>
      <w:r>
        <w:rPr>
          <w:rFonts w:ascii="Times New Roman" w:hAnsi="Times New Roman" w:eastAsia="仿宋_GB2312" w:cs="Times New Roman"/>
          <w:color w:val="auto"/>
          <w:sz w:val="32"/>
          <w:szCs w:val="32"/>
          <w:u w:val="single"/>
        </w:rPr>
        <w:t xml:space="preserve"> 2024年  8 月 1 日至   2024 年 10 月 15日，计划交货期：</w:t>
      </w:r>
      <w:r>
        <w:rPr>
          <w:rFonts w:hint="eastAsia" w:ascii="Times New Roman" w:hAnsi="Times New Roman" w:eastAsia="仿宋_GB2312" w:cs="Times New Roman"/>
          <w:color w:val="auto"/>
          <w:sz w:val="32"/>
          <w:szCs w:val="32"/>
          <w:u w:val="single"/>
          <w:lang w:val="en-US" w:eastAsia="zh-CN"/>
        </w:rPr>
        <w:t>合同签订后</w:t>
      </w:r>
      <w:bookmarkStart w:id="451" w:name="_GoBack"/>
      <w:bookmarkEnd w:id="451"/>
      <w:r>
        <w:rPr>
          <w:rFonts w:ascii="Times New Roman" w:hAnsi="Times New Roman" w:eastAsia="仿宋_GB2312" w:cs="Times New Roman"/>
          <w:color w:val="auto"/>
          <w:sz w:val="32"/>
          <w:szCs w:val="32"/>
          <w:u w:val="single"/>
        </w:rPr>
        <w:t>75日历天</w:t>
      </w:r>
    </w:p>
    <w:p w14:paraId="2DE60886">
      <w:pPr>
        <w:spacing w:after="0" w:line="560" w:lineRule="exact"/>
        <w:ind w:firstLine="640" w:firstLineChars="200"/>
        <w:jc w:val="both"/>
        <w:outlineLvl w:val="2"/>
        <w:rPr>
          <w:rFonts w:ascii="Times New Roman" w:hAnsi="Times New Roman" w:eastAsia="仿宋_GB2312" w:cs="Times New Roman"/>
          <w:sz w:val="32"/>
          <w:szCs w:val="32"/>
          <w:u w:val="single"/>
        </w:rPr>
      </w:pPr>
      <w:bookmarkStart w:id="14" w:name="_Toc25973"/>
      <w:r>
        <w:rPr>
          <w:rFonts w:ascii="Times New Roman" w:hAnsi="Times New Roman" w:eastAsia="仿宋_GB2312" w:cs="Times New Roman"/>
          <w:sz w:val="32"/>
          <w:szCs w:val="32"/>
        </w:rPr>
        <w:t xml:space="preserve">1.8 质保期：  </w:t>
      </w:r>
      <w:bookmarkStart w:id="15" w:name="OLE_LINK28"/>
      <w:bookmarkStart w:id="16" w:name="OLE_LINK27"/>
      <w:r>
        <w:rPr>
          <w:rFonts w:ascii="Times New Roman" w:hAnsi="Times New Roman" w:eastAsia="仿宋_GB2312" w:cs="Times New Roman"/>
          <w:sz w:val="32"/>
          <w:szCs w:val="32"/>
        </w:rPr>
        <w:t xml:space="preserve"> </w:t>
      </w:r>
      <w:r>
        <w:rPr>
          <w:rFonts w:ascii="Times New Roman" w:hAnsi="Times New Roman" w:eastAsia="仿宋_GB2312" w:cs="Times New Roman"/>
          <w:sz w:val="32"/>
          <w:szCs w:val="32"/>
          <w:u w:val="single"/>
        </w:rPr>
        <w:t xml:space="preserve"> 一年（竣工验收后12个月）</w:t>
      </w:r>
      <w:bookmarkEnd w:id="14"/>
      <w:bookmarkEnd w:id="15"/>
      <w:bookmarkEnd w:id="16"/>
    </w:p>
    <w:p w14:paraId="6E6F42DC">
      <w:pPr>
        <w:spacing w:after="0" w:line="560" w:lineRule="exact"/>
        <w:ind w:firstLine="643" w:firstLineChars="200"/>
        <w:jc w:val="both"/>
        <w:outlineLvl w:val="1"/>
        <w:rPr>
          <w:rFonts w:ascii="Times New Roman" w:hAnsi="Times New Roman" w:eastAsia="仿宋_GB2312" w:cs="Times New Roman"/>
          <w:b/>
          <w:sz w:val="32"/>
          <w:szCs w:val="32"/>
        </w:rPr>
      </w:pPr>
      <w:bookmarkStart w:id="17" w:name="_Toc18860"/>
      <w:r>
        <w:rPr>
          <w:rFonts w:ascii="Times New Roman" w:hAnsi="Times New Roman" w:eastAsia="仿宋_GB2312" w:cs="Times New Roman"/>
          <w:b/>
          <w:sz w:val="32"/>
          <w:szCs w:val="32"/>
        </w:rPr>
        <w:t>2.采购范围及相关要求</w:t>
      </w:r>
      <w:bookmarkEnd w:id="17"/>
    </w:p>
    <w:p w14:paraId="58C9A68E">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2.1 采购范围：</w:t>
      </w:r>
      <w:r>
        <w:rPr>
          <w:rFonts w:hint="eastAsia" w:ascii="Times New Roman" w:hAnsi="Times New Roman" w:eastAsia="仿宋_GB2312" w:cs="Times New Roman"/>
          <w:sz w:val="32"/>
          <w:szCs w:val="32"/>
          <w:u w:val="single"/>
          <w:lang w:val="en-US" w:eastAsia="zh-CN"/>
        </w:rPr>
        <w:t>中粮梁河糖业公司设备购置及土建项目-</w:t>
      </w:r>
      <w:r>
        <w:rPr>
          <w:rFonts w:ascii="Times New Roman" w:hAnsi="Times New Roman" w:eastAsia="仿宋_GB2312" w:cs="Times New Roman"/>
          <w:sz w:val="32"/>
          <w:szCs w:val="32"/>
          <w:u w:val="single"/>
        </w:rPr>
        <w:t>梁河糖业2024年勐养动力车间35t/h锅炉修理项目设备采购安装（含调试）一项</w:t>
      </w:r>
      <w:r>
        <w:rPr>
          <w:rFonts w:ascii="Times New Roman" w:hAnsi="Times New Roman" w:eastAsia="仿宋_GB2312" w:cs="Times New Roman"/>
          <w:sz w:val="32"/>
          <w:szCs w:val="32"/>
        </w:rPr>
        <w:t>，具体为：</w:t>
      </w:r>
    </w:p>
    <w:p w14:paraId="48D9B64B">
      <w:pPr>
        <w:spacing w:after="0" w:line="560" w:lineRule="exact"/>
        <w:ind w:firstLine="640" w:firstLineChars="200"/>
        <w:jc w:val="both"/>
        <w:outlineLvl w:val="2"/>
        <w:rPr>
          <w:rFonts w:hint="eastAsia" w:ascii="Times New Roman" w:hAnsi="Times New Roman" w:eastAsia="仿宋_GB2312" w:cs="Times New Roman"/>
          <w:sz w:val="32"/>
          <w:szCs w:val="32"/>
          <w:lang w:eastAsia="zh-CN"/>
        </w:rPr>
      </w:pPr>
      <w:bookmarkStart w:id="18" w:name="_Toc28304"/>
      <w:r>
        <w:rPr>
          <w:rFonts w:ascii="Times New Roman" w:hAnsi="Times New Roman" w:eastAsia="仿宋_GB2312" w:cs="Times New Roman"/>
          <w:sz w:val="32"/>
          <w:szCs w:val="32"/>
        </w:rPr>
        <w:t>2.1.1勐养工厂2024年锅炉外部检验整改项目</w:t>
      </w:r>
      <w:r>
        <w:rPr>
          <w:rFonts w:hint="eastAsia" w:ascii="Times New Roman" w:hAnsi="Times New Roman" w:eastAsia="仿宋_GB2312" w:cs="Times New Roman"/>
          <w:sz w:val="32"/>
          <w:szCs w:val="32"/>
          <w:lang w:eastAsia="zh-CN"/>
        </w:rPr>
        <w:t>：</w:t>
      </w:r>
      <w:bookmarkEnd w:id="18"/>
    </w:p>
    <w:p w14:paraId="33F5DF9A">
      <w:pPr>
        <w:spacing w:after="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增加排烟温度测点。（不含接线至DCS）</w:t>
      </w:r>
    </w:p>
    <w:p w14:paraId="66E6EE2A">
      <w:pPr>
        <w:spacing w:after="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更换省煤器上温度测点已经拉槽的座子。</w:t>
      </w:r>
    </w:p>
    <w:p w14:paraId="08887B07">
      <w:pPr>
        <w:spacing w:after="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锅炉炉墙局部破损修复；（含吹灰器管穿过的炉墙处破损）。</w:t>
      </w:r>
    </w:p>
    <w:p w14:paraId="1DC5C67B">
      <w:pPr>
        <w:spacing w:after="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从过热器排空阀三通管引出管路至吹灰器（含减压阀）。</w:t>
      </w:r>
    </w:p>
    <w:p w14:paraId="401B777E">
      <w:pPr>
        <w:spacing w:after="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5</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拆除过热器出口（高过）自排空阀三通与减温水管，连通减温水管上的管座用法兰盲板封堵。</w:t>
      </w:r>
    </w:p>
    <w:p w14:paraId="34BC7FEB">
      <w:pPr>
        <w:spacing w:after="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6</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将安全阀疏水管接至室外。</w:t>
      </w:r>
    </w:p>
    <w:p w14:paraId="6FFE233A">
      <w:pPr>
        <w:spacing w:after="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7</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压力表配置三通阀及缓冲管（8组）（压力等级、温度等级符合）。</w:t>
      </w:r>
    </w:p>
    <w:p w14:paraId="5B14965C">
      <w:pPr>
        <w:spacing w:after="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8</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主蒸汽阀加装旁路阀及支撑架。</w:t>
      </w:r>
    </w:p>
    <w:p w14:paraId="662561BB">
      <w:pPr>
        <w:spacing w:after="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9</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将吹灰器安全阀法兰管座割短降低安全阀高度，安全阀排汽管加装弯头以让出通道。</w:t>
      </w:r>
    </w:p>
    <w:p w14:paraId="4FE3BC2F">
      <w:pPr>
        <w:spacing w:after="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现用长伸缩吹灰器检修平台改成花纹钢板，底部加装槽钢骨架（2.45mx4.5m）。</w:t>
      </w:r>
    </w:p>
    <w:p w14:paraId="41C851EE">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2.1.2重新配套安装5台汽水取样冷却器（给水管1台、炉水2台、饱和蒸汽1台、过热蒸汽1台），配套相应管道及阀门。</w:t>
      </w:r>
    </w:p>
    <w:p w14:paraId="74A21071">
      <w:pPr>
        <w:spacing w:after="0" w:line="560" w:lineRule="exact"/>
        <w:ind w:firstLine="640" w:firstLineChars="200"/>
        <w:jc w:val="both"/>
        <w:outlineLvl w:val="2"/>
        <w:rPr>
          <w:rFonts w:ascii="Times New Roman" w:hAnsi="Times New Roman" w:eastAsia="仿宋_GB2312" w:cs="Times New Roman"/>
          <w:sz w:val="32"/>
          <w:szCs w:val="32"/>
        </w:rPr>
      </w:pPr>
      <w:bookmarkStart w:id="19" w:name="_Toc19130"/>
      <w:r>
        <w:rPr>
          <w:rFonts w:ascii="Times New Roman" w:hAnsi="Times New Roman" w:eastAsia="仿宋_GB2312" w:cs="Times New Roman"/>
          <w:sz w:val="32"/>
          <w:szCs w:val="32"/>
        </w:rPr>
        <w:t>2.1.3焊补左侧上部泄漏的防焦管。</w:t>
      </w:r>
      <w:bookmarkEnd w:id="19"/>
    </w:p>
    <w:p w14:paraId="51E054D9">
      <w:pPr>
        <w:spacing w:after="0" w:line="560" w:lineRule="exact"/>
        <w:ind w:firstLine="640" w:firstLineChars="200"/>
        <w:jc w:val="both"/>
        <w:rPr>
          <w:rFonts w:ascii="Times New Roman" w:hAnsi="Times New Roman" w:eastAsia="仿宋_GB2312" w:cs="Times New Roman"/>
          <w:color w:val="000000" w:themeColor="text1"/>
          <w:sz w:val="32"/>
          <w:szCs w:val="32"/>
        </w:rPr>
      </w:pPr>
      <w:r>
        <w:rPr>
          <w:rFonts w:ascii="Times New Roman" w:hAnsi="Times New Roman" w:eastAsia="仿宋_GB2312" w:cs="Times New Roman"/>
          <w:sz w:val="32"/>
          <w:szCs w:val="32"/>
        </w:rPr>
        <w:t>2.1.4更换上锅筒连接到连排之间的排污管道</w:t>
      </w:r>
      <w:r>
        <w:rPr>
          <w:rFonts w:ascii="Times New Roman" w:hAnsi="Times New Roman" w:eastAsia="仿宋_GB2312" w:cs="Times New Roman"/>
          <w:color w:val="000000" w:themeColor="text1"/>
          <w:sz w:val="32"/>
          <w:szCs w:val="32"/>
        </w:rPr>
        <w:t>（φ27mm*3.5mm）及主管φ42mm*3.5mm。</w:t>
      </w:r>
    </w:p>
    <w:p w14:paraId="14447B8F">
      <w:pPr>
        <w:spacing w:after="0" w:line="560" w:lineRule="exact"/>
        <w:ind w:firstLine="640" w:firstLineChars="200"/>
        <w:jc w:val="both"/>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2.1.5拆除原有空气预热器管（规格：高频焊管φ51mm*2mm，长度3494mm）1678根；（含拆除废铁拉运到公司指定地点，拆除时需要拆除的烟道墙等）。</w:t>
      </w:r>
    </w:p>
    <w:p w14:paraId="73AC355F">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2.1.6重新安装空气预热器管（材质：Q235A; 规格：高频焊管φ51mm*2mm，长度3494m</w:t>
      </w:r>
      <w:r>
        <w:rPr>
          <w:rFonts w:ascii="Times New Roman" w:hAnsi="Times New Roman" w:eastAsia="仿宋_GB2312" w:cs="Times New Roman"/>
          <w:sz w:val="32"/>
          <w:szCs w:val="32"/>
        </w:rPr>
        <w:t>m）1678根；（含材料供应到指定地点，恢复拆除时需要拆除的烟道墙等，并进行风压试验满足要求）。</w:t>
      </w:r>
    </w:p>
    <w:tbl>
      <w:tblPr>
        <w:tblStyle w:val="33"/>
        <w:tblW w:w="8930" w:type="dxa"/>
        <w:jc w:val="center"/>
        <w:tblLayout w:type="fixed"/>
        <w:tblCellMar>
          <w:top w:w="0" w:type="dxa"/>
          <w:left w:w="108" w:type="dxa"/>
          <w:bottom w:w="0" w:type="dxa"/>
          <w:right w:w="108" w:type="dxa"/>
        </w:tblCellMar>
      </w:tblPr>
      <w:tblGrid>
        <w:gridCol w:w="850"/>
        <w:gridCol w:w="1843"/>
        <w:gridCol w:w="3119"/>
        <w:gridCol w:w="708"/>
        <w:gridCol w:w="709"/>
        <w:gridCol w:w="1701"/>
      </w:tblGrid>
      <w:tr w14:paraId="5DA71120">
        <w:tblPrEx>
          <w:tblCellMar>
            <w:top w:w="0" w:type="dxa"/>
            <w:left w:w="108" w:type="dxa"/>
            <w:bottom w:w="0" w:type="dxa"/>
            <w:right w:w="108" w:type="dxa"/>
          </w:tblCellMar>
        </w:tblPrEx>
        <w:trPr>
          <w:trHeight w:val="630" w:hRule="atLeast"/>
          <w:jc w:val="center"/>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6F59DC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843" w:type="dxa"/>
            <w:tcBorders>
              <w:top w:val="single" w:color="auto" w:sz="4" w:space="0"/>
              <w:left w:val="nil"/>
              <w:bottom w:val="single" w:color="auto" w:sz="4" w:space="0"/>
              <w:right w:val="single" w:color="auto" w:sz="4" w:space="0"/>
            </w:tcBorders>
            <w:shd w:val="clear" w:color="auto" w:fill="auto"/>
            <w:vAlign w:val="center"/>
          </w:tcPr>
          <w:p w14:paraId="06EAC91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名称</w:t>
            </w:r>
          </w:p>
        </w:tc>
        <w:tc>
          <w:tcPr>
            <w:tcW w:w="3119" w:type="dxa"/>
            <w:tcBorders>
              <w:top w:val="single" w:color="auto" w:sz="4" w:space="0"/>
              <w:left w:val="nil"/>
              <w:bottom w:val="single" w:color="auto" w:sz="4" w:space="0"/>
              <w:right w:val="single" w:color="auto" w:sz="4" w:space="0"/>
            </w:tcBorders>
            <w:shd w:val="clear" w:color="auto" w:fill="auto"/>
            <w:vAlign w:val="center"/>
          </w:tcPr>
          <w:p w14:paraId="5B9377C9">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规格型号</w:t>
            </w:r>
          </w:p>
        </w:tc>
        <w:tc>
          <w:tcPr>
            <w:tcW w:w="708" w:type="dxa"/>
            <w:tcBorders>
              <w:top w:val="single" w:color="auto" w:sz="4" w:space="0"/>
              <w:left w:val="nil"/>
              <w:bottom w:val="single" w:color="auto" w:sz="4" w:space="0"/>
              <w:right w:val="single" w:color="auto" w:sz="4" w:space="0"/>
            </w:tcBorders>
            <w:shd w:val="clear" w:color="auto" w:fill="auto"/>
            <w:vAlign w:val="center"/>
          </w:tcPr>
          <w:p w14:paraId="339E6340">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w:t>
            </w:r>
          </w:p>
        </w:tc>
        <w:tc>
          <w:tcPr>
            <w:tcW w:w="709" w:type="dxa"/>
            <w:tcBorders>
              <w:top w:val="single" w:color="auto" w:sz="4" w:space="0"/>
              <w:left w:val="nil"/>
              <w:bottom w:val="single" w:color="auto" w:sz="4" w:space="0"/>
              <w:right w:val="single" w:color="auto" w:sz="4" w:space="0"/>
            </w:tcBorders>
            <w:shd w:val="clear" w:color="auto" w:fill="auto"/>
            <w:vAlign w:val="center"/>
          </w:tcPr>
          <w:p w14:paraId="44A9BE9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数量</w:t>
            </w:r>
          </w:p>
        </w:tc>
        <w:tc>
          <w:tcPr>
            <w:tcW w:w="1701" w:type="dxa"/>
            <w:tcBorders>
              <w:top w:val="single" w:color="auto" w:sz="4" w:space="0"/>
              <w:left w:val="nil"/>
              <w:bottom w:val="single" w:color="auto" w:sz="4" w:space="0"/>
              <w:right w:val="single" w:color="auto" w:sz="4" w:space="0"/>
            </w:tcBorders>
            <w:shd w:val="clear" w:color="auto" w:fill="auto"/>
            <w:vAlign w:val="center"/>
          </w:tcPr>
          <w:p w14:paraId="3A125159">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r>
      <w:tr w14:paraId="60223BB7">
        <w:tblPrEx>
          <w:tblCellMar>
            <w:top w:w="0" w:type="dxa"/>
            <w:left w:w="108" w:type="dxa"/>
            <w:bottom w:w="0" w:type="dxa"/>
            <w:right w:w="108" w:type="dxa"/>
          </w:tblCellMar>
        </w:tblPrEx>
        <w:trPr>
          <w:trHeight w:val="468"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FFFFFF"/>
            <w:vAlign w:val="center"/>
          </w:tcPr>
          <w:p w14:paraId="1EABDF9E">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w:t>
            </w:r>
          </w:p>
        </w:tc>
        <w:tc>
          <w:tcPr>
            <w:tcW w:w="1843" w:type="dxa"/>
            <w:tcBorders>
              <w:top w:val="single" w:color="auto" w:sz="4" w:space="0"/>
              <w:left w:val="single" w:color="auto" w:sz="4" w:space="0"/>
              <w:bottom w:val="single" w:color="auto" w:sz="4" w:space="0"/>
              <w:right w:val="single" w:color="auto" w:sz="4" w:space="0"/>
            </w:tcBorders>
            <w:shd w:val="clear" w:color="000000" w:fill="FFFFFF"/>
            <w:vAlign w:val="center"/>
          </w:tcPr>
          <w:p w14:paraId="37DEE99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2024年锅炉外部检验整改项目</w:t>
            </w:r>
          </w:p>
        </w:tc>
        <w:tc>
          <w:tcPr>
            <w:tcW w:w="3119" w:type="dxa"/>
            <w:tcBorders>
              <w:top w:val="single" w:color="auto" w:sz="4" w:space="0"/>
              <w:left w:val="single" w:color="auto" w:sz="4" w:space="0"/>
              <w:bottom w:val="single" w:color="auto" w:sz="4" w:space="0"/>
              <w:right w:val="single" w:color="auto" w:sz="4" w:space="0"/>
            </w:tcBorders>
            <w:shd w:val="clear" w:color="000000" w:fill="FFFFFF"/>
            <w:vAlign w:val="center"/>
          </w:tcPr>
          <w:p w14:paraId="7859A4B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WGC35/39-24</w:t>
            </w:r>
          </w:p>
        </w:tc>
        <w:tc>
          <w:tcPr>
            <w:tcW w:w="708" w:type="dxa"/>
            <w:tcBorders>
              <w:top w:val="single" w:color="auto" w:sz="4" w:space="0"/>
              <w:left w:val="single" w:color="auto" w:sz="4" w:space="0"/>
              <w:bottom w:val="single" w:color="auto" w:sz="4" w:space="0"/>
              <w:right w:val="single" w:color="auto" w:sz="4" w:space="0"/>
            </w:tcBorders>
            <w:shd w:val="clear" w:color="000000" w:fill="FFFFFF"/>
            <w:vAlign w:val="center"/>
          </w:tcPr>
          <w:p w14:paraId="226CF4A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w:t>
            </w:r>
          </w:p>
        </w:tc>
        <w:tc>
          <w:tcPr>
            <w:tcW w:w="709" w:type="dxa"/>
            <w:tcBorders>
              <w:top w:val="single" w:color="auto" w:sz="4" w:space="0"/>
              <w:left w:val="single" w:color="auto" w:sz="4" w:space="0"/>
              <w:bottom w:val="single" w:color="auto" w:sz="4" w:space="0"/>
              <w:right w:val="single" w:color="auto" w:sz="4" w:space="0"/>
            </w:tcBorders>
            <w:shd w:val="clear" w:color="000000" w:fill="FFFFFF"/>
            <w:vAlign w:val="center"/>
          </w:tcPr>
          <w:p w14:paraId="5C1AD67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01" w:type="dxa"/>
            <w:tcBorders>
              <w:top w:val="single" w:color="auto" w:sz="4" w:space="0"/>
              <w:left w:val="single" w:color="auto" w:sz="4" w:space="0"/>
              <w:bottom w:val="single" w:color="auto" w:sz="4" w:space="0"/>
              <w:right w:val="single" w:color="auto" w:sz="4" w:space="0"/>
            </w:tcBorders>
            <w:shd w:val="clear" w:color="000000" w:fill="FFFFFF"/>
            <w:vAlign w:val="center"/>
          </w:tcPr>
          <w:p w14:paraId="636911A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p>
        </w:tc>
      </w:tr>
      <w:tr w14:paraId="432E7C29">
        <w:tblPrEx>
          <w:tblCellMar>
            <w:top w:w="0" w:type="dxa"/>
            <w:left w:w="108" w:type="dxa"/>
            <w:bottom w:w="0" w:type="dxa"/>
            <w:right w:w="108" w:type="dxa"/>
          </w:tblCellMar>
        </w:tblPrEx>
        <w:trPr>
          <w:trHeight w:val="78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FFFFFF"/>
            <w:vAlign w:val="center"/>
          </w:tcPr>
          <w:p w14:paraId="53017E65">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43" w:type="dxa"/>
            <w:tcBorders>
              <w:top w:val="single" w:color="auto" w:sz="4" w:space="0"/>
              <w:left w:val="single" w:color="auto" w:sz="4" w:space="0"/>
              <w:bottom w:val="single" w:color="auto" w:sz="4" w:space="0"/>
              <w:right w:val="single" w:color="auto" w:sz="4" w:space="0"/>
            </w:tcBorders>
            <w:shd w:val="clear" w:color="000000" w:fill="FFFFFF"/>
            <w:vAlign w:val="center"/>
          </w:tcPr>
          <w:p w14:paraId="44B2713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排烟温度测点</w:t>
            </w:r>
          </w:p>
        </w:tc>
        <w:tc>
          <w:tcPr>
            <w:tcW w:w="3119" w:type="dxa"/>
            <w:tcBorders>
              <w:top w:val="single" w:color="auto" w:sz="4" w:space="0"/>
              <w:left w:val="single" w:color="auto" w:sz="4" w:space="0"/>
              <w:bottom w:val="single" w:color="auto" w:sz="4" w:space="0"/>
              <w:right w:val="single" w:color="auto" w:sz="4" w:space="0"/>
            </w:tcBorders>
            <w:shd w:val="clear" w:color="000000" w:fill="FFFFFF"/>
            <w:vAlign w:val="center"/>
          </w:tcPr>
          <w:p w14:paraId="32851142">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热电偶：WRN-430,L=1150*1000mm , 输出:K,量程：0-1000℃，M27*2，座子材质：12Cr1MoG(含墙开孔安装恢复墙)</w:t>
            </w:r>
          </w:p>
        </w:tc>
        <w:tc>
          <w:tcPr>
            <w:tcW w:w="708" w:type="dxa"/>
            <w:tcBorders>
              <w:top w:val="single" w:color="auto" w:sz="4" w:space="0"/>
              <w:left w:val="single" w:color="auto" w:sz="4" w:space="0"/>
              <w:bottom w:val="single" w:color="auto" w:sz="4" w:space="0"/>
              <w:right w:val="single" w:color="auto" w:sz="4" w:space="0"/>
            </w:tcBorders>
            <w:shd w:val="clear" w:color="000000" w:fill="FFFFFF"/>
            <w:vAlign w:val="center"/>
          </w:tcPr>
          <w:p w14:paraId="24CFA229">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709" w:type="dxa"/>
            <w:tcBorders>
              <w:top w:val="single" w:color="auto" w:sz="4" w:space="0"/>
              <w:left w:val="single" w:color="auto" w:sz="4" w:space="0"/>
              <w:bottom w:val="single" w:color="auto" w:sz="4" w:space="0"/>
              <w:right w:val="single" w:color="auto" w:sz="4" w:space="0"/>
            </w:tcBorders>
            <w:shd w:val="clear" w:color="000000" w:fill="FFFFFF"/>
            <w:vAlign w:val="center"/>
          </w:tcPr>
          <w:p w14:paraId="76F30A7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01" w:type="dxa"/>
            <w:tcBorders>
              <w:top w:val="single" w:color="auto" w:sz="4" w:space="0"/>
              <w:left w:val="single" w:color="auto" w:sz="4" w:space="0"/>
              <w:bottom w:val="single" w:color="auto" w:sz="4" w:space="0"/>
              <w:right w:val="single" w:color="auto" w:sz="4" w:space="0"/>
            </w:tcBorders>
            <w:shd w:val="clear" w:color="000000" w:fill="FFFFFF"/>
            <w:vAlign w:val="center"/>
          </w:tcPr>
          <w:p w14:paraId="38AA898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（不含接线至DCS）</w:t>
            </w:r>
          </w:p>
        </w:tc>
      </w:tr>
      <w:tr w14:paraId="79530B6B">
        <w:tblPrEx>
          <w:tblCellMar>
            <w:top w:w="0" w:type="dxa"/>
            <w:left w:w="108" w:type="dxa"/>
            <w:bottom w:w="0" w:type="dxa"/>
            <w:right w:w="108" w:type="dxa"/>
          </w:tblCellMar>
        </w:tblPrEx>
        <w:trPr>
          <w:trHeight w:val="972"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FFFFFF"/>
            <w:vAlign w:val="center"/>
          </w:tcPr>
          <w:p w14:paraId="37B2F48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w:t>
            </w:r>
          </w:p>
        </w:tc>
        <w:tc>
          <w:tcPr>
            <w:tcW w:w="1843" w:type="dxa"/>
            <w:tcBorders>
              <w:top w:val="single" w:color="auto" w:sz="4" w:space="0"/>
              <w:left w:val="nil"/>
              <w:bottom w:val="single" w:color="auto" w:sz="4" w:space="0"/>
              <w:right w:val="single" w:color="auto" w:sz="4" w:space="0"/>
            </w:tcBorders>
            <w:shd w:val="clear" w:color="000000" w:fill="FFFFFF"/>
            <w:vAlign w:val="center"/>
          </w:tcPr>
          <w:p w14:paraId="328A66B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更换省煤器上温度测点座子</w:t>
            </w:r>
          </w:p>
        </w:tc>
        <w:tc>
          <w:tcPr>
            <w:tcW w:w="3119" w:type="dxa"/>
            <w:tcBorders>
              <w:top w:val="single" w:color="auto" w:sz="4" w:space="0"/>
              <w:left w:val="nil"/>
              <w:bottom w:val="single" w:color="auto" w:sz="4" w:space="0"/>
              <w:right w:val="single" w:color="auto" w:sz="4" w:space="0"/>
            </w:tcBorders>
            <w:shd w:val="clear" w:color="000000" w:fill="FFFFFF"/>
            <w:vAlign w:val="center"/>
          </w:tcPr>
          <w:p w14:paraId="03331F75">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M27mm*2mm，材质：12Cr1MoG</w:t>
            </w:r>
          </w:p>
        </w:tc>
        <w:tc>
          <w:tcPr>
            <w:tcW w:w="708" w:type="dxa"/>
            <w:tcBorders>
              <w:top w:val="single" w:color="auto" w:sz="4" w:space="0"/>
              <w:left w:val="nil"/>
              <w:bottom w:val="single" w:color="auto" w:sz="4" w:space="0"/>
              <w:right w:val="single" w:color="auto" w:sz="4" w:space="0"/>
            </w:tcBorders>
            <w:shd w:val="clear" w:color="000000" w:fill="FFFFFF"/>
            <w:vAlign w:val="center"/>
          </w:tcPr>
          <w:p w14:paraId="42AEA43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只</w:t>
            </w:r>
          </w:p>
        </w:tc>
        <w:tc>
          <w:tcPr>
            <w:tcW w:w="709" w:type="dxa"/>
            <w:tcBorders>
              <w:top w:val="single" w:color="auto" w:sz="4" w:space="0"/>
              <w:left w:val="nil"/>
              <w:bottom w:val="single" w:color="auto" w:sz="4" w:space="0"/>
              <w:right w:val="single" w:color="auto" w:sz="4" w:space="0"/>
            </w:tcBorders>
            <w:shd w:val="clear" w:color="000000" w:fill="FFFFFF"/>
            <w:vAlign w:val="center"/>
          </w:tcPr>
          <w:p w14:paraId="163F62A9">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1701" w:type="dxa"/>
            <w:tcBorders>
              <w:top w:val="single" w:color="auto" w:sz="4" w:space="0"/>
              <w:left w:val="nil"/>
              <w:bottom w:val="single" w:color="auto" w:sz="4" w:space="0"/>
              <w:right w:val="single" w:color="auto" w:sz="4" w:space="0"/>
            </w:tcBorders>
            <w:shd w:val="clear" w:color="000000" w:fill="FFFFFF"/>
            <w:vAlign w:val="center"/>
          </w:tcPr>
          <w:p w14:paraId="716921D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(含拆除旧的，焊接新的)</w:t>
            </w:r>
          </w:p>
        </w:tc>
      </w:tr>
      <w:tr w14:paraId="54D3E666">
        <w:tblPrEx>
          <w:tblCellMar>
            <w:top w:w="0" w:type="dxa"/>
            <w:left w:w="108" w:type="dxa"/>
            <w:bottom w:w="0" w:type="dxa"/>
            <w:right w:w="108" w:type="dxa"/>
          </w:tblCellMar>
        </w:tblPrEx>
        <w:trPr>
          <w:trHeight w:val="960"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0AA5DDA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3</w:t>
            </w:r>
          </w:p>
        </w:tc>
        <w:tc>
          <w:tcPr>
            <w:tcW w:w="1843" w:type="dxa"/>
            <w:tcBorders>
              <w:top w:val="nil"/>
              <w:left w:val="nil"/>
              <w:bottom w:val="single" w:color="auto" w:sz="4" w:space="0"/>
              <w:right w:val="single" w:color="auto" w:sz="4" w:space="0"/>
            </w:tcBorders>
            <w:shd w:val="clear" w:color="000000" w:fill="FFFFFF"/>
            <w:vAlign w:val="center"/>
          </w:tcPr>
          <w:p w14:paraId="6E0ED36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管道安装</w:t>
            </w:r>
          </w:p>
        </w:tc>
        <w:tc>
          <w:tcPr>
            <w:tcW w:w="3119" w:type="dxa"/>
            <w:tcBorders>
              <w:top w:val="nil"/>
              <w:left w:val="nil"/>
              <w:bottom w:val="single" w:color="auto" w:sz="4" w:space="0"/>
              <w:right w:val="single" w:color="auto" w:sz="4" w:space="0"/>
            </w:tcBorders>
            <w:shd w:val="clear" w:color="000000" w:fill="FFFFFF"/>
            <w:vAlign w:val="center"/>
          </w:tcPr>
          <w:p w14:paraId="4C3BAB28">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安装合金管子φ60mm*3.5mm材质：</w:t>
            </w:r>
            <w:r>
              <w:rPr>
                <w:rFonts w:hint="eastAsia" w:ascii="仿宋_GB2312" w:hAnsi="仿宋_GB2312" w:eastAsia="仿宋_GB2312" w:cs="仿宋_GB2312"/>
                <w:snapToGrid w:val="0"/>
                <w:color w:val="auto"/>
                <w:sz w:val="24"/>
                <w:szCs w:val="24"/>
                <w:lang w:eastAsia="zh-CN"/>
              </w:rPr>
              <w:t>12Cr1MoG</w:t>
            </w:r>
            <w:r>
              <w:rPr>
                <w:rFonts w:hint="eastAsia" w:ascii="仿宋_GB2312" w:hAnsi="仿宋_GB2312" w:eastAsia="仿宋_GB2312" w:cs="仿宋_GB2312"/>
                <w:color w:val="000000" w:themeColor="text1"/>
                <w:sz w:val="24"/>
                <w:szCs w:val="24"/>
              </w:rPr>
              <w:t>，长20m（含弯头5个，减压阀1只及配套的法兰盘、紧固件）</w:t>
            </w:r>
          </w:p>
        </w:tc>
        <w:tc>
          <w:tcPr>
            <w:tcW w:w="708" w:type="dxa"/>
            <w:tcBorders>
              <w:top w:val="nil"/>
              <w:left w:val="nil"/>
              <w:bottom w:val="single" w:color="auto" w:sz="4" w:space="0"/>
              <w:right w:val="single" w:color="auto" w:sz="4" w:space="0"/>
            </w:tcBorders>
            <w:shd w:val="clear" w:color="000000" w:fill="FFFFFF"/>
            <w:vAlign w:val="center"/>
          </w:tcPr>
          <w:p w14:paraId="709A31A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6F7EAD6E">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1E183898">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从过热器排空阀三通管引出管路至吹灰器（含减压阀）</w:t>
            </w:r>
          </w:p>
        </w:tc>
      </w:tr>
      <w:tr w14:paraId="13A9CADE">
        <w:tblPrEx>
          <w:tblCellMar>
            <w:top w:w="0" w:type="dxa"/>
            <w:left w:w="108" w:type="dxa"/>
            <w:bottom w:w="0" w:type="dxa"/>
            <w:right w:w="108" w:type="dxa"/>
          </w:tblCellMar>
        </w:tblPrEx>
        <w:trPr>
          <w:trHeight w:val="780"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162FC81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4</w:t>
            </w:r>
          </w:p>
        </w:tc>
        <w:tc>
          <w:tcPr>
            <w:tcW w:w="1843" w:type="dxa"/>
            <w:tcBorders>
              <w:top w:val="nil"/>
              <w:left w:val="nil"/>
              <w:bottom w:val="single" w:color="auto" w:sz="4" w:space="0"/>
              <w:right w:val="single" w:color="auto" w:sz="4" w:space="0"/>
            </w:tcBorders>
            <w:shd w:val="clear" w:color="000000" w:fill="FFFFFF"/>
            <w:vAlign w:val="center"/>
          </w:tcPr>
          <w:p w14:paraId="60BE5BE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拆除管道</w:t>
            </w:r>
          </w:p>
        </w:tc>
        <w:tc>
          <w:tcPr>
            <w:tcW w:w="3119" w:type="dxa"/>
            <w:tcBorders>
              <w:top w:val="nil"/>
              <w:left w:val="nil"/>
              <w:bottom w:val="single" w:color="auto" w:sz="4" w:space="0"/>
              <w:right w:val="single" w:color="auto" w:sz="4" w:space="0"/>
            </w:tcBorders>
            <w:shd w:val="clear" w:color="000000" w:fill="FFFFFF"/>
            <w:vAlign w:val="center"/>
          </w:tcPr>
          <w:p w14:paraId="79816532">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拆除管子φ60mm，长6m（含保温层拆除清理），法兰盲板封堵</w:t>
            </w:r>
          </w:p>
        </w:tc>
        <w:tc>
          <w:tcPr>
            <w:tcW w:w="708" w:type="dxa"/>
            <w:tcBorders>
              <w:top w:val="nil"/>
              <w:left w:val="nil"/>
              <w:bottom w:val="single" w:color="auto" w:sz="4" w:space="0"/>
              <w:right w:val="single" w:color="auto" w:sz="4" w:space="0"/>
            </w:tcBorders>
            <w:shd w:val="clear" w:color="000000" w:fill="FFFFFF"/>
            <w:vAlign w:val="center"/>
          </w:tcPr>
          <w:p w14:paraId="75C2075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253A5F6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76EF4835">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拆除过热器出口（高过）自排空阀三通与减温水管</w:t>
            </w:r>
          </w:p>
        </w:tc>
      </w:tr>
      <w:tr w14:paraId="07A7C4C1">
        <w:tblPrEx>
          <w:tblCellMar>
            <w:top w:w="0" w:type="dxa"/>
            <w:left w:w="108" w:type="dxa"/>
            <w:bottom w:w="0" w:type="dxa"/>
            <w:right w:w="108" w:type="dxa"/>
          </w:tblCellMar>
        </w:tblPrEx>
        <w:trPr>
          <w:trHeight w:val="780"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34FD87F3">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5</w:t>
            </w:r>
          </w:p>
        </w:tc>
        <w:tc>
          <w:tcPr>
            <w:tcW w:w="1843" w:type="dxa"/>
            <w:tcBorders>
              <w:top w:val="nil"/>
              <w:left w:val="nil"/>
              <w:bottom w:val="single" w:color="auto" w:sz="4" w:space="0"/>
              <w:right w:val="single" w:color="auto" w:sz="4" w:space="0"/>
            </w:tcBorders>
            <w:shd w:val="clear" w:color="000000" w:fill="FFFFFF"/>
            <w:vAlign w:val="center"/>
          </w:tcPr>
          <w:p w14:paraId="0F1CC93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管道安装</w:t>
            </w:r>
          </w:p>
        </w:tc>
        <w:tc>
          <w:tcPr>
            <w:tcW w:w="3119" w:type="dxa"/>
            <w:tcBorders>
              <w:top w:val="nil"/>
              <w:left w:val="nil"/>
              <w:bottom w:val="single" w:color="auto" w:sz="4" w:space="0"/>
              <w:right w:val="single" w:color="auto" w:sz="4" w:space="0"/>
            </w:tcBorders>
            <w:shd w:val="clear" w:color="000000" w:fill="FFFFFF"/>
            <w:vAlign w:val="center"/>
          </w:tcPr>
          <w:p w14:paraId="657916E2">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无缝管子φ32mm*3mm,长15m（含弯头5个）线路现场确定走向</w:t>
            </w:r>
          </w:p>
        </w:tc>
        <w:tc>
          <w:tcPr>
            <w:tcW w:w="708" w:type="dxa"/>
            <w:tcBorders>
              <w:top w:val="nil"/>
              <w:left w:val="nil"/>
              <w:bottom w:val="single" w:color="auto" w:sz="4" w:space="0"/>
              <w:right w:val="single" w:color="auto" w:sz="4" w:space="0"/>
            </w:tcBorders>
            <w:shd w:val="clear" w:color="000000" w:fill="FFFFFF"/>
            <w:vAlign w:val="center"/>
          </w:tcPr>
          <w:p w14:paraId="28B86A78">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542894A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206A0509">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安全阀疏水管接至室外</w:t>
            </w:r>
          </w:p>
        </w:tc>
      </w:tr>
      <w:tr w14:paraId="07FED8FE">
        <w:tblPrEx>
          <w:tblCellMar>
            <w:top w:w="0" w:type="dxa"/>
            <w:left w:w="108" w:type="dxa"/>
            <w:bottom w:w="0" w:type="dxa"/>
            <w:right w:w="108" w:type="dxa"/>
          </w:tblCellMar>
        </w:tblPrEx>
        <w:trPr>
          <w:trHeight w:val="972"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2E64B6D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6</w:t>
            </w:r>
          </w:p>
        </w:tc>
        <w:tc>
          <w:tcPr>
            <w:tcW w:w="1843" w:type="dxa"/>
            <w:tcBorders>
              <w:top w:val="nil"/>
              <w:left w:val="nil"/>
              <w:bottom w:val="single" w:color="auto" w:sz="4" w:space="0"/>
              <w:right w:val="single" w:color="auto" w:sz="4" w:space="0"/>
            </w:tcBorders>
            <w:shd w:val="clear" w:color="000000" w:fill="FFFFFF"/>
            <w:vAlign w:val="center"/>
          </w:tcPr>
          <w:p w14:paraId="10966E59">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阀门安装</w:t>
            </w:r>
          </w:p>
        </w:tc>
        <w:tc>
          <w:tcPr>
            <w:tcW w:w="3119" w:type="dxa"/>
            <w:tcBorders>
              <w:top w:val="nil"/>
              <w:left w:val="nil"/>
              <w:bottom w:val="single" w:color="auto" w:sz="4" w:space="0"/>
              <w:right w:val="single" w:color="auto" w:sz="4" w:space="0"/>
            </w:tcBorders>
            <w:shd w:val="clear" w:color="000000" w:fill="FFFFFF"/>
            <w:vAlign w:val="center"/>
          </w:tcPr>
          <w:p w14:paraId="2E4834E8">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压力表阀：J19W-160P,M20mm*1.5mm,（缓冲管、压力表:满足压力10MPa,温度500℃）</w:t>
            </w:r>
          </w:p>
        </w:tc>
        <w:tc>
          <w:tcPr>
            <w:tcW w:w="708" w:type="dxa"/>
            <w:tcBorders>
              <w:top w:val="nil"/>
              <w:left w:val="nil"/>
              <w:bottom w:val="single" w:color="auto" w:sz="4" w:space="0"/>
              <w:right w:val="single" w:color="auto" w:sz="4" w:space="0"/>
            </w:tcBorders>
            <w:shd w:val="clear" w:color="000000" w:fill="FFFFFF"/>
            <w:vAlign w:val="center"/>
          </w:tcPr>
          <w:p w14:paraId="01A91F7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组</w:t>
            </w:r>
          </w:p>
        </w:tc>
        <w:tc>
          <w:tcPr>
            <w:tcW w:w="709" w:type="dxa"/>
            <w:tcBorders>
              <w:top w:val="nil"/>
              <w:left w:val="nil"/>
              <w:bottom w:val="single" w:color="auto" w:sz="4" w:space="0"/>
              <w:right w:val="single" w:color="auto" w:sz="4" w:space="0"/>
            </w:tcBorders>
            <w:shd w:val="clear" w:color="000000" w:fill="FFFFFF"/>
            <w:vAlign w:val="center"/>
          </w:tcPr>
          <w:p w14:paraId="568B370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8</w:t>
            </w:r>
          </w:p>
        </w:tc>
        <w:tc>
          <w:tcPr>
            <w:tcW w:w="1701" w:type="dxa"/>
            <w:tcBorders>
              <w:top w:val="nil"/>
              <w:left w:val="nil"/>
              <w:bottom w:val="single" w:color="auto" w:sz="4" w:space="0"/>
              <w:right w:val="single" w:color="auto" w:sz="4" w:space="0"/>
            </w:tcBorders>
            <w:shd w:val="clear" w:color="000000" w:fill="FFFFFF"/>
            <w:vAlign w:val="center"/>
          </w:tcPr>
          <w:p w14:paraId="29EF1CE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压力表配置三通阀及缓冲管</w:t>
            </w:r>
          </w:p>
        </w:tc>
      </w:tr>
      <w:tr w14:paraId="5712E7FB">
        <w:tblPrEx>
          <w:tblCellMar>
            <w:top w:w="0" w:type="dxa"/>
            <w:left w:w="108" w:type="dxa"/>
            <w:bottom w:w="0" w:type="dxa"/>
            <w:right w:w="108" w:type="dxa"/>
          </w:tblCellMar>
        </w:tblPrEx>
        <w:trPr>
          <w:trHeight w:val="1104"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5A2DA02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7</w:t>
            </w:r>
          </w:p>
        </w:tc>
        <w:tc>
          <w:tcPr>
            <w:tcW w:w="1843" w:type="dxa"/>
            <w:tcBorders>
              <w:top w:val="nil"/>
              <w:left w:val="nil"/>
              <w:bottom w:val="single" w:color="auto" w:sz="4" w:space="0"/>
              <w:right w:val="single" w:color="auto" w:sz="4" w:space="0"/>
            </w:tcBorders>
            <w:shd w:val="clear" w:color="000000" w:fill="FFFFFF"/>
            <w:vAlign w:val="center"/>
          </w:tcPr>
          <w:p w14:paraId="53808CC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主蒸汽阀加装旁路阀及支撑架</w:t>
            </w:r>
          </w:p>
        </w:tc>
        <w:tc>
          <w:tcPr>
            <w:tcW w:w="3119" w:type="dxa"/>
            <w:tcBorders>
              <w:top w:val="nil"/>
              <w:left w:val="nil"/>
              <w:bottom w:val="single" w:color="auto" w:sz="4" w:space="0"/>
              <w:right w:val="single" w:color="auto" w:sz="4" w:space="0"/>
            </w:tcBorders>
            <w:shd w:val="clear" w:color="000000" w:fill="FFFFFF"/>
            <w:vAlign w:val="center"/>
          </w:tcPr>
          <w:p w14:paraId="79EAC883">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合金15CrMo管子：φ32mm*3mm，10m;阀门J41Y-PN10 DN32 2只（含配套弯头4个、法兰盘、紧固件等）</w:t>
            </w:r>
          </w:p>
        </w:tc>
        <w:tc>
          <w:tcPr>
            <w:tcW w:w="708" w:type="dxa"/>
            <w:tcBorders>
              <w:top w:val="nil"/>
              <w:left w:val="nil"/>
              <w:bottom w:val="single" w:color="auto" w:sz="4" w:space="0"/>
              <w:right w:val="single" w:color="auto" w:sz="4" w:space="0"/>
            </w:tcBorders>
            <w:shd w:val="clear" w:color="000000" w:fill="FFFFFF"/>
            <w:vAlign w:val="center"/>
          </w:tcPr>
          <w:p w14:paraId="029E5DB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3DD986C3">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1FC3440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p>
        </w:tc>
      </w:tr>
      <w:tr w14:paraId="73323D95">
        <w:tblPrEx>
          <w:tblCellMar>
            <w:top w:w="0" w:type="dxa"/>
            <w:left w:w="108" w:type="dxa"/>
            <w:bottom w:w="0" w:type="dxa"/>
            <w:right w:w="108" w:type="dxa"/>
          </w:tblCellMar>
        </w:tblPrEx>
        <w:trPr>
          <w:trHeight w:val="780"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59ECF40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8</w:t>
            </w:r>
          </w:p>
        </w:tc>
        <w:tc>
          <w:tcPr>
            <w:tcW w:w="1843" w:type="dxa"/>
            <w:tcBorders>
              <w:top w:val="nil"/>
              <w:left w:val="nil"/>
              <w:bottom w:val="single" w:color="auto" w:sz="4" w:space="0"/>
              <w:right w:val="single" w:color="auto" w:sz="4" w:space="0"/>
            </w:tcBorders>
            <w:shd w:val="clear" w:color="000000" w:fill="FFFFFF"/>
            <w:vAlign w:val="center"/>
          </w:tcPr>
          <w:p w14:paraId="5BE9211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炉墙修复</w:t>
            </w:r>
          </w:p>
        </w:tc>
        <w:tc>
          <w:tcPr>
            <w:tcW w:w="3119" w:type="dxa"/>
            <w:tcBorders>
              <w:top w:val="nil"/>
              <w:left w:val="nil"/>
              <w:bottom w:val="single" w:color="auto" w:sz="4" w:space="0"/>
              <w:right w:val="single" w:color="auto" w:sz="4" w:space="0"/>
            </w:tcBorders>
            <w:shd w:val="clear" w:color="000000" w:fill="FFFFFF"/>
            <w:vAlign w:val="center"/>
          </w:tcPr>
          <w:p w14:paraId="3D8EB59B">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1.炉膛后拱：拆除高1.3m*宽4.5m;重新浇筑后拱：高1.3m*宽4.5m;（含耐烧钢筋网φ6mm段）；</w:t>
            </w:r>
          </w:p>
          <w:p w14:paraId="247B6EC3">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2.高低温段吹灰器孔修复（含外墙护板焊补）；</w:t>
            </w:r>
          </w:p>
          <w:p w14:paraId="5DE68D9E">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3.人孔门填补耐火泥3个门</w:t>
            </w:r>
          </w:p>
        </w:tc>
        <w:tc>
          <w:tcPr>
            <w:tcW w:w="708" w:type="dxa"/>
            <w:tcBorders>
              <w:top w:val="nil"/>
              <w:left w:val="nil"/>
              <w:bottom w:val="single" w:color="auto" w:sz="4" w:space="0"/>
              <w:right w:val="single" w:color="auto" w:sz="4" w:space="0"/>
            </w:tcBorders>
            <w:shd w:val="clear" w:color="000000" w:fill="FFFFFF"/>
            <w:vAlign w:val="center"/>
          </w:tcPr>
          <w:p w14:paraId="509DFF2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2F168C2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522D2EB2">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ascii="仿宋_GB2312" w:hAnsi="仿宋_GB2312" w:eastAsia="仿宋_GB2312" w:cs="仿宋_GB2312"/>
                <w:color w:val="000000" w:themeColor="text1"/>
                <w:sz w:val="24"/>
                <w:szCs w:val="24"/>
              </w:rPr>
            </w:pPr>
          </w:p>
        </w:tc>
      </w:tr>
      <w:tr w14:paraId="056D68CC">
        <w:tblPrEx>
          <w:tblCellMar>
            <w:top w:w="0" w:type="dxa"/>
            <w:left w:w="108" w:type="dxa"/>
            <w:bottom w:w="0" w:type="dxa"/>
            <w:right w:w="108" w:type="dxa"/>
          </w:tblCellMar>
        </w:tblPrEx>
        <w:trPr>
          <w:trHeight w:val="780"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1680BDDE">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1843" w:type="dxa"/>
            <w:tcBorders>
              <w:top w:val="nil"/>
              <w:left w:val="nil"/>
              <w:bottom w:val="single" w:color="auto" w:sz="4" w:space="0"/>
              <w:right w:val="single" w:color="auto" w:sz="4" w:space="0"/>
            </w:tcBorders>
            <w:shd w:val="clear" w:color="000000" w:fill="FFFFFF"/>
            <w:vAlign w:val="center"/>
          </w:tcPr>
          <w:p w14:paraId="074D532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安全阀管道改造</w:t>
            </w:r>
          </w:p>
        </w:tc>
        <w:tc>
          <w:tcPr>
            <w:tcW w:w="3119" w:type="dxa"/>
            <w:tcBorders>
              <w:top w:val="nil"/>
              <w:left w:val="nil"/>
              <w:bottom w:val="single" w:color="auto" w:sz="4" w:space="0"/>
              <w:right w:val="single" w:color="auto" w:sz="4" w:space="0"/>
            </w:tcBorders>
            <w:shd w:val="clear" w:color="000000" w:fill="FFFFFF"/>
            <w:vAlign w:val="center"/>
          </w:tcPr>
          <w:p w14:paraId="33F52D9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现场确定</w:t>
            </w:r>
          </w:p>
        </w:tc>
        <w:tc>
          <w:tcPr>
            <w:tcW w:w="708" w:type="dxa"/>
            <w:tcBorders>
              <w:top w:val="nil"/>
              <w:left w:val="nil"/>
              <w:bottom w:val="single" w:color="auto" w:sz="4" w:space="0"/>
              <w:right w:val="single" w:color="auto" w:sz="4" w:space="0"/>
            </w:tcBorders>
            <w:shd w:val="clear" w:color="000000" w:fill="FFFFFF"/>
            <w:vAlign w:val="center"/>
          </w:tcPr>
          <w:p w14:paraId="3925D50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420E37DA">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71533917">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安全阀法兰管座割短降低安全阀高度，安全阀排汽管加装弯头以让出通道</w:t>
            </w:r>
          </w:p>
        </w:tc>
      </w:tr>
      <w:tr w14:paraId="0A68D4BE">
        <w:tblPrEx>
          <w:tblCellMar>
            <w:top w:w="0" w:type="dxa"/>
            <w:left w:w="108" w:type="dxa"/>
            <w:bottom w:w="0" w:type="dxa"/>
            <w:right w:w="108" w:type="dxa"/>
          </w:tblCellMar>
        </w:tblPrEx>
        <w:trPr>
          <w:trHeight w:val="780"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4358D5C6">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10</w:t>
            </w:r>
          </w:p>
        </w:tc>
        <w:tc>
          <w:tcPr>
            <w:tcW w:w="1843" w:type="dxa"/>
            <w:tcBorders>
              <w:top w:val="nil"/>
              <w:left w:val="nil"/>
              <w:bottom w:val="single" w:color="auto" w:sz="4" w:space="0"/>
              <w:right w:val="single" w:color="auto" w:sz="4" w:space="0"/>
            </w:tcBorders>
            <w:shd w:val="clear" w:color="000000" w:fill="FFFFFF"/>
            <w:vAlign w:val="center"/>
          </w:tcPr>
          <w:p w14:paraId="739FACE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4#炉排底风室右边铁板更换</w:t>
            </w:r>
          </w:p>
        </w:tc>
        <w:tc>
          <w:tcPr>
            <w:tcW w:w="3119" w:type="dxa"/>
            <w:tcBorders>
              <w:top w:val="nil"/>
              <w:left w:val="nil"/>
              <w:bottom w:val="single" w:color="auto" w:sz="4" w:space="0"/>
              <w:right w:val="single" w:color="auto" w:sz="4" w:space="0"/>
            </w:tcBorders>
            <w:shd w:val="clear" w:color="000000" w:fill="FFFFFF"/>
            <w:vAlign w:val="center"/>
          </w:tcPr>
          <w:p w14:paraId="2C150889">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铁板：材质Q235，长4m*宽0.48m*厚6mm(拆除破损的，更换焊接)</w:t>
            </w:r>
          </w:p>
        </w:tc>
        <w:tc>
          <w:tcPr>
            <w:tcW w:w="708" w:type="dxa"/>
            <w:tcBorders>
              <w:top w:val="nil"/>
              <w:left w:val="nil"/>
              <w:bottom w:val="single" w:color="auto" w:sz="4" w:space="0"/>
              <w:right w:val="single" w:color="auto" w:sz="4" w:space="0"/>
            </w:tcBorders>
            <w:shd w:val="clear" w:color="000000" w:fill="FFFFFF"/>
            <w:vAlign w:val="center"/>
          </w:tcPr>
          <w:p w14:paraId="60AB1B83">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77A4206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56FE682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p>
        </w:tc>
      </w:tr>
      <w:tr w14:paraId="19FF2B17">
        <w:tblPrEx>
          <w:tblCellMar>
            <w:top w:w="0" w:type="dxa"/>
            <w:left w:w="108" w:type="dxa"/>
            <w:bottom w:w="0" w:type="dxa"/>
            <w:right w:w="108" w:type="dxa"/>
          </w:tblCellMar>
        </w:tblPrEx>
        <w:trPr>
          <w:trHeight w:val="780"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6BE8A61E">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二</w:t>
            </w:r>
          </w:p>
        </w:tc>
        <w:tc>
          <w:tcPr>
            <w:tcW w:w="1843" w:type="dxa"/>
            <w:tcBorders>
              <w:top w:val="nil"/>
              <w:left w:val="nil"/>
              <w:bottom w:val="single" w:color="auto" w:sz="4" w:space="0"/>
              <w:right w:val="single" w:color="auto" w:sz="4" w:space="0"/>
            </w:tcBorders>
            <w:shd w:val="clear" w:color="000000" w:fill="FFFFFF"/>
            <w:vAlign w:val="center"/>
          </w:tcPr>
          <w:p w14:paraId="16341919">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吹灰器检修平台制作安装</w:t>
            </w:r>
          </w:p>
        </w:tc>
        <w:tc>
          <w:tcPr>
            <w:tcW w:w="3119" w:type="dxa"/>
            <w:tcBorders>
              <w:top w:val="nil"/>
              <w:left w:val="nil"/>
              <w:bottom w:val="single" w:color="auto" w:sz="4" w:space="0"/>
              <w:right w:val="single" w:color="auto" w:sz="4" w:space="0"/>
            </w:tcBorders>
            <w:shd w:val="clear" w:color="000000" w:fill="FFFFFF"/>
            <w:vAlign w:val="center"/>
          </w:tcPr>
          <w:p w14:paraId="76014737">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拆除旧省煤器管平台，制作新平台改成δ=3mm花纹钢板，底部加装槽钢骨架（2.45mx4.5m）</w:t>
            </w:r>
          </w:p>
        </w:tc>
        <w:tc>
          <w:tcPr>
            <w:tcW w:w="708" w:type="dxa"/>
            <w:tcBorders>
              <w:top w:val="nil"/>
              <w:left w:val="nil"/>
              <w:bottom w:val="single" w:color="auto" w:sz="4" w:space="0"/>
              <w:right w:val="single" w:color="auto" w:sz="4" w:space="0"/>
            </w:tcBorders>
            <w:shd w:val="clear" w:color="000000" w:fill="FFFFFF"/>
            <w:vAlign w:val="center"/>
          </w:tcPr>
          <w:p w14:paraId="2F3B2D83">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0DAF3B27">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5FF86C19">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sz w:val="24"/>
                <w:szCs w:val="24"/>
              </w:rPr>
            </w:pPr>
          </w:p>
        </w:tc>
      </w:tr>
      <w:tr w14:paraId="314D9FE7">
        <w:tblPrEx>
          <w:tblCellMar>
            <w:top w:w="0" w:type="dxa"/>
            <w:left w:w="108" w:type="dxa"/>
            <w:bottom w:w="0" w:type="dxa"/>
            <w:right w:w="108" w:type="dxa"/>
          </w:tblCellMar>
        </w:tblPrEx>
        <w:trPr>
          <w:trHeight w:val="1056"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2489DE29">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三</w:t>
            </w:r>
          </w:p>
        </w:tc>
        <w:tc>
          <w:tcPr>
            <w:tcW w:w="1843" w:type="dxa"/>
            <w:tcBorders>
              <w:top w:val="nil"/>
              <w:left w:val="nil"/>
              <w:bottom w:val="single" w:color="auto" w:sz="4" w:space="0"/>
              <w:right w:val="single" w:color="auto" w:sz="4" w:space="0"/>
            </w:tcBorders>
            <w:shd w:val="clear" w:color="000000" w:fill="FFFFFF"/>
            <w:vAlign w:val="center"/>
          </w:tcPr>
          <w:p w14:paraId="460CFDCD">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汽水取样冷却器</w:t>
            </w:r>
          </w:p>
        </w:tc>
        <w:tc>
          <w:tcPr>
            <w:tcW w:w="3119" w:type="dxa"/>
            <w:tcBorders>
              <w:top w:val="nil"/>
              <w:left w:val="nil"/>
              <w:bottom w:val="single" w:color="auto" w:sz="4" w:space="0"/>
              <w:right w:val="single" w:color="auto" w:sz="4" w:space="0"/>
            </w:tcBorders>
            <w:shd w:val="clear" w:color="000000" w:fill="FFFFFF"/>
            <w:vAlign w:val="center"/>
          </w:tcPr>
          <w:p w14:paraId="661836FD">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1.拆除2台旧汽水取样冷却器及配套管路、设备；</w:t>
            </w:r>
          </w:p>
          <w:p w14:paraId="23B22CCF">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2.安装5台汽水取样冷却器：</w:t>
            </w:r>
          </w:p>
          <w:p w14:paraId="4F15DF01">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2.1.配套相应管道及阀门，J41Y-100I截止阀PN100 DN10，数量10套，取样管规格φ16mm*3mm，给水采样管10m，材质20（G B3087）；</w:t>
            </w:r>
          </w:p>
          <w:p w14:paraId="4140CCD9">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2.2.汽包右侧炉水采样管32m，材质20（G B3087）；汽包左侧炉水采样管23m，材质20（G B3087）；</w:t>
            </w:r>
          </w:p>
          <w:p w14:paraId="37696579">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2.3.过热蒸汽采样管32m，材质15CrMo；</w:t>
            </w:r>
          </w:p>
          <w:p w14:paraId="4B9E7805">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2.4.饱和蒸汽采样管27m，材质15CrMo；</w:t>
            </w:r>
          </w:p>
          <w:p w14:paraId="0DFAA8D4">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2.5.进膨胀器管道φ42mm*3.5mm，长度7m，材质15CrMo。（含冷却水进出水管，汽水取样冷却器支架、水槽制作，配套法兰盘、紧固件）</w:t>
            </w:r>
          </w:p>
        </w:tc>
        <w:tc>
          <w:tcPr>
            <w:tcW w:w="708" w:type="dxa"/>
            <w:tcBorders>
              <w:top w:val="nil"/>
              <w:left w:val="nil"/>
              <w:bottom w:val="single" w:color="auto" w:sz="4" w:space="0"/>
              <w:right w:val="single" w:color="auto" w:sz="4" w:space="0"/>
            </w:tcBorders>
            <w:shd w:val="clear" w:color="000000" w:fill="FFFFFF"/>
            <w:vAlign w:val="center"/>
          </w:tcPr>
          <w:p w14:paraId="318F01DC">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46588C4D">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2A28A363">
            <w:pPr>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（给水管1台、炉水2台、饱和蒸汽1台、过热蒸汽1台）</w:t>
            </w:r>
          </w:p>
        </w:tc>
      </w:tr>
      <w:tr w14:paraId="141E49AB">
        <w:tblPrEx>
          <w:tblCellMar>
            <w:top w:w="0" w:type="dxa"/>
            <w:left w:w="108" w:type="dxa"/>
            <w:bottom w:w="0" w:type="dxa"/>
            <w:right w:w="108" w:type="dxa"/>
          </w:tblCellMar>
        </w:tblPrEx>
        <w:trPr>
          <w:trHeight w:val="1140"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754D73E0">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四</w:t>
            </w:r>
          </w:p>
        </w:tc>
        <w:tc>
          <w:tcPr>
            <w:tcW w:w="1843" w:type="dxa"/>
            <w:tcBorders>
              <w:top w:val="nil"/>
              <w:left w:val="nil"/>
              <w:bottom w:val="single" w:color="auto" w:sz="4" w:space="0"/>
              <w:right w:val="single" w:color="auto" w:sz="4" w:space="0"/>
            </w:tcBorders>
            <w:shd w:val="clear" w:color="000000" w:fill="FFFFFF"/>
            <w:vAlign w:val="center"/>
          </w:tcPr>
          <w:p w14:paraId="4FA64A0E">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左侧泄漏的防焦管焊补</w:t>
            </w:r>
          </w:p>
        </w:tc>
        <w:tc>
          <w:tcPr>
            <w:tcW w:w="3119" w:type="dxa"/>
            <w:tcBorders>
              <w:top w:val="nil"/>
              <w:left w:val="nil"/>
              <w:bottom w:val="single" w:color="auto" w:sz="4" w:space="0"/>
              <w:right w:val="single" w:color="auto" w:sz="4" w:space="0"/>
            </w:tcBorders>
            <w:shd w:val="clear" w:color="000000" w:fill="FFFFFF"/>
            <w:vAlign w:val="center"/>
          </w:tcPr>
          <w:p w14:paraId="04EA17B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1个口</w:t>
            </w:r>
          </w:p>
        </w:tc>
        <w:tc>
          <w:tcPr>
            <w:tcW w:w="708" w:type="dxa"/>
            <w:tcBorders>
              <w:top w:val="nil"/>
              <w:left w:val="nil"/>
              <w:bottom w:val="single" w:color="auto" w:sz="4" w:space="0"/>
              <w:right w:val="single" w:color="auto" w:sz="4" w:space="0"/>
            </w:tcBorders>
            <w:shd w:val="clear" w:color="000000" w:fill="FFFFFF"/>
            <w:vAlign w:val="center"/>
          </w:tcPr>
          <w:p w14:paraId="1C1C7799">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28D5B29E">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66D7B6CD">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ascii="仿宋_GB2312" w:hAnsi="仿宋_GB2312" w:eastAsia="仿宋_GB2312" w:cs="仿宋_GB2312"/>
                <w:sz w:val="24"/>
                <w:szCs w:val="24"/>
              </w:rPr>
            </w:pPr>
          </w:p>
        </w:tc>
      </w:tr>
      <w:tr w14:paraId="1B90DB93">
        <w:tblPrEx>
          <w:tblCellMar>
            <w:top w:w="0" w:type="dxa"/>
            <w:left w:w="108" w:type="dxa"/>
            <w:bottom w:w="0" w:type="dxa"/>
            <w:right w:w="108" w:type="dxa"/>
          </w:tblCellMar>
        </w:tblPrEx>
        <w:trPr>
          <w:trHeight w:val="1164"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2B94C808">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五</w:t>
            </w:r>
          </w:p>
        </w:tc>
        <w:tc>
          <w:tcPr>
            <w:tcW w:w="1843" w:type="dxa"/>
            <w:tcBorders>
              <w:top w:val="nil"/>
              <w:left w:val="nil"/>
              <w:bottom w:val="single" w:color="auto" w:sz="4" w:space="0"/>
              <w:right w:val="single" w:color="auto" w:sz="4" w:space="0"/>
            </w:tcBorders>
            <w:shd w:val="clear" w:color="000000" w:fill="FFFFFF"/>
            <w:vAlign w:val="center"/>
          </w:tcPr>
          <w:p w14:paraId="5E495BBE">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更换上锅筒连接到连排之间的排污管道φ27mm*3.5mm）及主管φ42mm*3.5mm</w:t>
            </w:r>
          </w:p>
        </w:tc>
        <w:tc>
          <w:tcPr>
            <w:tcW w:w="3119" w:type="dxa"/>
            <w:tcBorders>
              <w:top w:val="nil"/>
              <w:left w:val="nil"/>
              <w:bottom w:val="single" w:color="auto" w:sz="4" w:space="0"/>
              <w:right w:val="single" w:color="auto" w:sz="4" w:space="0"/>
            </w:tcBorders>
            <w:shd w:val="clear" w:color="000000" w:fill="FFFFFF"/>
            <w:vAlign w:val="center"/>
          </w:tcPr>
          <w:p w14:paraId="79A28492">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排污管（DN20）长23m，材质20（G B3087）；主管φ42mm*3.5mm管长6m </w:t>
            </w:r>
          </w:p>
        </w:tc>
        <w:tc>
          <w:tcPr>
            <w:tcW w:w="708" w:type="dxa"/>
            <w:tcBorders>
              <w:top w:val="nil"/>
              <w:left w:val="nil"/>
              <w:bottom w:val="single" w:color="auto" w:sz="4" w:space="0"/>
              <w:right w:val="single" w:color="auto" w:sz="4" w:space="0"/>
            </w:tcBorders>
            <w:shd w:val="clear" w:color="000000" w:fill="FFFFFF"/>
            <w:vAlign w:val="center"/>
          </w:tcPr>
          <w:p w14:paraId="1B397268">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714B919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6A770C9F">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ascii="仿宋_GB2312" w:hAnsi="仿宋_GB2312" w:eastAsia="仿宋_GB2312" w:cs="仿宋_GB2312"/>
                <w:sz w:val="24"/>
                <w:szCs w:val="24"/>
              </w:rPr>
            </w:pPr>
          </w:p>
        </w:tc>
      </w:tr>
      <w:tr w14:paraId="76475E9A">
        <w:tblPrEx>
          <w:tblCellMar>
            <w:top w:w="0" w:type="dxa"/>
            <w:left w:w="108" w:type="dxa"/>
            <w:bottom w:w="0" w:type="dxa"/>
            <w:right w:w="108" w:type="dxa"/>
          </w:tblCellMar>
        </w:tblPrEx>
        <w:trPr>
          <w:trHeight w:val="780"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269FE608">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六</w:t>
            </w:r>
          </w:p>
        </w:tc>
        <w:tc>
          <w:tcPr>
            <w:tcW w:w="1843" w:type="dxa"/>
            <w:tcBorders>
              <w:top w:val="nil"/>
              <w:left w:val="nil"/>
              <w:bottom w:val="single" w:color="auto" w:sz="4" w:space="0"/>
              <w:right w:val="single" w:color="auto" w:sz="4" w:space="0"/>
            </w:tcBorders>
            <w:shd w:val="clear" w:color="000000" w:fill="FFFFFF"/>
            <w:vAlign w:val="center"/>
          </w:tcPr>
          <w:p w14:paraId="7776CA0D">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空气预热器管更换</w:t>
            </w:r>
          </w:p>
        </w:tc>
        <w:tc>
          <w:tcPr>
            <w:tcW w:w="3119" w:type="dxa"/>
            <w:tcBorders>
              <w:top w:val="nil"/>
              <w:left w:val="nil"/>
              <w:bottom w:val="single" w:color="auto" w:sz="4" w:space="0"/>
              <w:right w:val="single" w:color="auto" w:sz="4" w:space="0"/>
            </w:tcBorders>
            <w:shd w:val="clear" w:color="000000" w:fill="FFFFFF"/>
            <w:vAlign w:val="center"/>
          </w:tcPr>
          <w:p w14:paraId="72EAAE4C">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（规格：高频焊管φ51mm*2mm，长度3494mm）1678根</w:t>
            </w:r>
          </w:p>
        </w:tc>
        <w:tc>
          <w:tcPr>
            <w:tcW w:w="708" w:type="dxa"/>
            <w:tcBorders>
              <w:top w:val="nil"/>
              <w:left w:val="nil"/>
              <w:bottom w:val="single" w:color="auto" w:sz="4" w:space="0"/>
              <w:right w:val="single" w:color="auto" w:sz="4" w:space="0"/>
            </w:tcBorders>
            <w:shd w:val="clear" w:color="000000" w:fill="FFFFFF"/>
            <w:vAlign w:val="center"/>
          </w:tcPr>
          <w:p w14:paraId="73BBA10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37E6D16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01" w:type="dxa"/>
            <w:tcBorders>
              <w:top w:val="nil"/>
              <w:left w:val="single" w:color="auto" w:sz="4" w:space="0"/>
              <w:bottom w:val="single" w:color="auto" w:sz="4" w:space="0"/>
              <w:right w:val="single" w:color="auto" w:sz="4" w:space="0"/>
            </w:tcBorders>
            <w:shd w:val="clear" w:color="000000" w:fill="FFFFFF"/>
            <w:vAlign w:val="center"/>
          </w:tcPr>
          <w:p w14:paraId="0871E7FD">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ascii="仿宋_GB2312" w:hAnsi="仿宋_GB2312" w:eastAsia="仿宋_GB2312" w:cs="仿宋_GB2312"/>
                <w:sz w:val="24"/>
                <w:szCs w:val="24"/>
              </w:rPr>
            </w:pPr>
          </w:p>
        </w:tc>
      </w:tr>
      <w:tr w14:paraId="7F5A74CF">
        <w:tblPrEx>
          <w:tblCellMar>
            <w:top w:w="0" w:type="dxa"/>
            <w:left w:w="108" w:type="dxa"/>
            <w:bottom w:w="0" w:type="dxa"/>
            <w:right w:w="108" w:type="dxa"/>
          </w:tblCellMar>
        </w:tblPrEx>
        <w:trPr>
          <w:trHeight w:val="780"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0F21592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843" w:type="dxa"/>
            <w:tcBorders>
              <w:top w:val="nil"/>
              <w:left w:val="nil"/>
              <w:bottom w:val="single" w:color="auto" w:sz="4" w:space="0"/>
              <w:right w:val="single" w:color="auto" w:sz="4" w:space="0"/>
            </w:tcBorders>
            <w:shd w:val="clear" w:color="000000" w:fill="FFFFFF"/>
            <w:vAlign w:val="center"/>
          </w:tcPr>
          <w:p w14:paraId="210E8DB1">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拆除原有空气预热器管更换</w:t>
            </w:r>
          </w:p>
        </w:tc>
        <w:tc>
          <w:tcPr>
            <w:tcW w:w="3119" w:type="dxa"/>
            <w:tcBorders>
              <w:top w:val="nil"/>
              <w:left w:val="nil"/>
              <w:bottom w:val="single" w:color="auto" w:sz="4" w:space="0"/>
              <w:right w:val="single" w:color="auto" w:sz="4" w:space="0"/>
            </w:tcBorders>
            <w:shd w:val="clear" w:color="000000" w:fill="FFFFFF"/>
            <w:vAlign w:val="center"/>
          </w:tcPr>
          <w:p w14:paraId="22072DDE">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（规格：高频焊管φ51mm*2mm，长度3494mm）1678根（含需要拆除的烟道墙等）</w:t>
            </w:r>
          </w:p>
        </w:tc>
        <w:tc>
          <w:tcPr>
            <w:tcW w:w="708" w:type="dxa"/>
            <w:tcBorders>
              <w:top w:val="nil"/>
              <w:left w:val="nil"/>
              <w:bottom w:val="single" w:color="auto" w:sz="4" w:space="0"/>
              <w:right w:val="single" w:color="auto" w:sz="4" w:space="0"/>
            </w:tcBorders>
            <w:shd w:val="clear" w:color="000000" w:fill="FFFFFF"/>
            <w:vAlign w:val="center"/>
          </w:tcPr>
          <w:p w14:paraId="562020E0">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4E47503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01" w:type="dxa"/>
            <w:tcBorders>
              <w:top w:val="nil"/>
              <w:left w:val="single" w:color="auto" w:sz="4" w:space="0"/>
              <w:bottom w:val="single" w:color="auto" w:sz="4" w:space="0"/>
              <w:right w:val="single" w:color="auto" w:sz="4" w:space="0"/>
            </w:tcBorders>
            <w:shd w:val="clear" w:color="000000" w:fill="FFFFFF"/>
            <w:vAlign w:val="center"/>
          </w:tcPr>
          <w:p w14:paraId="59F85F61">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ascii="仿宋_GB2312" w:hAnsi="仿宋_GB2312" w:eastAsia="仿宋_GB2312" w:cs="仿宋_GB2312"/>
                <w:sz w:val="24"/>
                <w:szCs w:val="24"/>
              </w:rPr>
            </w:pPr>
          </w:p>
        </w:tc>
      </w:tr>
      <w:tr w14:paraId="36E21767">
        <w:tblPrEx>
          <w:tblCellMar>
            <w:top w:w="0" w:type="dxa"/>
            <w:left w:w="108" w:type="dxa"/>
            <w:bottom w:w="0" w:type="dxa"/>
            <w:right w:w="108" w:type="dxa"/>
          </w:tblCellMar>
        </w:tblPrEx>
        <w:trPr>
          <w:trHeight w:val="780"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39A4804E">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843" w:type="dxa"/>
            <w:tcBorders>
              <w:top w:val="nil"/>
              <w:left w:val="nil"/>
              <w:bottom w:val="single" w:color="auto" w:sz="4" w:space="0"/>
              <w:right w:val="single" w:color="auto" w:sz="4" w:space="0"/>
            </w:tcBorders>
            <w:shd w:val="clear" w:color="000000" w:fill="FFFFFF"/>
            <w:vAlign w:val="center"/>
          </w:tcPr>
          <w:p w14:paraId="57B9FD2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安装空气预热器管</w:t>
            </w:r>
          </w:p>
        </w:tc>
        <w:tc>
          <w:tcPr>
            <w:tcW w:w="3119" w:type="dxa"/>
            <w:tcBorders>
              <w:top w:val="nil"/>
              <w:left w:val="nil"/>
              <w:bottom w:val="single" w:color="auto" w:sz="4" w:space="0"/>
              <w:right w:val="single" w:color="auto" w:sz="4" w:space="0"/>
            </w:tcBorders>
            <w:shd w:val="clear" w:color="000000" w:fill="FFFFFF"/>
            <w:vAlign w:val="center"/>
          </w:tcPr>
          <w:p w14:paraId="79698A9C">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（材质：Q235A; 规格：高频焊管φ51mm*2mm，长度3494mm）1678根（含需要恢复的烟道墙等）</w:t>
            </w:r>
          </w:p>
        </w:tc>
        <w:tc>
          <w:tcPr>
            <w:tcW w:w="708" w:type="dxa"/>
            <w:tcBorders>
              <w:top w:val="nil"/>
              <w:left w:val="nil"/>
              <w:bottom w:val="single" w:color="auto" w:sz="4" w:space="0"/>
              <w:right w:val="single" w:color="auto" w:sz="4" w:space="0"/>
            </w:tcBorders>
            <w:shd w:val="clear" w:color="000000" w:fill="FFFFFF"/>
            <w:vAlign w:val="center"/>
          </w:tcPr>
          <w:p w14:paraId="0715887E">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49030936">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250B9764">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ascii="仿宋_GB2312" w:hAnsi="仿宋_GB2312" w:eastAsia="仿宋_GB2312" w:cs="仿宋_GB2312"/>
                <w:sz w:val="24"/>
                <w:szCs w:val="24"/>
              </w:rPr>
            </w:pPr>
          </w:p>
        </w:tc>
      </w:tr>
      <w:tr w14:paraId="05691F1B">
        <w:tblPrEx>
          <w:tblCellMar>
            <w:top w:w="0" w:type="dxa"/>
            <w:left w:w="108" w:type="dxa"/>
            <w:bottom w:w="0" w:type="dxa"/>
            <w:right w:w="108" w:type="dxa"/>
          </w:tblCellMar>
        </w:tblPrEx>
        <w:trPr>
          <w:trHeight w:val="780" w:hRule="atLeast"/>
          <w:jc w:val="center"/>
        </w:trPr>
        <w:tc>
          <w:tcPr>
            <w:tcW w:w="850" w:type="dxa"/>
            <w:tcBorders>
              <w:top w:val="nil"/>
              <w:left w:val="single" w:color="auto" w:sz="4" w:space="0"/>
              <w:bottom w:val="single" w:color="auto" w:sz="4" w:space="0"/>
              <w:right w:val="single" w:color="auto" w:sz="4" w:space="0"/>
            </w:tcBorders>
            <w:shd w:val="clear" w:color="000000" w:fill="FFFFFF"/>
            <w:vAlign w:val="center"/>
          </w:tcPr>
          <w:p w14:paraId="27F5AD15">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七</w:t>
            </w:r>
          </w:p>
        </w:tc>
        <w:tc>
          <w:tcPr>
            <w:tcW w:w="8080" w:type="dxa"/>
            <w:gridSpan w:val="5"/>
            <w:tcBorders>
              <w:top w:val="nil"/>
              <w:left w:val="nil"/>
              <w:bottom w:val="single" w:color="auto" w:sz="4" w:space="0"/>
              <w:right w:val="single" w:color="auto" w:sz="4" w:space="0"/>
            </w:tcBorders>
            <w:shd w:val="clear" w:color="000000" w:fill="FFFFFF"/>
            <w:vAlign w:val="center"/>
          </w:tcPr>
          <w:p w14:paraId="501D50E6">
            <w:pPr>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备注：所有工程内容产生的垃圾按要求清理到指定的堆放地点，所列材料数量以实际使用量为准，不足部分由供应商补齐，不在另行计算价格费用均含在此项目总价内。</w:t>
            </w:r>
          </w:p>
        </w:tc>
      </w:tr>
    </w:tbl>
    <w:p w14:paraId="675659FF">
      <w:pPr>
        <w:spacing w:after="0" w:line="240" w:lineRule="auto"/>
        <w:jc w:val="both"/>
        <w:rPr>
          <w:rFonts w:ascii="Times New Roman" w:hAnsi="Times New Roman" w:eastAsia="仿宋_GB2312" w:cs="Times New Roman"/>
          <w:sz w:val="24"/>
          <w:szCs w:val="24"/>
        </w:rPr>
      </w:pPr>
    </w:p>
    <w:p w14:paraId="1FBF7D67">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2.2 计划交货期：</w:t>
      </w:r>
      <w:r>
        <w:rPr>
          <w:rFonts w:ascii="Times New Roman" w:hAnsi="Times New Roman" w:eastAsia="仿宋_GB2312" w:cs="Times New Roman"/>
          <w:color w:val="auto"/>
          <w:sz w:val="32"/>
          <w:szCs w:val="32"/>
          <w:u w:val="single"/>
        </w:rPr>
        <w:t xml:space="preserve">75   </w:t>
      </w:r>
      <w:r>
        <w:rPr>
          <w:rFonts w:ascii="Times New Roman" w:hAnsi="Times New Roman" w:eastAsia="仿宋_GB2312" w:cs="Times New Roman"/>
          <w:sz w:val="32"/>
          <w:szCs w:val="32"/>
        </w:rPr>
        <w:t>日历天</w:t>
      </w:r>
    </w:p>
    <w:p w14:paraId="0432F98E">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2.3 交货地点：</w:t>
      </w:r>
      <w:r>
        <w:rPr>
          <w:rFonts w:ascii="Times New Roman" w:hAnsi="Times New Roman" w:eastAsia="仿宋_GB2312" w:cs="Times New Roman"/>
          <w:sz w:val="32"/>
          <w:szCs w:val="32"/>
          <w:u w:val="single"/>
        </w:rPr>
        <w:t xml:space="preserve"> 采购人指定地点（梁河糖业勐养工厂）</w:t>
      </w:r>
      <w:r>
        <w:rPr>
          <w:rFonts w:ascii="Times New Roman" w:hAnsi="Times New Roman" w:eastAsia="仿宋_GB2312" w:cs="Times New Roman"/>
          <w:sz w:val="32"/>
          <w:szCs w:val="32"/>
        </w:rPr>
        <w:t xml:space="preserve">     </w:t>
      </w:r>
    </w:p>
    <w:p w14:paraId="448F5594">
      <w:pPr>
        <w:spacing w:after="0" w:line="560" w:lineRule="exact"/>
        <w:ind w:firstLine="640" w:firstLineChars="200"/>
        <w:jc w:val="both"/>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 xml:space="preserve">2.4 质量要求或服务标准： </w:t>
      </w:r>
      <w:r>
        <w:rPr>
          <w:rFonts w:ascii="Times New Roman" w:hAnsi="Times New Roman" w:eastAsia="仿宋_GB2312" w:cs="Times New Roman"/>
          <w:sz w:val="32"/>
          <w:szCs w:val="32"/>
          <w:u w:val="single"/>
        </w:rPr>
        <w:t xml:space="preserve">达到国家相关质量标准要求且满足本项目技术及使用需求，且达到一次性验收合格。 </w:t>
      </w:r>
    </w:p>
    <w:p w14:paraId="0FF0DA74">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2.5 质保期：</w:t>
      </w:r>
      <w:r>
        <w:rPr>
          <w:rFonts w:ascii="Times New Roman" w:hAnsi="Times New Roman" w:eastAsia="仿宋_GB2312" w:cs="Times New Roman"/>
          <w:sz w:val="32"/>
          <w:szCs w:val="32"/>
          <w:u w:val="single"/>
        </w:rPr>
        <w:t>一年（竣工验收后12个月）</w:t>
      </w:r>
      <w:r>
        <w:rPr>
          <w:rFonts w:ascii="Times New Roman" w:hAnsi="Times New Roman" w:eastAsia="仿宋_GB2312" w:cs="Times New Roman"/>
          <w:sz w:val="32"/>
          <w:szCs w:val="32"/>
        </w:rPr>
        <w:t xml:space="preserve">             </w:t>
      </w:r>
    </w:p>
    <w:p w14:paraId="742AF127">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2.6 最高限价：</w:t>
      </w:r>
    </w:p>
    <w:p w14:paraId="6585B931">
      <w:pPr>
        <w:spacing w:after="0" w:line="560" w:lineRule="exact"/>
        <w:ind w:firstLine="640" w:firstLineChars="200"/>
        <w:jc w:val="both"/>
        <w:rPr>
          <w:rFonts w:ascii="Times New Roman" w:hAnsi="Times New Roman" w:eastAsia="仿宋_GB2312" w:cs="Times New Roman"/>
          <w:sz w:val="32"/>
          <w:szCs w:val="32"/>
          <w:u w:val="single"/>
        </w:rPr>
      </w:pPr>
      <w:r>
        <w:rPr>
          <w:rFonts w:ascii="Times New Roman" w:hAnsi="Times New Roman" w:eastAsia="仿宋_GB2312" w:cs="Times New Roman"/>
          <w:sz w:val="32"/>
          <w:szCs w:val="32"/>
          <w:u w:val="single"/>
        </w:rPr>
        <w:sym w:font="Wingdings 2" w:char="0052"/>
      </w:r>
      <w:r>
        <w:rPr>
          <w:rFonts w:ascii="Times New Roman" w:hAnsi="Times New Roman" w:eastAsia="仿宋_GB2312" w:cs="Times New Roman"/>
          <w:sz w:val="32"/>
          <w:szCs w:val="32"/>
          <w:u w:val="single"/>
        </w:rPr>
        <w:t>设置最高限价，最高限价70万元</w:t>
      </w:r>
    </w:p>
    <w:p w14:paraId="7671B94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sym w:font="Wingdings 2" w:char="00A3"/>
      </w:r>
      <w:r>
        <w:rPr>
          <w:rFonts w:ascii="Times New Roman" w:hAnsi="Times New Roman" w:eastAsia="仿宋_GB2312" w:cs="Times New Roman"/>
          <w:sz w:val="32"/>
          <w:szCs w:val="32"/>
        </w:rPr>
        <w:t>不设置最高限价</w:t>
      </w:r>
    </w:p>
    <w:p w14:paraId="4048C6C3">
      <w:pPr>
        <w:spacing w:after="0" w:line="560" w:lineRule="exact"/>
        <w:ind w:firstLine="640" w:firstLineChars="200"/>
        <w:jc w:val="both"/>
        <w:rPr>
          <w:rFonts w:ascii="Times New Roman" w:hAnsi="Times New Roman" w:eastAsia="仿宋_GB2312" w:cs="Times New Roman"/>
          <w:sz w:val="32"/>
          <w:szCs w:val="32"/>
        </w:rPr>
      </w:pPr>
      <w:bookmarkStart w:id="20" w:name="_Hlk99361924"/>
      <w:r>
        <w:rPr>
          <w:rFonts w:ascii="Times New Roman" w:hAnsi="Times New Roman" w:eastAsia="仿宋_GB2312" w:cs="Times New Roman"/>
          <w:sz w:val="32"/>
          <w:szCs w:val="32"/>
        </w:rPr>
        <w:t>2.7 是否集采：</w:t>
      </w:r>
    </w:p>
    <w:p w14:paraId="68D40C17">
      <w:pPr>
        <w:spacing w:after="0" w:line="560" w:lineRule="exact"/>
        <w:ind w:firstLine="640" w:firstLineChars="200"/>
        <w:jc w:val="both"/>
        <w:rPr>
          <w:rFonts w:ascii="Times New Roman" w:hAnsi="Times New Roman" w:eastAsia="仿宋_GB2312" w:cs="Times New Roman"/>
          <w:sz w:val="32"/>
          <w:szCs w:val="32"/>
          <w:u w:val="single"/>
        </w:rPr>
      </w:pPr>
      <w:r>
        <w:rPr>
          <w:rFonts w:ascii="Times New Roman" w:hAnsi="Times New Roman" w:eastAsia="仿宋_GB2312" w:cs="Times New Roman"/>
          <w:sz w:val="32"/>
          <w:szCs w:val="32"/>
          <w:u w:val="single"/>
        </w:rPr>
        <w:sym w:font="Wingdings 2" w:char="0052"/>
      </w:r>
      <w:r>
        <w:rPr>
          <w:rFonts w:ascii="Times New Roman" w:hAnsi="Times New Roman" w:eastAsia="仿宋_GB2312" w:cs="Times New Roman"/>
          <w:sz w:val="32"/>
          <w:szCs w:val="32"/>
          <w:u w:val="single"/>
        </w:rPr>
        <w:t>否</w:t>
      </w:r>
      <w:bookmarkEnd w:id="20"/>
    </w:p>
    <w:p w14:paraId="1D1FF5E1">
      <w:pPr>
        <w:spacing w:after="0" w:line="560" w:lineRule="exact"/>
        <w:ind w:firstLine="643" w:firstLineChars="200"/>
        <w:jc w:val="both"/>
        <w:outlineLvl w:val="1"/>
        <w:rPr>
          <w:rFonts w:ascii="Times New Roman" w:hAnsi="Times New Roman" w:eastAsia="仿宋_GB2312" w:cs="Times New Roman"/>
          <w:b/>
          <w:sz w:val="32"/>
          <w:szCs w:val="32"/>
        </w:rPr>
      </w:pPr>
      <w:bookmarkStart w:id="21" w:name="_Toc22381"/>
      <w:bookmarkStart w:id="22" w:name="_Hlk95316175"/>
      <w:r>
        <w:rPr>
          <w:rFonts w:ascii="Times New Roman" w:hAnsi="Times New Roman" w:eastAsia="仿宋_GB2312" w:cs="Times New Roman"/>
          <w:b/>
          <w:sz w:val="32"/>
          <w:szCs w:val="32"/>
        </w:rPr>
        <w:t>3.供应商资格要求</w:t>
      </w:r>
      <w:bookmarkEnd w:id="21"/>
    </w:p>
    <w:p w14:paraId="5EBA6A30">
      <w:pPr>
        <w:spacing w:after="0" w:line="560" w:lineRule="exact"/>
        <w:ind w:firstLine="640" w:firstLineChars="200"/>
        <w:jc w:val="both"/>
        <w:outlineLvl w:val="2"/>
        <w:rPr>
          <w:rFonts w:ascii="Times New Roman" w:hAnsi="Times New Roman" w:eastAsia="仿宋_GB2312" w:cs="Times New Roman"/>
          <w:sz w:val="32"/>
          <w:szCs w:val="32"/>
        </w:rPr>
      </w:pPr>
      <w:bookmarkStart w:id="23" w:name="_Toc2222"/>
      <w:r>
        <w:rPr>
          <w:rFonts w:ascii="Times New Roman" w:hAnsi="Times New Roman" w:eastAsia="仿宋_GB2312" w:cs="Times New Roman"/>
          <w:sz w:val="32"/>
          <w:szCs w:val="32"/>
        </w:rPr>
        <w:t>3.1 供应商应依法设立且满足如下要求：</w:t>
      </w:r>
      <w:bookmarkEnd w:id="23"/>
    </w:p>
    <w:p w14:paraId="3E04D22D">
      <w:pPr>
        <w:spacing w:after="0" w:line="560" w:lineRule="exact"/>
        <w:ind w:firstLine="640" w:firstLineChars="200"/>
        <w:jc w:val="both"/>
        <w:rPr>
          <w:rFonts w:ascii="Times New Roman" w:hAnsi="Times New Roman" w:eastAsia="仿宋_GB2312" w:cs="Times New Roman"/>
          <w:color w:val="000000" w:themeColor="text1"/>
          <w:sz w:val="32"/>
          <w:szCs w:val="32"/>
          <w:u w:val="single"/>
        </w:rPr>
      </w:pPr>
      <w:bookmarkStart w:id="24" w:name="OLE_LINK64"/>
      <w:bookmarkStart w:id="25" w:name="OLE_LINK68"/>
      <w:r>
        <w:rPr>
          <w:rFonts w:ascii="Times New Roman" w:hAnsi="Times New Roman" w:eastAsia="仿宋_GB2312" w:cs="Times New Roman"/>
          <w:sz w:val="32"/>
          <w:szCs w:val="32"/>
        </w:rPr>
        <w:t>资质要求：</w:t>
      </w:r>
      <w:bookmarkStart w:id="26" w:name="OLE_LINK17"/>
      <w:bookmarkStart w:id="27" w:name="OLE_LINK22"/>
      <w:r>
        <w:rPr>
          <w:rFonts w:ascii="Times New Roman" w:hAnsi="Times New Roman" w:eastAsia="仿宋_GB2312" w:cs="Times New Roman"/>
          <w:sz w:val="32"/>
          <w:szCs w:val="32"/>
          <w:u w:val="single"/>
        </w:rPr>
        <w:t>“投标人应具备独立签订合同能力，为中华人民共和国境内注册的企业法人或其他组织或自然人”，同时具有合法有效的营业执照，营业执照经营范围中涉及锅炉的制造、供货安装</w:t>
      </w:r>
      <w:r>
        <w:rPr>
          <w:rFonts w:ascii="Times New Roman" w:hAnsi="Times New Roman" w:eastAsia="仿宋_GB2312" w:cs="Times New Roman"/>
          <w:color w:val="000000" w:themeColor="text1"/>
          <w:sz w:val="32"/>
          <w:szCs w:val="32"/>
          <w:u w:val="single"/>
        </w:rPr>
        <w:t>，具有特种设备（锅炉）安装、改造、维修许可证(A级)，（供应商报名时在EPS系统补充文件处上传锅炉供货安装内容资质证书）。</w:t>
      </w:r>
    </w:p>
    <w:p w14:paraId="7B551CD1">
      <w:pPr>
        <w:spacing w:after="0" w:line="560" w:lineRule="exact"/>
        <w:ind w:firstLine="640" w:firstLineChars="200"/>
        <w:jc w:val="both"/>
        <w:rPr>
          <w:rFonts w:ascii="Times New Roman" w:hAnsi="Times New Roman" w:eastAsia="仿宋_GB2312" w:cs="Times New Roman"/>
          <w:color w:val="000000" w:themeColor="text1"/>
          <w:sz w:val="32"/>
          <w:szCs w:val="32"/>
          <w:u w:val="single"/>
        </w:rPr>
      </w:pPr>
      <w:r>
        <w:rPr>
          <w:rFonts w:ascii="Times New Roman" w:hAnsi="Times New Roman" w:eastAsia="仿宋_GB2312" w:cs="Times New Roman"/>
          <w:color w:val="000000" w:themeColor="text1"/>
          <w:sz w:val="32"/>
          <w:szCs w:val="32"/>
          <w:u w:val="single"/>
        </w:rPr>
        <w:t>承包方近3年（2021年6月1日）以来没有骗取中标，不按要求履行合同及经济方面有关的严重违法行为和牵涉重大经济诉讼案件（投标人需提交书面承诺并加盖公章）。</w:t>
      </w:r>
      <w:bookmarkEnd w:id="26"/>
      <w:bookmarkEnd w:id="27"/>
    </w:p>
    <w:p w14:paraId="23551DE8">
      <w:pPr>
        <w:spacing w:after="0" w:line="560" w:lineRule="exact"/>
        <w:ind w:firstLine="640" w:firstLineChars="200"/>
        <w:jc w:val="both"/>
        <w:rPr>
          <w:rFonts w:hint="eastAsia" w:ascii="Times New Roman" w:hAnsi="Times New Roman" w:eastAsia="仿宋_GB2312" w:cs="Times New Roman"/>
          <w:color w:val="000000" w:themeColor="text1"/>
          <w:sz w:val="32"/>
          <w:szCs w:val="32"/>
          <w:u w:val="single"/>
          <w:lang w:eastAsia="zh-CN"/>
        </w:rPr>
      </w:pPr>
      <w:r>
        <w:rPr>
          <w:rFonts w:ascii="Times New Roman" w:hAnsi="Times New Roman" w:eastAsia="仿宋_GB2312" w:cs="Times New Roman"/>
          <w:color w:val="000000" w:themeColor="text1"/>
          <w:sz w:val="32"/>
          <w:szCs w:val="32"/>
        </w:rPr>
        <w:t>财务要求：</w:t>
      </w:r>
      <w:bookmarkStart w:id="28" w:name="_Hlk99361942"/>
      <w:r>
        <w:rPr>
          <w:rFonts w:ascii="Times New Roman" w:hAnsi="Times New Roman" w:eastAsia="仿宋_GB2312" w:cs="Times New Roman"/>
          <w:color w:val="000000" w:themeColor="text1"/>
          <w:sz w:val="32"/>
          <w:szCs w:val="32"/>
          <w:u w:val="single"/>
        </w:rPr>
        <w:t xml:space="preserve">注册资本金人民币   </w:t>
      </w:r>
      <w:r>
        <w:rPr>
          <w:rFonts w:hint="eastAsia" w:ascii="Times New Roman" w:hAnsi="Times New Roman" w:eastAsia="仿宋_GB2312" w:cs="Times New Roman"/>
          <w:color w:val="000000" w:themeColor="text1"/>
          <w:sz w:val="32"/>
          <w:szCs w:val="32"/>
          <w:u w:val="single"/>
          <w:lang w:val="en-US" w:eastAsia="zh-CN"/>
        </w:rPr>
        <w:t>2</w:t>
      </w:r>
      <w:r>
        <w:rPr>
          <w:rFonts w:ascii="Times New Roman" w:hAnsi="Times New Roman" w:eastAsia="仿宋_GB2312" w:cs="Times New Roman"/>
          <w:color w:val="000000" w:themeColor="text1"/>
          <w:sz w:val="32"/>
          <w:szCs w:val="32"/>
          <w:u w:val="single"/>
        </w:rPr>
        <w:t>00  万元及以上</w:t>
      </w:r>
      <w:bookmarkEnd w:id="28"/>
      <w:r>
        <w:rPr>
          <w:rFonts w:hint="eastAsia" w:ascii="Times New Roman" w:hAnsi="Times New Roman" w:eastAsia="仿宋_GB2312" w:cs="Times New Roman"/>
          <w:color w:val="000000" w:themeColor="text1"/>
          <w:sz w:val="32"/>
          <w:szCs w:val="32"/>
          <w:u w:val="single"/>
          <w:lang w:eastAsia="zh-CN"/>
        </w:rPr>
        <w:t>。</w:t>
      </w:r>
    </w:p>
    <w:p w14:paraId="16EF3432">
      <w:pPr>
        <w:spacing w:after="0" w:line="560" w:lineRule="exact"/>
        <w:ind w:firstLine="640" w:firstLineChars="200"/>
        <w:jc w:val="both"/>
        <w:rPr>
          <w:rFonts w:ascii="Times New Roman" w:hAnsi="Times New Roman" w:eastAsia="仿宋_GB2312" w:cs="Times New Roman"/>
          <w:sz w:val="32"/>
          <w:szCs w:val="32"/>
          <w:u w:val="single"/>
        </w:rPr>
      </w:pPr>
      <w:r>
        <w:rPr>
          <w:rFonts w:ascii="Times New Roman" w:hAnsi="Times New Roman" w:eastAsia="仿宋_GB2312" w:cs="Times New Roman"/>
          <w:color w:val="000000" w:themeColor="text1"/>
          <w:sz w:val="32"/>
          <w:szCs w:val="32"/>
        </w:rPr>
        <w:t>业绩要求：</w:t>
      </w:r>
      <w:bookmarkStart w:id="29" w:name="_Hlk99361960"/>
      <w:r>
        <w:rPr>
          <w:rFonts w:ascii="Times New Roman" w:hAnsi="Times New Roman" w:eastAsia="仿宋_GB2312" w:cs="Times New Roman"/>
          <w:color w:val="000000" w:themeColor="text1"/>
          <w:sz w:val="32"/>
          <w:szCs w:val="32"/>
          <w:u w:val="single"/>
        </w:rPr>
        <w:t>近五年内（20</w:t>
      </w:r>
      <w:r>
        <w:rPr>
          <w:rFonts w:hint="eastAsia" w:ascii="Times New Roman" w:hAnsi="Times New Roman" w:eastAsia="仿宋_GB2312" w:cs="Times New Roman"/>
          <w:color w:val="000000" w:themeColor="text1"/>
          <w:sz w:val="32"/>
          <w:szCs w:val="32"/>
          <w:u w:val="single"/>
          <w:lang w:val="en-US" w:eastAsia="zh-CN"/>
        </w:rPr>
        <w:t>19</w:t>
      </w:r>
      <w:r>
        <w:rPr>
          <w:rFonts w:ascii="Times New Roman" w:hAnsi="Times New Roman" w:eastAsia="仿宋_GB2312" w:cs="Times New Roman"/>
          <w:color w:val="000000" w:themeColor="text1"/>
          <w:sz w:val="32"/>
          <w:szCs w:val="32"/>
          <w:u w:val="single"/>
        </w:rPr>
        <w:t>年6月1日至</w:t>
      </w:r>
      <w:r>
        <w:rPr>
          <w:rFonts w:ascii="Times New Roman" w:hAnsi="Times New Roman" w:eastAsia="仿宋_GB2312" w:cs="Times New Roman"/>
          <w:sz w:val="32"/>
          <w:szCs w:val="32"/>
          <w:u w:val="single"/>
        </w:rPr>
        <w:t>响应截止日期）有类似项目供货业绩;供应商在相应文件中需提供业绩证明（供应商报名时在EPS系统补充文件处上传业绩表并加盖公章）。</w:t>
      </w:r>
    </w:p>
    <w:p w14:paraId="011F5F01">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信誉及管理体系认证要求：</w:t>
      </w:r>
    </w:p>
    <w:p w14:paraId="3E71C68C">
      <w:pPr>
        <w:spacing w:after="0" w:line="560" w:lineRule="exact"/>
        <w:ind w:firstLine="640" w:firstLineChars="200"/>
        <w:jc w:val="both"/>
        <w:rPr>
          <w:rFonts w:ascii="Times New Roman" w:hAnsi="Times New Roman" w:eastAsia="仿宋_GB2312" w:cs="Times New Roman"/>
          <w:strike w:val="0"/>
          <w:dstrike w:val="0"/>
          <w:sz w:val="32"/>
          <w:szCs w:val="32"/>
          <w:u w:val="single"/>
        </w:rPr>
      </w:pPr>
      <w:r>
        <w:rPr>
          <w:rFonts w:ascii="Times New Roman" w:hAnsi="Times New Roman" w:eastAsia="仿宋_GB2312" w:cs="Times New Roman"/>
          <w:sz w:val="32"/>
          <w:szCs w:val="32"/>
        </w:rPr>
        <w:t>信誉要求：</w:t>
      </w:r>
      <w:r>
        <w:rPr>
          <w:rFonts w:ascii="Times New Roman" w:hAnsi="Times New Roman" w:eastAsia="仿宋_GB2312" w:cs="Times New Roman"/>
          <w:strike w:val="0"/>
          <w:dstrike w:val="0"/>
          <w:sz w:val="32"/>
          <w:szCs w:val="32"/>
          <w:u w:val="single"/>
        </w:rPr>
        <w:t xml:space="preserve">企业无不良商业记录，没有处于被责令停业，财产被接管、冻结，破产状态 </w:t>
      </w:r>
      <w:bookmarkStart w:id="30" w:name="OLE_LINK16"/>
      <w:bookmarkStart w:id="31" w:name="OLE_LINK15"/>
      <w:r>
        <w:rPr>
          <w:rFonts w:ascii="Times New Roman" w:hAnsi="Times New Roman" w:eastAsia="仿宋_GB2312" w:cs="Times New Roman"/>
          <w:strike w:val="0"/>
          <w:dstrike w:val="0"/>
          <w:sz w:val="32"/>
          <w:szCs w:val="32"/>
          <w:u w:val="single"/>
        </w:rPr>
        <w:t>（投标人需提交书面承诺并加盖公章）</w:t>
      </w:r>
      <w:bookmarkEnd w:id="29"/>
      <w:bookmarkEnd w:id="30"/>
      <w:bookmarkEnd w:id="31"/>
    </w:p>
    <w:p w14:paraId="736DAC7D">
      <w:pPr>
        <w:spacing w:after="0" w:line="560" w:lineRule="exact"/>
        <w:ind w:firstLine="640" w:firstLineChars="200"/>
        <w:jc w:val="both"/>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 xml:space="preserve">设备要求： </w:t>
      </w:r>
      <w:r>
        <w:rPr>
          <w:rFonts w:ascii="Times New Roman" w:hAnsi="Times New Roman" w:eastAsia="仿宋_GB2312" w:cs="Times New Roman"/>
          <w:sz w:val="32"/>
          <w:szCs w:val="32"/>
          <w:u w:val="single"/>
        </w:rPr>
        <w:t xml:space="preserve"> 详见第五章采购需求</w:t>
      </w:r>
    </w:p>
    <w:p w14:paraId="546F0170">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产品质量要求：</w:t>
      </w:r>
      <w:r>
        <w:rPr>
          <w:rFonts w:ascii="Times New Roman" w:hAnsi="Times New Roman" w:eastAsia="仿宋_GB2312" w:cs="Times New Roman"/>
          <w:sz w:val="32"/>
          <w:szCs w:val="32"/>
          <w:u w:val="single"/>
        </w:rPr>
        <w:t xml:space="preserve"> 满足国家相关产品质量标准要求</w:t>
      </w:r>
    </w:p>
    <w:p w14:paraId="2A2A83FA">
      <w:pPr>
        <w:spacing w:after="0" w:line="560" w:lineRule="exact"/>
        <w:ind w:firstLine="640" w:firstLineChars="200"/>
        <w:jc w:val="both"/>
        <w:rPr>
          <w:rFonts w:hint="default" w:ascii="Times New Roman" w:hAnsi="Times New Roman" w:eastAsia="仿宋_GB2312" w:cs="Times New Roman"/>
          <w:sz w:val="32"/>
          <w:szCs w:val="32"/>
          <w:u w:val="single"/>
          <w:lang w:val="en-US" w:eastAsia="zh-CN"/>
        </w:rPr>
      </w:pPr>
      <w:r>
        <w:rPr>
          <w:rFonts w:ascii="Times New Roman" w:hAnsi="Times New Roman" w:eastAsia="仿宋_GB2312" w:cs="Times New Roman"/>
          <w:sz w:val="32"/>
          <w:szCs w:val="32"/>
        </w:rPr>
        <w:t>其他要求：</w:t>
      </w:r>
      <w:bookmarkEnd w:id="22"/>
      <w:r>
        <w:rPr>
          <w:rFonts w:hint="eastAsia" w:ascii="Times New Roman" w:hAnsi="Times New Roman" w:eastAsia="仿宋_GB2312" w:cs="Times New Roman"/>
          <w:sz w:val="32"/>
          <w:szCs w:val="32"/>
          <w:u w:val="single"/>
          <w:lang w:val="en-US" w:eastAsia="zh-CN"/>
        </w:rPr>
        <w:t xml:space="preserve">                                                </w:t>
      </w:r>
    </w:p>
    <w:p w14:paraId="4676680D">
      <w:pPr>
        <w:spacing w:after="0" w:line="560" w:lineRule="exact"/>
        <w:ind w:firstLine="640" w:firstLineChars="200"/>
        <w:jc w:val="both"/>
        <w:outlineLvl w:val="2"/>
        <w:rPr>
          <w:rFonts w:ascii="Times New Roman" w:hAnsi="Times New Roman" w:eastAsia="仿宋_GB2312" w:cs="Times New Roman"/>
          <w:sz w:val="32"/>
          <w:szCs w:val="32"/>
        </w:rPr>
      </w:pPr>
      <w:bookmarkStart w:id="32" w:name="_Toc32269"/>
      <w:r>
        <w:rPr>
          <w:rFonts w:ascii="Times New Roman" w:hAnsi="Times New Roman" w:eastAsia="仿宋_GB2312" w:cs="Times New Roman"/>
          <w:sz w:val="32"/>
          <w:szCs w:val="32"/>
        </w:rPr>
        <w:t>3.2 供应商不得存在下列情形之一：</w:t>
      </w:r>
      <w:bookmarkEnd w:id="32"/>
    </w:p>
    <w:p w14:paraId="3B76D9B7">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处于被责令停产停业、暂扣或者吊销执照、暂扣或者吊销许可证、吊销资质证书状态；</w:t>
      </w:r>
    </w:p>
    <w:p w14:paraId="0610AEC2">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进入清算程序，或被宣告破产，或其他丧失履约能力的情形；</w:t>
      </w:r>
    </w:p>
    <w:p w14:paraId="6AAE9C83">
      <w:pPr>
        <w:spacing w:after="0" w:line="560" w:lineRule="exact"/>
        <w:ind w:firstLine="640" w:firstLineChars="200"/>
        <w:jc w:val="both"/>
        <w:rPr>
          <w:rFonts w:ascii="Times New Roman" w:hAnsi="Times New Roman" w:eastAsia="仿宋_GB2312" w:cs="Times New Roman"/>
          <w:sz w:val="32"/>
          <w:szCs w:val="32"/>
        </w:rPr>
      </w:pPr>
      <w:bookmarkStart w:id="33" w:name="_Hlk95776019"/>
      <w:bookmarkStart w:id="34" w:name="_Hlk99361972"/>
      <w:r>
        <w:rPr>
          <w:rFonts w:ascii="Times New Roman" w:hAnsi="Times New Roman" w:eastAsia="仿宋_GB2312" w:cs="Times New Roman"/>
          <w:sz w:val="32"/>
          <w:szCs w:val="32"/>
        </w:rPr>
        <w:t>近三年内（2021年6月1日至响应截止日期），被列入失信惩戒对象（供应商需提供通过“信用中国”网站查询的信用信息查询记录网页截图件并加盖供应商公章）；</w:t>
      </w:r>
    </w:p>
    <w:p w14:paraId="1A041260">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近三年内（2021年6月1日至响应截止日期），有骗取中标（成交）和严重违约及重大质量、安全问题（供应商须提供无相关问题承诺书）；</w:t>
      </w:r>
      <w:bookmarkEnd w:id="33"/>
    </w:p>
    <w:bookmarkEnd w:id="34"/>
    <w:p w14:paraId="58B0F3EA">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其他：</w:t>
      </w:r>
    </w:p>
    <w:p w14:paraId="6BED42ED">
      <w:pPr>
        <w:spacing w:after="0" w:line="560" w:lineRule="exact"/>
        <w:ind w:firstLine="640" w:firstLineChars="200"/>
        <w:jc w:val="both"/>
        <w:outlineLvl w:val="2"/>
        <w:rPr>
          <w:rFonts w:ascii="Times New Roman" w:hAnsi="Times New Roman" w:eastAsia="仿宋_GB2312" w:cs="Times New Roman"/>
          <w:sz w:val="32"/>
          <w:szCs w:val="32"/>
        </w:rPr>
      </w:pPr>
      <w:bookmarkStart w:id="35" w:name="_Toc5369"/>
      <w:r>
        <w:rPr>
          <w:rFonts w:ascii="Times New Roman" w:hAnsi="Times New Roman" w:eastAsia="仿宋_GB2312" w:cs="Times New Roman"/>
          <w:sz w:val="32"/>
          <w:szCs w:val="32"/>
        </w:rPr>
        <w:t xml:space="preserve">3.3 </w:t>
      </w:r>
      <w:bookmarkStart w:id="36" w:name="_Hlk99361981"/>
      <w:r>
        <w:rPr>
          <w:rFonts w:ascii="Times New Roman" w:hAnsi="Times New Roman" w:eastAsia="仿宋_GB2312" w:cs="Times New Roman"/>
          <w:sz w:val="32"/>
          <w:szCs w:val="32"/>
        </w:rPr>
        <w:t>本次采购是否接受联合体：</w:t>
      </w:r>
      <w:bookmarkEnd w:id="35"/>
    </w:p>
    <w:p w14:paraId="78F368A8">
      <w:pPr>
        <w:spacing w:after="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是</w:t>
      </w:r>
    </w:p>
    <w:p w14:paraId="20A6742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u w:val="single"/>
        </w:rPr>
        <w:sym w:font="Wingdings 2" w:char="0052"/>
      </w:r>
      <w:r>
        <w:rPr>
          <w:rFonts w:ascii="Times New Roman" w:hAnsi="Times New Roman" w:eastAsia="仿宋_GB2312" w:cs="Times New Roman"/>
          <w:sz w:val="32"/>
          <w:szCs w:val="32"/>
        </w:rPr>
        <w:t>否</w:t>
      </w:r>
    </w:p>
    <w:bookmarkEnd w:id="36"/>
    <w:p w14:paraId="721B20B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联合体参加谈判采购活动的，联合体应满足本条第3.1款规定的要求，且联合体各方均不得存在本条第3.2款规定的情形。此外，联合体各方应分别满足如下条件：</w:t>
      </w:r>
    </w:p>
    <w:p w14:paraId="13EE56F4">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联合体的资格认定标准如下：</w:t>
      </w:r>
    </w:p>
    <w:p w14:paraId="08CECB9E">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(注：此部分应明确由同一专业或不同专业组成的联合体中各专业的资质、财务、业绩、信誉、主要人员等的认定方法，以最终认定联合体的资格。)</w:t>
      </w:r>
    </w:p>
    <w:p w14:paraId="0D22460C">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联合体应递交联合体协议书，且联合体各方不得再以自己名义单独或参加其他联合体参与本谈判采购项目，否则相关响应文件均无效。</w:t>
      </w:r>
      <w:bookmarkEnd w:id="24"/>
      <w:bookmarkEnd w:id="25"/>
    </w:p>
    <w:p w14:paraId="7250699B">
      <w:pPr>
        <w:spacing w:after="0" w:line="560" w:lineRule="exact"/>
        <w:ind w:firstLine="643" w:firstLineChars="200"/>
        <w:jc w:val="both"/>
        <w:outlineLvl w:val="1"/>
        <w:rPr>
          <w:rFonts w:ascii="Times New Roman" w:hAnsi="Times New Roman" w:eastAsia="仿宋_GB2312" w:cs="Times New Roman"/>
          <w:b/>
          <w:sz w:val="32"/>
          <w:szCs w:val="32"/>
        </w:rPr>
      </w:pPr>
      <w:bookmarkStart w:id="37" w:name="_Toc29639"/>
      <w:r>
        <w:rPr>
          <w:rFonts w:ascii="Times New Roman" w:hAnsi="Times New Roman" w:eastAsia="仿宋_GB2312" w:cs="Times New Roman"/>
          <w:b/>
          <w:sz w:val="32"/>
          <w:szCs w:val="32"/>
        </w:rPr>
        <w:t>4.采购文件的获取</w:t>
      </w:r>
      <w:bookmarkEnd w:id="37"/>
    </w:p>
    <w:p w14:paraId="52D86799">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4.1 有意参加谈判采购活动的单位，需在 </w:t>
      </w:r>
      <w:r>
        <w:rPr>
          <w:rFonts w:ascii="Times New Roman" w:hAnsi="Times New Roman" w:eastAsia="仿宋_GB2312" w:cs="Times New Roman"/>
          <w:sz w:val="32"/>
          <w:szCs w:val="32"/>
          <w:u w:val="single"/>
        </w:rPr>
        <w:t xml:space="preserve"> 2024 </w:t>
      </w:r>
      <w:r>
        <w:rPr>
          <w:rFonts w:ascii="Times New Roman" w:hAnsi="Times New Roman" w:eastAsia="仿宋_GB2312" w:cs="Times New Roman"/>
          <w:sz w:val="32"/>
          <w:szCs w:val="32"/>
        </w:rPr>
        <w:t xml:space="preserve"> 年</w:t>
      </w:r>
      <w:r>
        <w:rPr>
          <w:rFonts w:ascii="Times New Roman" w:hAnsi="Times New Roman" w:eastAsia="仿宋_GB2312" w:cs="Times New Roman"/>
          <w:sz w:val="32"/>
          <w:szCs w:val="32"/>
          <w:u w:val="single"/>
        </w:rPr>
        <w:t xml:space="preserve">  </w:t>
      </w:r>
      <w:r>
        <w:rPr>
          <w:rFonts w:hint="eastAsia" w:ascii="Times New Roman" w:hAnsi="Times New Roman" w:eastAsia="仿宋_GB2312" w:cs="Times New Roman"/>
          <w:sz w:val="32"/>
          <w:szCs w:val="32"/>
          <w:u w:val="single"/>
          <w:lang w:val="en-US" w:eastAsia="zh-CN"/>
        </w:rPr>
        <w:t>7</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hint="eastAsia" w:ascii="Times New Roman" w:hAnsi="Times New Roman" w:eastAsia="仿宋_GB2312" w:cs="Times New Roman"/>
          <w:sz w:val="32"/>
          <w:szCs w:val="32"/>
          <w:u w:val="single"/>
          <w:lang w:val="en-US" w:eastAsia="zh-CN"/>
        </w:rPr>
        <w:t>18</w:t>
      </w:r>
      <w:r>
        <w:rPr>
          <w:rFonts w:ascii="Times New Roman" w:hAnsi="Times New Roman" w:eastAsia="仿宋_GB2312" w:cs="Times New Roman"/>
          <w:sz w:val="32"/>
          <w:szCs w:val="32"/>
        </w:rPr>
        <w:t xml:space="preserve">日 </w:t>
      </w:r>
      <w:r>
        <w:rPr>
          <w:rFonts w:ascii="Times New Roman" w:hAnsi="Times New Roman" w:eastAsia="仿宋_GB2312" w:cs="Times New Roman"/>
          <w:sz w:val="32"/>
          <w:szCs w:val="32"/>
          <w:u w:val="single"/>
        </w:rPr>
        <w:t>1</w:t>
      </w:r>
      <w:r>
        <w:rPr>
          <w:rFonts w:hint="eastAsia" w:ascii="Times New Roman" w:hAnsi="Times New Roman" w:eastAsia="仿宋_GB2312" w:cs="Times New Roman"/>
          <w:sz w:val="32"/>
          <w:szCs w:val="32"/>
          <w:u w:val="single"/>
          <w:lang w:val="en-US" w:eastAsia="zh-CN"/>
        </w:rPr>
        <w:t>6</w:t>
      </w:r>
      <w:r>
        <w:rPr>
          <w:rFonts w:ascii="Times New Roman" w:hAnsi="Times New Roman" w:eastAsia="仿宋_GB2312" w:cs="Times New Roman"/>
          <w:sz w:val="32"/>
          <w:szCs w:val="32"/>
        </w:rPr>
        <w:t>时</w:t>
      </w:r>
      <w:r>
        <w:rPr>
          <w:rFonts w:ascii="Times New Roman" w:hAnsi="Times New Roman" w:eastAsia="仿宋_GB2312" w:cs="Times New Roman"/>
          <w:sz w:val="32"/>
          <w:szCs w:val="32"/>
          <w:u w:val="single"/>
        </w:rPr>
        <w:t xml:space="preserve">30 </w:t>
      </w:r>
      <w:r>
        <w:rPr>
          <w:rFonts w:ascii="Times New Roman" w:hAnsi="Times New Roman" w:eastAsia="仿宋_GB2312" w:cs="Times New Roman"/>
          <w:sz w:val="32"/>
          <w:szCs w:val="32"/>
        </w:rPr>
        <w:t xml:space="preserve">分前在中粮糖业EPS电子采购平台（网址：http://eps.tunhe.com）完成注册报名；采购人组织资格审查合格后，供应商于  </w:t>
      </w:r>
      <w:r>
        <w:rPr>
          <w:rFonts w:ascii="Times New Roman" w:hAnsi="Times New Roman" w:eastAsia="仿宋_GB2312" w:cs="Times New Roman"/>
          <w:sz w:val="32"/>
          <w:szCs w:val="32"/>
          <w:u w:val="single"/>
        </w:rPr>
        <w:t xml:space="preserve">2024  </w:t>
      </w:r>
      <w:r>
        <w:rPr>
          <w:rFonts w:ascii="Times New Roman" w:hAnsi="Times New Roman" w:eastAsia="仿宋_GB2312" w:cs="Times New Roman"/>
          <w:sz w:val="32"/>
          <w:szCs w:val="32"/>
        </w:rPr>
        <w:t>年</w:t>
      </w:r>
      <w:r>
        <w:rPr>
          <w:rFonts w:ascii="Times New Roman" w:hAnsi="Times New Roman" w:eastAsia="仿宋_GB2312" w:cs="Times New Roman"/>
          <w:sz w:val="32"/>
          <w:szCs w:val="32"/>
          <w:u w:val="single"/>
        </w:rPr>
        <w:t xml:space="preserve">  </w:t>
      </w:r>
      <w:r>
        <w:rPr>
          <w:rFonts w:hint="eastAsia" w:ascii="Times New Roman" w:hAnsi="Times New Roman" w:eastAsia="仿宋_GB2312" w:cs="Times New Roman"/>
          <w:sz w:val="32"/>
          <w:szCs w:val="32"/>
          <w:u w:val="single"/>
          <w:lang w:val="en-US" w:eastAsia="zh-CN"/>
        </w:rPr>
        <w:t>7</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hint="eastAsia" w:ascii="Times New Roman" w:hAnsi="Times New Roman" w:eastAsia="仿宋_GB2312" w:cs="Times New Roman"/>
          <w:sz w:val="32"/>
          <w:szCs w:val="32"/>
          <w:u w:val="single"/>
          <w:lang w:val="en-US" w:eastAsia="zh-CN"/>
        </w:rPr>
        <w:t>18</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w:t>
      </w:r>
      <w:r>
        <w:rPr>
          <w:rFonts w:ascii="Times New Roman" w:hAnsi="Times New Roman" w:eastAsia="仿宋_GB2312" w:cs="Times New Roman"/>
          <w:sz w:val="32"/>
          <w:szCs w:val="32"/>
          <w:u w:val="single"/>
        </w:rPr>
        <w:t xml:space="preserve">  17   </w:t>
      </w:r>
      <w:r>
        <w:rPr>
          <w:rFonts w:ascii="Times New Roman" w:hAnsi="Times New Roman" w:eastAsia="仿宋_GB2312" w:cs="Times New Roman"/>
          <w:sz w:val="32"/>
          <w:szCs w:val="32"/>
        </w:rPr>
        <w:t>时</w:t>
      </w:r>
      <w:r>
        <w:rPr>
          <w:rFonts w:ascii="Times New Roman" w:hAnsi="Times New Roman" w:eastAsia="仿宋_GB2312" w:cs="Times New Roman"/>
          <w:sz w:val="32"/>
          <w:szCs w:val="32"/>
          <w:u w:val="single"/>
        </w:rPr>
        <w:t xml:space="preserve">  30  </w:t>
      </w:r>
      <w:r>
        <w:rPr>
          <w:rFonts w:ascii="Times New Roman" w:hAnsi="Times New Roman" w:eastAsia="仿宋_GB2312" w:cs="Times New Roman"/>
          <w:sz w:val="32"/>
          <w:szCs w:val="32"/>
        </w:rPr>
        <w:t>分后通过中粮糖业EPS电子采购平台获取/购买采购文件。</w:t>
      </w:r>
    </w:p>
    <w:p w14:paraId="0461AABF">
      <w:pPr>
        <w:spacing w:after="0" w:line="560" w:lineRule="exact"/>
        <w:ind w:firstLine="640" w:firstLineChars="200"/>
        <w:jc w:val="both"/>
        <w:outlineLvl w:val="2"/>
        <w:rPr>
          <w:rFonts w:ascii="Times New Roman" w:hAnsi="Times New Roman" w:eastAsia="仿宋_GB2312" w:cs="Times New Roman"/>
          <w:sz w:val="32"/>
          <w:szCs w:val="32"/>
        </w:rPr>
      </w:pPr>
      <w:bookmarkStart w:id="38" w:name="_Toc4765"/>
      <w:r>
        <w:rPr>
          <w:rFonts w:ascii="Times New Roman" w:hAnsi="Times New Roman" w:eastAsia="仿宋_GB2312" w:cs="Times New Roman"/>
          <w:sz w:val="32"/>
          <w:szCs w:val="32"/>
        </w:rPr>
        <w:t>4.2 采购文件每套售价</w:t>
      </w:r>
      <w:r>
        <w:rPr>
          <w:rFonts w:ascii="Times New Roman" w:hAnsi="Times New Roman" w:eastAsia="仿宋_GB2312" w:cs="Times New Roman"/>
          <w:sz w:val="32"/>
          <w:szCs w:val="32"/>
          <w:u w:val="single"/>
        </w:rPr>
        <w:t xml:space="preserve">  0  </w:t>
      </w:r>
      <w:r>
        <w:rPr>
          <w:rFonts w:ascii="Times New Roman" w:hAnsi="Times New Roman" w:eastAsia="仿宋_GB2312" w:cs="Times New Roman"/>
          <w:sz w:val="32"/>
          <w:szCs w:val="32"/>
        </w:rPr>
        <w:t>元，售后不退。</w:t>
      </w:r>
      <w:bookmarkEnd w:id="38"/>
    </w:p>
    <w:p w14:paraId="2F7DC3F0">
      <w:pPr>
        <w:spacing w:after="0" w:line="560" w:lineRule="exact"/>
        <w:ind w:firstLine="643" w:firstLineChars="200"/>
        <w:jc w:val="both"/>
        <w:outlineLvl w:val="1"/>
        <w:rPr>
          <w:rFonts w:ascii="Times New Roman" w:hAnsi="Times New Roman" w:eastAsia="仿宋_GB2312" w:cs="Times New Roman"/>
          <w:sz w:val="32"/>
          <w:szCs w:val="32"/>
        </w:rPr>
      </w:pPr>
      <w:bookmarkStart w:id="39" w:name="_Toc21137"/>
      <w:r>
        <w:rPr>
          <w:rFonts w:ascii="Times New Roman" w:hAnsi="Times New Roman" w:eastAsia="仿宋_GB2312" w:cs="Times New Roman"/>
          <w:b/>
          <w:sz w:val="32"/>
          <w:szCs w:val="32"/>
        </w:rPr>
        <w:t>5.响应保证金</w:t>
      </w:r>
      <w:bookmarkEnd w:id="39"/>
    </w:p>
    <w:p w14:paraId="4ED33108">
      <w:pPr>
        <w:spacing w:after="0" w:line="560" w:lineRule="exact"/>
        <w:ind w:firstLine="640" w:firstLineChars="200"/>
        <w:jc w:val="both"/>
        <w:rPr>
          <w:rFonts w:ascii="Times New Roman" w:hAnsi="Times New Roman" w:eastAsia="仿宋_GB2312" w:cs="Times New Roman"/>
          <w:sz w:val="32"/>
          <w:szCs w:val="32"/>
        </w:rPr>
      </w:pPr>
      <w:r>
        <w:rPr>
          <w:rFonts w:ascii="Segoe UI Symbol" w:hAnsi="Segoe UI Symbol" w:eastAsia="仿宋_GB2312" w:cs="Segoe UI Symbol"/>
          <w:sz w:val="32"/>
          <w:szCs w:val="32"/>
        </w:rPr>
        <w:t>☑</w:t>
      </w:r>
      <w:r>
        <w:rPr>
          <w:rFonts w:ascii="Times New Roman" w:hAnsi="Times New Roman" w:eastAsia="仿宋_GB2312" w:cs="Times New Roman"/>
          <w:sz w:val="32"/>
          <w:szCs w:val="32"/>
        </w:rPr>
        <w:t xml:space="preserve">设置响应保证金，响应保证金为  </w:t>
      </w:r>
      <w:r>
        <w:rPr>
          <w:rFonts w:hint="eastAsia" w:ascii="Times New Roman" w:hAnsi="Times New Roman" w:eastAsia="仿宋_GB2312" w:cs="Times New Roman"/>
          <w:sz w:val="32"/>
          <w:szCs w:val="32"/>
          <w:lang w:val="en-US" w:eastAsia="zh-CN"/>
        </w:rPr>
        <w:t>0.5万</w:t>
      </w:r>
      <w:r>
        <w:rPr>
          <w:rFonts w:ascii="Times New Roman" w:hAnsi="Times New Roman" w:eastAsia="仿宋_GB2312" w:cs="Times New Roman"/>
          <w:sz w:val="32"/>
          <w:szCs w:val="32"/>
        </w:rPr>
        <w:t>元。</w:t>
      </w:r>
    </w:p>
    <w:p w14:paraId="70E80889">
      <w:pPr>
        <w:spacing w:after="0" w:line="560" w:lineRule="exact"/>
        <w:ind w:firstLine="640" w:firstLineChars="200"/>
        <w:jc w:val="both"/>
        <w:rPr>
          <w:rFonts w:ascii="Times New Roman" w:hAnsi="Times New Roman" w:eastAsia="仿宋_GB2312" w:cs="Times New Roman"/>
          <w:sz w:val="32"/>
          <w:szCs w:val="32"/>
        </w:rPr>
      </w:pPr>
      <w:bookmarkStart w:id="40" w:name="OLE_LINK61"/>
      <w:bookmarkStart w:id="41" w:name="OLE_LINK60"/>
      <w:r>
        <w:rPr>
          <w:rFonts w:ascii="Times New Roman" w:hAnsi="Times New Roman" w:eastAsia="仿宋_GB2312" w:cs="Times New Roman"/>
          <w:sz w:val="32"/>
          <w:szCs w:val="32"/>
        </w:rPr>
        <w:t>□</w:t>
      </w:r>
      <w:bookmarkEnd w:id="40"/>
      <w:bookmarkEnd w:id="41"/>
      <w:r>
        <w:rPr>
          <w:rFonts w:ascii="Times New Roman" w:hAnsi="Times New Roman" w:eastAsia="仿宋_GB2312" w:cs="Times New Roman"/>
          <w:sz w:val="32"/>
          <w:szCs w:val="32"/>
        </w:rPr>
        <w:t>不设置响应保证金。</w:t>
      </w:r>
    </w:p>
    <w:p w14:paraId="658557A5">
      <w:pPr>
        <w:spacing w:after="0" w:line="560" w:lineRule="exact"/>
        <w:ind w:firstLine="643" w:firstLineChars="200"/>
        <w:jc w:val="both"/>
        <w:outlineLvl w:val="1"/>
        <w:rPr>
          <w:rFonts w:ascii="Times New Roman" w:hAnsi="Times New Roman" w:eastAsia="仿宋_GB2312" w:cs="Times New Roman"/>
          <w:b/>
          <w:sz w:val="32"/>
          <w:szCs w:val="32"/>
        </w:rPr>
      </w:pPr>
      <w:bookmarkStart w:id="42" w:name="_Toc4800"/>
      <w:r>
        <w:rPr>
          <w:rFonts w:ascii="Times New Roman" w:hAnsi="Times New Roman" w:eastAsia="仿宋_GB2312" w:cs="Times New Roman"/>
          <w:b/>
          <w:sz w:val="32"/>
          <w:szCs w:val="32"/>
        </w:rPr>
        <w:t>6.响应文件的上传</w:t>
      </w:r>
      <w:bookmarkEnd w:id="42"/>
    </w:p>
    <w:p w14:paraId="7D01BFA1">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6.1 响应文件上传的截止时间为 </w:t>
      </w:r>
      <w:r>
        <w:rPr>
          <w:rFonts w:ascii="Times New Roman" w:hAnsi="Times New Roman" w:eastAsia="仿宋_GB2312" w:cs="Times New Roman"/>
          <w:sz w:val="32"/>
          <w:szCs w:val="32"/>
          <w:u w:val="single"/>
        </w:rPr>
        <w:t xml:space="preserve">2024 </w:t>
      </w:r>
      <w:r>
        <w:rPr>
          <w:rFonts w:ascii="Times New Roman" w:hAnsi="Times New Roman" w:eastAsia="仿宋_GB2312" w:cs="Times New Roman"/>
          <w:sz w:val="32"/>
          <w:szCs w:val="32"/>
        </w:rPr>
        <w:t xml:space="preserve"> 年</w:t>
      </w:r>
      <w:r>
        <w:rPr>
          <w:rFonts w:ascii="Times New Roman" w:hAnsi="Times New Roman" w:eastAsia="仿宋_GB2312" w:cs="Times New Roman"/>
          <w:sz w:val="32"/>
          <w:szCs w:val="32"/>
          <w:u w:val="single"/>
        </w:rPr>
        <w:t xml:space="preserve"> </w:t>
      </w:r>
      <w:r>
        <w:rPr>
          <w:rFonts w:hint="eastAsia" w:ascii="Times New Roman" w:hAnsi="Times New Roman" w:eastAsia="仿宋_GB2312" w:cs="Times New Roman"/>
          <w:sz w:val="32"/>
          <w:szCs w:val="32"/>
          <w:u w:val="single"/>
          <w:lang w:val="en-US" w:eastAsia="zh-CN"/>
        </w:rPr>
        <w:t>7</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hint="eastAsia" w:ascii="Times New Roman" w:hAnsi="Times New Roman" w:eastAsia="仿宋_GB2312" w:cs="Times New Roman"/>
          <w:sz w:val="32"/>
          <w:szCs w:val="32"/>
          <w:u w:val="single"/>
          <w:lang w:val="en-US" w:eastAsia="zh-CN"/>
        </w:rPr>
        <w:t>22</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w:t>
      </w:r>
      <w:r>
        <w:rPr>
          <w:rFonts w:ascii="Times New Roman" w:hAnsi="Times New Roman" w:eastAsia="仿宋_GB2312" w:cs="Times New Roman"/>
          <w:sz w:val="32"/>
          <w:szCs w:val="32"/>
          <w:u w:val="single"/>
        </w:rPr>
        <w:t xml:space="preserve">  12  </w:t>
      </w:r>
      <w:r>
        <w:rPr>
          <w:rFonts w:ascii="Times New Roman" w:hAnsi="Times New Roman" w:eastAsia="仿宋_GB2312" w:cs="Times New Roman"/>
          <w:sz w:val="32"/>
          <w:szCs w:val="32"/>
        </w:rPr>
        <w:t>时</w:t>
      </w:r>
      <w:r>
        <w:rPr>
          <w:rFonts w:ascii="Times New Roman" w:hAnsi="Times New Roman" w:eastAsia="仿宋_GB2312" w:cs="Times New Roman"/>
          <w:sz w:val="32"/>
          <w:szCs w:val="32"/>
          <w:u w:val="single"/>
        </w:rPr>
        <w:t xml:space="preserve">  0</w:t>
      </w:r>
      <w:r>
        <w:rPr>
          <w:rFonts w:ascii="Times New Roman" w:hAnsi="Times New Roman" w:eastAsia="仿宋_GB2312" w:cs="Times New Roman"/>
          <w:sz w:val="32"/>
          <w:szCs w:val="32"/>
        </w:rPr>
        <w:t xml:space="preserve">  分，上传至中粮糖业EPS电子采购平台。</w:t>
      </w:r>
    </w:p>
    <w:p w14:paraId="1716DBB8">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6.2 逾期未上传至中粮糖业EPS电子采购平台的响应文件，采购人将拒绝接收。</w:t>
      </w:r>
    </w:p>
    <w:p w14:paraId="04EA1D6F">
      <w:pPr>
        <w:spacing w:after="0" w:line="560" w:lineRule="exact"/>
        <w:ind w:firstLine="640" w:firstLineChars="200"/>
        <w:jc w:val="both"/>
        <w:outlineLvl w:val="1"/>
        <w:rPr>
          <w:rFonts w:ascii="Times New Roman" w:hAnsi="Times New Roman" w:eastAsia="仿宋_GB2312" w:cs="Times New Roman"/>
          <w:sz w:val="32"/>
          <w:szCs w:val="32"/>
        </w:rPr>
      </w:pPr>
      <w:bookmarkStart w:id="43" w:name="_Toc4542"/>
      <w:r>
        <w:rPr>
          <w:rFonts w:ascii="Times New Roman" w:hAnsi="Times New Roman" w:eastAsia="仿宋_GB2312" w:cs="Times New Roman"/>
          <w:sz w:val="32"/>
          <w:szCs w:val="32"/>
        </w:rPr>
        <w:t>7.响应文件的开启</w:t>
      </w:r>
      <w:bookmarkEnd w:id="43"/>
    </w:p>
    <w:p w14:paraId="5AF60A2F">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开启地点：中粮糖业EPS电子采购平台（http://eps.tunhe.com/）网上开启响应文件</w:t>
      </w:r>
    </w:p>
    <w:p w14:paraId="5717C114">
      <w:pPr>
        <w:spacing w:after="0" w:line="560" w:lineRule="exact"/>
        <w:ind w:firstLine="640" w:firstLineChars="200"/>
        <w:jc w:val="both"/>
        <w:rPr>
          <w:rFonts w:ascii="Times New Roman" w:hAnsi="Times New Roman" w:eastAsia="仿宋_GB2312" w:cs="Times New Roman"/>
          <w:sz w:val="32"/>
          <w:szCs w:val="32"/>
        </w:rPr>
      </w:pPr>
      <w:bookmarkStart w:id="44" w:name="_Hlk99361991"/>
      <w:r>
        <w:rPr>
          <w:rFonts w:ascii="Times New Roman" w:hAnsi="Times New Roman" w:eastAsia="仿宋_GB2312" w:cs="Times New Roman"/>
          <w:sz w:val="32"/>
          <w:szCs w:val="32"/>
        </w:rPr>
        <w:t>开启时间：</w:t>
      </w:r>
      <w:r>
        <w:rPr>
          <w:rFonts w:ascii="Times New Roman" w:hAnsi="Times New Roman" w:eastAsia="仿宋_GB2312" w:cs="Times New Roman"/>
          <w:sz w:val="32"/>
          <w:szCs w:val="32"/>
          <w:u w:val="single"/>
        </w:rPr>
        <w:t>2024</w:t>
      </w:r>
      <w:r>
        <w:rPr>
          <w:rFonts w:ascii="Times New Roman" w:hAnsi="Times New Roman" w:eastAsia="仿宋_GB2312" w:cs="Times New Roman"/>
          <w:sz w:val="32"/>
          <w:szCs w:val="32"/>
        </w:rPr>
        <w:t>年</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w:t>
      </w:r>
      <w:r>
        <w:rPr>
          <w:rFonts w:ascii="Times New Roman" w:hAnsi="Times New Roman" w:eastAsia="仿宋_GB2312" w:cs="Times New Roman"/>
          <w:sz w:val="32"/>
          <w:szCs w:val="32"/>
          <w:u w:val="single"/>
        </w:rPr>
        <w:t xml:space="preserve"> 14</w:t>
      </w:r>
      <w:r>
        <w:rPr>
          <w:rFonts w:ascii="Times New Roman" w:hAnsi="Times New Roman" w:eastAsia="仿宋_GB2312" w:cs="Times New Roman"/>
          <w:sz w:val="32"/>
          <w:szCs w:val="32"/>
        </w:rPr>
        <w:t>时</w:t>
      </w:r>
      <w:r>
        <w:rPr>
          <w:rFonts w:ascii="Times New Roman" w:hAnsi="Times New Roman" w:eastAsia="仿宋_GB2312" w:cs="Times New Roman"/>
          <w:sz w:val="32"/>
          <w:szCs w:val="32"/>
          <w:u w:val="single"/>
        </w:rPr>
        <w:t>30</w:t>
      </w:r>
      <w:r>
        <w:rPr>
          <w:rFonts w:ascii="Times New Roman" w:hAnsi="Times New Roman" w:eastAsia="仿宋_GB2312" w:cs="Times New Roman"/>
          <w:sz w:val="32"/>
          <w:szCs w:val="32"/>
        </w:rPr>
        <w:t xml:space="preserve"> 分</w:t>
      </w:r>
      <w:bookmarkEnd w:id="44"/>
    </w:p>
    <w:p w14:paraId="2CF9086A">
      <w:pPr>
        <w:spacing w:after="0" w:line="560" w:lineRule="exact"/>
        <w:ind w:firstLine="643" w:firstLineChars="200"/>
        <w:jc w:val="both"/>
        <w:outlineLvl w:val="1"/>
        <w:rPr>
          <w:rFonts w:ascii="Times New Roman" w:hAnsi="Times New Roman" w:eastAsia="仿宋_GB2312" w:cs="Times New Roman"/>
          <w:b/>
          <w:sz w:val="32"/>
          <w:szCs w:val="32"/>
        </w:rPr>
      </w:pPr>
      <w:bookmarkStart w:id="45" w:name="_Toc22289"/>
      <w:r>
        <w:rPr>
          <w:rFonts w:ascii="Times New Roman" w:hAnsi="Times New Roman" w:eastAsia="仿宋_GB2312" w:cs="Times New Roman"/>
          <w:b/>
          <w:sz w:val="32"/>
          <w:szCs w:val="32"/>
        </w:rPr>
        <w:t>8.谈判时间和地点</w:t>
      </w:r>
      <w:bookmarkEnd w:id="45"/>
    </w:p>
    <w:p w14:paraId="76F1B6E1">
      <w:pPr>
        <w:spacing w:after="0" w:line="560" w:lineRule="exact"/>
        <w:ind w:firstLine="640" w:firstLineChars="200"/>
        <w:jc w:val="both"/>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 xml:space="preserve">上传响应文件的供应商应委派代表准时参加采购活动，谈判开始时间预计   </w:t>
      </w:r>
      <w:r>
        <w:rPr>
          <w:rFonts w:ascii="Times New Roman" w:hAnsi="Times New Roman" w:eastAsia="仿宋_GB2312" w:cs="Times New Roman"/>
          <w:sz w:val="32"/>
          <w:szCs w:val="32"/>
          <w:u w:val="single"/>
        </w:rPr>
        <w:t xml:space="preserve">2024  </w:t>
      </w:r>
      <w:r>
        <w:rPr>
          <w:rFonts w:ascii="Times New Roman" w:hAnsi="Times New Roman" w:eastAsia="仿宋_GB2312" w:cs="Times New Roman"/>
          <w:sz w:val="32"/>
          <w:szCs w:val="32"/>
        </w:rPr>
        <w:t>年</w:t>
      </w:r>
      <w:r>
        <w:rPr>
          <w:rFonts w:ascii="Times New Roman" w:hAnsi="Times New Roman" w:eastAsia="仿宋_GB2312" w:cs="Times New Roman"/>
          <w:sz w:val="32"/>
          <w:szCs w:val="32"/>
          <w:u w:val="single"/>
        </w:rPr>
        <w:t xml:space="preserve">  </w:t>
      </w:r>
      <w:r>
        <w:rPr>
          <w:rFonts w:hint="eastAsia" w:ascii="Times New Roman" w:hAnsi="Times New Roman" w:eastAsia="仿宋_GB2312" w:cs="Times New Roman"/>
          <w:sz w:val="32"/>
          <w:szCs w:val="32"/>
          <w:u w:val="single"/>
          <w:lang w:val="en-US" w:eastAsia="zh-CN"/>
        </w:rPr>
        <w:t>7</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月</w:t>
      </w:r>
      <w:r>
        <w:rPr>
          <w:rFonts w:ascii="Times New Roman" w:hAnsi="Times New Roman" w:eastAsia="仿宋_GB2312" w:cs="Times New Roman"/>
          <w:sz w:val="32"/>
          <w:szCs w:val="32"/>
          <w:u w:val="single"/>
        </w:rPr>
        <w:t xml:space="preserve">  </w:t>
      </w:r>
      <w:r>
        <w:rPr>
          <w:rFonts w:hint="eastAsia" w:ascii="Times New Roman" w:hAnsi="Times New Roman" w:eastAsia="仿宋_GB2312" w:cs="Times New Roman"/>
          <w:sz w:val="32"/>
          <w:szCs w:val="32"/>
          <w:u w:val="single"/>
          <w:lang w:val="en-US" w:eastAsia="zh-CN"/>
        </w:rPr>
        <w:t>22</w:t>
      </w:r>
      <w:r>
        <w:rPr>
          <w:rFonts w:ascii="Times New Roman" w:hAnsi="Times New Roman" w:eastAsia="仿宋_GB2312" w:cs="Times New Roman"/>
          <w:sz w:val="32"/>
          <w:szCs w:val="32"/>
          <w:u w:val="single"/>
        </w:rPr>
        <w:t xml:space="preserve">   </w:t>
      </w:r>
      <w:r>
        <w:rPr>
          <w:rFonts w:ascii="Times New Roman" w:hAnsi="Times New Roman" w:eastAsia="仿宋_GB2312" w:cs="Times New Roman"/>
          <w:sz w:val="32"/>
          <w:szCs w:val="32"/>
        </w:rPr>
        <w:t>日</w:t>
      </w:r>
      <w:r>
        <w:rPr>
          <w:rFonts w:ascii="Times New Roman" w:hAnsi="Times New Roman" w:eastAsia="仿宋_GB2312" w:cs="Times New Roman"/>
          <w:sz w:val="32"/>
          <w:szCs w:val="32"/>
          <w:u w:val="single"/>
        </w:rPr>
        <w:t xml:space="preserve"> 14 </w:t>
      </w:r>
      <w:r>
        <w:rPr>
          <w:rFonts w:ascii="Times New Roman" w:hAnsi="Times New Roman" w:eastAsia="仿宋_GB2312" w:cs="Times New Roman"/>
          <w:sz w:val="32"/>
          <w:szCs w:val="32"/>
        </w:rPr>
        <w:t xml:space="preserve"> 时</w:t>
      </w:r>
      <w:r>
        <w:rPr>
          <w:rFonts w:ascii="Times New Roman" w:hAnsi="Times New Roman" w:eastAsia="仿宋_GB2312" w:cs="Times New Roman"/>
          <w:sz w:val="32"/>
          <w:szCs w:val="32"/>
          <w:u w:val="single"/>
        </w:rPr>
        <w:t xml:space="preserve"> 30 </w:t>
      </w:r>
      <w:r>
        <w:rPr>
          <w:rFonts w:ascii="Times New Roman" w:hAnsi="Times New Roman" w:eastAsia="仿宋_GB2312" w:cs="Times New Roman"/>
          <w:sz w:val="32"/>
          <w:szCs w:val="32"/>
        </w:rPr>
        <w:t>分，与每一供应商进行谈判具体时间另行通知。谈判地点为</w:t>
      </w:r>
      <w:r>
        <w:rPr>
          <w:rFonts w:hint="eastAsia" w:ascii="Times New Roman" w:hAnsi="Times New Roman" w:eastAsia="仿宋_GB2312" w:cs="Times New Roman"/>
          <w:sz w:val="32"/>
          <w:szCs w:val="32"/>
          <w:u w:val="single"/>
          <w:lang w:val="en-US" w:eastAsia="zh-CN"/>
        </w:rPr>
        <w:t>梁河糖业勐养工厂会议室</w:t>
      </w:r>
      <w:r>
        <w:rPr>
          <w:rFonts w:ascii="Times New Roman" w:hAnsi="Times New Roman" w:eastAsia="仿宋_GB2312" w:cs="Times New Roman"/>
          <w:sz w:val="32"/>
          <w:szCs w:val="32"/>
          <w:u w:val="single"/>
        </w:rPr>
        <w:t xml:space="preserve">                 。</w:t>
      </w:r>
    </w:p>
    <w:p w14:paraId="26651D9A">
      <w:pPr>
        <w:spacing w:after="0" w:line="560" w:lineRule="exact"/>
        <w:ind w:firstLine="643" w:firstLineChars="200"/>
        <w:jc w:val="both"/>
        <w:outlineLvl w:val="1"/>
        <w:rPr>
          <w:rFonts w:ascii="Times New Roman" w:hAnsi="Times New Roman" w:eastAsia="仿宋_GB2312" w:cs="Times New Roman"/>
          <w:b/>
          <w:sz w:val="32"/>
          <w:szCs w:val="32"/>
        </w:rPr>
      </w:pPr>
      <w:bookmarkStart w:id="46" w:name="_Toc32096"/>
      <w:r>
        <w:rPr>
          <w:rFonts w:ascii="Times New Roman" w:hAnsi="Times New Roman" w:eastAsia="仿宋_GB2312" w:cs="Times New Roman"/>
          <w:b/>
          <w:sz w:val="32"/>
          <w:szCs w:val="32"/>
        </w:rPr>
        <w:t>9.谈判方式</w:t>
      </w:r>
      <w:bookmarkEnd w:id="46"/>
    </w:p>
    <w:p w14:paraId="2822A1A1">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谈判采用现场</w:t>
      </w:r>
      <w:r>
        <w:rPr>
          <w:rFonts w:hint="eastAsia" w:ascii="Times New Roman" w:hAnsi="Times New Roman" w:eastAsia="仿宋_GB2312" w:cs="Times New Roman"/>
          <w:sz w:val="32"/>
          <w:szCs w:val="32"/>
          <w:lang w:eastAsia="zh-CN"/>
        </w:rPr>
        <w:t>谈判</w:t>
      </w:r>
      <w:r>
        <w:rPr>
          <w:rFonts w:ascii="Times New Roman" w:hAnsi="Times New Roman" w:eastAsia="仿宋_GB2312" w:cs="Times New Roman"/>
          <w:sz w:val="32"/>
          <w:szCs w:val="32"/>
        </w:rPr>
        <w:t>或电话</w:t>
      </w:r>
      <w:r>
        <w:rPr>
          <w:rFonts w:hint="eastAsia" w:ascii="Times New Roman" w:hAnsi="Times New Roman" w:eastAsia="仿宋_GB2312" w:cs="Times New Roman"/>
          <w:sz w:val="32"/>
          <w:szCs w:val="32"/>
          <w:lang w:val="en-US" w:eastAsia="zh-CN"/>
        </w:rPr>
        <w:t>谈判</w:t>
      </w:r>
      <w:r>
        <w:rPr>
          <w:rFonts w:ascii="Times New Roman" w:hAnsi="Times New Roman" w:eastAsia="仿宋_GB2312" w:cs="Times New Roman"/>
          <w:sz w:val="32"/>
          <w:szCs w:val="32"/>
        </w:rPr>
        <w:t>，不能到现场参加</w:t>
      </w:r>
      <w:r>
        <w:rPr>
          <w:rFonts w:hint="eastAsia" w:ascii="Times New Roman" w:hAnsi="Times New Roman" w:eastAsia="仿宋_GB2312" w:cs="Times New Roman"/>
          <w:sz w:val="32"/>
          <w:szCs w:val="32"/>
          <w:lang w:val="en-US" w:eastAsia="zh-CN"/>
        </w:rPr>
        <w:t>谈判</w:t>
      </w:r>
      <w:r>
        <w:rPr>
          <w:rFonts w:ascii="Times New Roman" w:hAnsi="Times New Roman" w:eastAsia="仿宋_GB2312" w:cs="Times New Roman"/>
          <w:sz w:val="32"/>
          <w:szCs w:val="32"/>
        </w:rPr>
        <w:t>的供应商自行下载安装“小鱼易连”，</w:t>
      </w:r>
      <w:r>
        <w:rPr>
          <w:rFonts w:hint="eastAsia" w:ascii="Times New Roman" w:hAnsi="Times New Roman" w:eastAsia="仿宋_GB2312" w:cs="Times New Roman"/>
          <w:sz w:val="32"/>
          <w:szCs w:val="32"/>
          <w:lang w:eastAsia="zh-CN"/>
        </w:rPr>
        <w:t>谈判</w:t>
      </w:r>
      <w:r>
        <w:rPr>
          <w:rFonts w:ascii="Times New Roman" w:hAnsi="Times New Roman" w:eastAsia="仿宋_GB2312" w:cs="Times New Roman"/>
          <w:sz w:val="32"/>
          <w:szCs w:val="32"/>
        </w:rPr>
        <w:t>时</w:t>
      </w:r>
      <w:bookmarkStart w:id="47" w:name="OLE_LINK1"/>
      <w:r>
        <w:rPr>
          <w:rFonts w:ascii="Times New Roman" w:hAnsi="Times New Roman" w:eastAsia="仿宋_GB2312" w:cs="Times New Roman"/>
          <w:sz w:val="32"/>
          <w:szCs w:val="32"/>
        </w:rPr>
        <w:t>使用“小鱼易连” 输入9023969139接入</w:t>
      </w:r>
      <w:bookmarkEnd w:id="47"/>
      <w:r>
        <w:rPr>
          <w:rFonts w:ascii="Times New Roman" w:hAnsi="Times New Roman" w:eastAsia="仿宋_GB2312" w:cs="Times New Roman"/>
          <w:sz w:val="32"/>
          <w:szCs w:val="32"/>
        </w:rPr>
        <w:t>。</w:t>
      </w:r>
    </w:p>
    <w:p w14:paraId="71FB39B5">
      <w:pPr>
        <w:spacing w:after="0" w:line="560" w:lineRule="exact"/>
        <w:ind w:firstLine="643" w:firstLineChars="200"/>
        <w:jc w:val="both"/>
        <w:outlineLvl w:val="1"/>
        <w:rPr>
          <w:rFonts w:ascii="Times New Roman" w:hAnsi="Times New Roman" w:eastAsia="仿宋_GB2312" w:cs="Times New Roman"/>
          <w:b/>
          <w:sz w:val="32"/>
          <w:szCs w:val="32"/>
        </w:rPr>
      </w:pPr>
      <w:bookmarkStart w:id="48" w:name="_Toc12301"/>
      <w:r>
        <w:rPr>
          <w:rFonts w:ascii="Times New Roman" w:hAnsi="Times New Roman" w:eastAsia="仿宋_GB2312" w:cs="Times New Roman"/>
          <w:b/>
          <w:sz w:val="32"/>
          <w:szCs w:val="32"/>
        </w:rPr>
        <w:t>9.纪检监督</w:t>
      </w:r>
      <w:bookmarkEnd w:id="48"/>
    </w:p>
    <w:p w14:paraId="3E887856">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中粮糖业纪检信访举报联络方式：</w:t>
      </w:r>
    </w:p>
    <w:p w14:paraId="6381CE82">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一、寄信 通信地址：北京市朝阳区朝阳门南大街8号中粮福临门大厦9层905房间，中粮糖业纪委办公室收，邮编100020</w:t>
      </w:r>
    </w:p>
    <w:p w14:paraId="6EF64E95">
      <w:pPr>
        <w:spacing w:after="0" w:line="560" w:lineRule="exact"/>
        <w:ind w:firstLine="640" w:firstLineChars="200"/>
        <w:jc w:val="both"/>
        <w:outlineLvl w:val="2"/>
        <w:rPr>
          <w:rFonts w:ascii="Times New Roman" w:hAnsi="Times New Roman" w:eastAsia="仿宋_GB2312" w:cs="Times New Roman"/>
          <w:sz w:val="32"/>
          <w:szCs w:val="32"/>
        </w:rPr>
      </w:pPr>
      <w:bookmarkStart w:id="49" w:name="_Toc19944"/>
      <w:r>
        <w:rPr>
          <w:rFonts w:ascii="Times New Roman" w:hAnsi="Times New Roman" w:eastAsia="仿宋_GB2312" w:cs="Times New Roman"/>
          <w:sz w:val="32"/>
          <w:szCs w:val="32"/>
        </w:rPr>
        <w:t>二、致电 举报电话：010-85017235。 </w:t>
      </w:r>
      <w:bookmarkEnd w:id="49"/>
    </w:p>
    <w:p w14:paraId="72CBA096">
      <w:pPr>
        <w:spacing w:after="0" w:line="560" w:lineRule="exact"/>
        <w:ind w:firstLine="643" w:firstLineChars="200"/>
        <w:jc w:val="both"/>
        <w:outlineLvl w:val="1"/>
        <w:rPr>
          <w:rFonts w:ascii="Times New Roman" w:hAnsi="Times New Roman" w:eastAsia="仿宋_GB2312" w:cs="Times New Roman"/>
          <w:b/>
          <w:sz w:val="32"/>
          <w:szCs w:val="32"/>
        </w:rPr>
      </w:pPr>
      <w:bookmarkStart w:id="50" w:name="_Toc7841"/>
      <w:r>
        <w:rPr>
          <w:rFonts w:ascii="Times New Roman" w:hAnsi="Times New Roman" w:eastAsia="仿宋_GB2312" w:cs="Times New Roman"/>
          <w:b/>
          <w:sz w:val="32"/>
          <w:szCs w:val="32"/>
        </w:rPr>
        <w:t>10.其他</w:t>
      </w:r>
      <w:bookmarkEnd w:id="50"/>
    </w:p>
    <w:p w14:paraId="40DCF114">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供应商需同时在中粮糖业EPS电子采购平台（网址：http://eps.tunhe.com）中，按项目明细填写报价。</w:t>
      </w:r>
    </w:p>
    <w:p w14:paraId="580C8F64">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（注：可根据项目情况简述采购项目评审方法等其他需要说明的内容。）</w:t>
      </w:r>
    </w:p>
    <w:p w14:paraId="461C9AC3">
      <w:pPr>
        <w:spacing w:after="0" w:line="560" w:lineRule="exact"/>
        <w:ind w:firstLine="643" w:firstLineChars="200"/>
        <w:jc w:val="both"/>
        <w:outlineLvl w:val="1"/>
        <w:rPr>
          <w:rFonts w:ascii="Times New Roman" w:hAnsi="Times New Roman" w:eastAsia="仿宋_GB2312" w:cs="Times New Roman"/>
          <w:b/>
          <w:sz w:val="32"/>
          <w:szCs w:val="32"/>
        </w:rPr>
      </w:pPr>
      <w:bookmarkStart w:id="51" w:name="_Toc2505"/>
      <w:r>
        <w:rPr>
          <w:rFonts w:ascii="Times New Roman" w:hAnsi="Times New Roman" w:eastAsia="仿宋_GB2312" w:cs="Times New Roman"/>
          <w:b/>
          <w:sz w:val="32"/>
          <w:szCs w:val="32"/>
        </w:rPr>
        <w:t>11.联系方式</w:t>
      </w:r>
      <w:bookmarkEnd w:id="51"/>
    </w:p>
    <w:tbl>
      <w:tblPr>
        <w:tblStyle w:val="33"/>
        <w:tblW w:w="6123" w:type="dxa"/>
        <w:tblInd w:w="567" w:type="dxa"/>
        <w:tblLayout w:type="fixed"/>
        <w:tblCellMar>
          <w:top w:w="0" w:type="dxa"/>
          <w:left w:w="108" w:type="dxa"/>
          <w:bottom w:w="0" w:type="dxa"/>
          <w:right w:w="108" w:type="dxa"/>
        </w:tblCellMar>
      </w:tblPr>
      <w:tblGrid>
        <w:gridCol w:w="6123"/>
      </w:tblGrid>
      <w:tr w14:paraId="27E3EB03">
        <w:trPr>
          <w:trHeight w:val="454" w:hRule="atLeast"/>
        </w:trPr>
        <w:tc>
          <w:tcPr>
            <w:tcW w:w="6123" w:type="dxa"/>
            <w:vAlign w:val="center"/>
          </w:tcPr>
          <w:p w14:paraId="5BD3F5C4">
            <w:pPr>
              <w:spacing w:after="0" w:line="56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采购人：中粮梁河糖业有限公司</w:t>
            </w:r>
          </w:p>
        </w:tc>
      </w:tr>
      <w:tr w14:paraId="094DFD4C">
        <w:tblPrEx>
          <w:tblCellMar>
            <w:top w:w="0" w:type="dxa"/>
            <w:left w:w="108" w:type="dxa"/>
            <w:bottom w:w="0" w:type="dxa"/>
            <w:right w:w="108" w:type="dxa"/>
          </w:tblCellMar>
        </w:tblPrEx>
        <w:trPr>
          <w:trHeight w:val="454" w:hRule="atLeast"/>
        </w:trPr>
        <w:tc>
          <w:tcPr>
            <w:tcW w:w="6123" w:type="dxa"/>
            <w:vAlign w:val="center"/>
          </w:tcPr>
          <w:p w14:paraId="138B2993">
            <w:pPr>
              <w:spacing w:after="0" w:line="56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联系人：杨常茂</w:t>
            </w:r>
          </w:p>
        </w:tc>
      </w:tr>
      <w:tr w14:paraId="1611AE9D">
        <w:tblPrEx>
          <w:tblCellMar>
            <w:top w:w="0" w:type="dxa"/>
            <w:left w:w="108" w:type="dxa"/>
            <w:bottom w:w="0" w:type="dxa"/>
            <w:right w:w="108" w:type="dxa"/>
          </w:tblCellMar>
        </w:tblPrEx>
        <w:trPr>
          <w:trHeight w:val="454" w:hRule="atLeast"/>
        </w:trPr>
        <w:tc>
          <w:tcPr>
            <w:tcW w:w="6123" w:type="dxa"/>
            <w:vAlign w:val="center"/>
          </w:tcPr>
          <w:p w14:paraId="75407D86">
            <w:pPr>
              <w:spacing w:after="0" w:line="56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电话：13987028948</w:t>
            </w:r>
          </w:p>
        </w:tc>
      </w:tr>
    </w:tbl>
    <w:p w14:paraId="513CBC99">
      <w:pPr>
        <w:spacing w:after="0" w:line="560" w:lineRule="exact"/>
        <w:ind w:firstLine="1280" w:firstLineChars="4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566B0A7B">
      <w:pPr>
        <w:spacing w:after="0" w:line="560" w:lineRule="exact"/>
        <w:ind w:firstLine="4800" w:firstLineChars="15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2024       年   </w:t>
      </w:r>
      <w:r>
        <w:rPr>
          <w:rFonts w:hint="eastAsia" w:ascii="Times New Roman" w:hAnsi="Times New Roman" w:eastAsia="仿宋_GB2312" w:cs="Times New Roman"/>
          <w:sz w:val="32"/>
          <w:szCs w:val="32"/>
          <w:lang w:val="en-US" w:eastAsia="zh-CN"/>
        </w:rPr>
        <w:t>6</w:t>
      </w:r>
      <w:r>
        <w:rPr>
          <w:rFonts w:ascii="Times New Roman" w:hAnsi="Times New Roman" w:eastAsia="仿宋_GB2312" w:cs="Times New Roman"/>
          <w:sz w:val="32"/>
          <w:szCs w:val="32"/>
        </w:rPr>
        <w:t xml:space="preserve">   月  </w:t>
      </w:r>
      <w:r>
        <w:rPr>
          <w:rFonts w:hint="eastAsia" w:ascii="Times New Roman" w:hAnsi="Times New Roman" w:eastAsia="仿宋_GB2312" w:cs="Times New Roman"/>
          <w:sz w:val="32"/>
          <w:szCs w:val="32"/>
          <w:lang w:val="en-US" w:eastAsia="zh-CN"/>
        </w:rPr>
        <w:t>25</w:t>
      </w:r>
      <w:r>
        <w:rPr>
          <w:rFonts w:ascii="Times New Roman" w:hAnsi="Times New Roman" w:eastAsia="仿宋_GB2312" w:cs="Times New Roman"/>
          <w:sz w:val="32"/>
          <w:szCs w:val="32"/>
        </w:rPr>
        <w:t xml:space="preserve">    日</w:t>
      </w:r>
      <w:bookmarkEnd w:id="8"/>
      <w:r>
        <w:rPr>
          <w:rFonts w:ascii="Times New Roman" w:hAnsi="Times New Roman" w:eastAsia="仿宋_GB2312" w:cs="Times New Roman"/>
          <w:sz w:val="32"/>
          <w:szCs w:val="32"/>
        </w:rPr>
        <w:br w:type="page"/>
      </w:r>
    </w:p>
    <w:p w14:paraId="07D1B5EF">
      <w:pPr>
        <w:pStyle w:val="2"/>
        <w:pBdr>
          <w:bottom w:val="none" w:color="auto" w:sz="0" w:space="0"/>
        </w:pBdr>
        <w:ind w:firstLine="883"/>
        <w:jc w:val="center"/>
        <w:outlineLvl w:val="9"/>
        <w:rPr>
          <w:rFonts w:ascii="Times New Roman" w:hAnsi="Times New Roman" w:eastAsia="黑体" w:cs="Times New Roman"/>
          <w:b/>
          <w:snapToGrid w:val="0"/>
          <w:color w:val="000000" w:themeColor="text1"/>
          <w:sz w:val="32"/>
          <w:szCs w:val="32"/>
        </w:rPr>
      </w:pPr>
      <w:bookmarkStart w:id="52" w:name="扫描0015"/>
      <w:bookmarkEnd w:id="52"/>
    </w:p>
    <w:p w14:paraId="2900E2B9">
      <w:pPr>
        <w:pStyle w:val="2"/>
        <w:pBdr>
          <w:bottom w:val="none" w:color="auto" w:sz="0" w:space="0"/>
        </w:pBdr>
        <w:ind w:firstLine="883"/>
        <w:jc w:val="center"/>
        <w:outlineLvl w:val="9"/>
        <w:rPr>
          <w:rFonts w:ascii="Times New Roman" w:hAnsi="Times New Roman" w:eastAsia="黑体" w:cs="Times New Roman"/>
          <w:b/>
          <w:snapToGrid w:val="0"/>
          <w:color w:val="000000" w:themeColor="text1"/>
          <w:sz w:val="32"/>
          <w:szCs w:val="32"/>
        </w:rPr>
      </w:pPr>
    </w:p>
    <w:p w14:paraId="78571B8A">
      <w:pPr>
        <w:pStyle w:val="2"/>
        <w:pBdr>
          <w:bottom w:val="none" w:color="auto" w:sz="0" w:space="0"/>
        </w:pBdr>
        <w:ind w:firstLine="883"/>
        <w:jc w:val="center"/>
        <w:outlineLvl w:val="9"/>
        <w:rPr>
          <w:rFonts w:ascii="Times New Roman" w:hAnsi="Times New Roman" w:eastAsia="黑体" w:cs="Times New Roman"/>
          <w:b/>
          <w:snapToGrid w:val="0"/>
          <w:color w:val="000000" w:themeColor="text1"/>
          <w:sz w:val="32"/>
          <w:szCs w:val="32"/>
        </w:rPr>
      </w:pPr>
    </w:p>
    <w:p w14:paraId="37707789">
      <w:pPr>
        <w:pStyle w:val="2"/>
        <w:pBdr>
          <w:bottom w:val="none" w:color="auto" w:sz="0" w:space="0"/>
        </w:pBdr>
        <w:ind w:firstLine="883"/>
        <w:jc w:val="center"/>
        <w:outlineLvl w:val="9"/>
        <w:rPr>
          <w:rFonts w:ascii="Times New Roman" w:hAnsi="Times New Roman" w:eastAsia="黑体" w:cs="Times New Roman"/>
          <w:b/>
          <w:snapToGrid w:val="0"/>
          <w:color w:val="000000" w:themeColor="text1"/>
          <w:sz w:val="32"/>
          <w:szCs w:val="32"/>
        </w:rPr>
      </w:pPr>
    </w:p>
    <w:p w14:paraId="1EFDF4ED">
      <w:pPr>
        <w:pStyle w:val="2"/>
        <w:pBdr>
          <w:bottom w:val="none" w:color="auto" w:sz="0" w:space="0"/>
        </w:pBdr>
        <w:ind w:firstLine="883"/>
        <w:jc w:val="center"/>
        <w:outlineLvl w:val="9"/>
        <w:rPr>
          <w:rFonts w:ascii="Times New Roman" w:hAnsi="Times New Roman" w:eastAsia="黑体" w:cs="Times New Roman"/>
          <w:b/>
          <w:snapToGrid w:val="0"/>
          <w:color w:val="000000" w:themeColor="text1"/>
          <w:sz w:val="32"/>
          <w:szCs w:val="32"/>
        </w:rPr>
      </w:pPr>
    </w:p>
    <w:p w14:paraId="3540A274">
      <w:pPr>
        <w:pStyle w:val="2"/>
        <w:pBdr>
          <w:bottom w:val="none" w:color="auto" w:sz="0" w:space="0"/>
        </w:pBdr>
        <w:ind w:firstLine="883"/>
        <w:jc w:val="center"/>
        <w:rPr>
          <w:rFonts w:ascii="Times New Roman" w:hAnsi="Times New Roman" w:eastAsia="黑体" w:cs="Times New Roman"/>
          <w:b/>
          <w:snapToGrid w:val="0"/>
          <w:color w:val="000000" w:themeColor="text1"/>
          <w:sz w:val="32"/>
          <w:szCs w:val="32"/>
        </w:rPr>
      </w:pPr>
      <w:bookmarkStart w:id="53" w:name="_Toc23495"/>
      <w:r>
        <w:rPr>
          <w:rFonts w:ascii="Times New Roman" w:hAnsi="Times New Roman" w:eastAsia="黑体" w:cs="Times New Roman"/>
          <w:b/>
          <w:snapToGrid w:val="0"/>
          <w:color w:val="000000" w:themeColor="text1"/>
          <w:sz w:val="32"/>
          <w:szCs w:val="32"/>
        </w:rPr>
        <w:t>第二章  供应商须知</w:t>
      </w:r>
      <w:bookmarkEnd w:id="53"/>
    </w:p>
    <w:p w14:paraId="6B68A824">
      <w:pPr>
        <w:rPr>
          <w:rFonts w:ascii="Times New Roman" w:hAnsi="Times New Roman" w:cs="Times New Roman"/>
          <w:snapToGrid w:val="0"/>
        </w:rPr>
      </w:pPr>
      <w:r>
        <w:rPr>
          <w:rFonts w:ascii="Times New Roman" w:hAnsi="Times New Roman" w:cs="Times New Roman"/>
          <w:snapToGrid w:val="0"/>
        </w:rPr>
        <w:br w:type="page"/>
      </w:r>
    </w:p>
    <w:p w14:paraId="106157A3">
      <w:pPr>
        <w:rPr>
          <w:rFonts w:ascii="Times New Roman" w:hAnsi="Times New Roman" w:cs="Times New Roman"/>
          <w:snapToGrid w:val="0"/>
        </w:rPr>
      </w:pPr>
    </w:p>
    <w:p w14:paraId="7022C53D">
      <w:pPr>
        <w:pStyle w:val="3"/>
        <w:ind w:firstLine="800"/>
        <w:jc w:val="center"/>
        <w:rPr>
          <w:rFonts w:hint="eastAsia" w:ascii="仿宋_GB2312" w:hAnsi="仿宋_GB2312" w:eastAsia="仿宋_GB2312" w:cs="仿宋_GB2312"/>
          <w:b w:val="0"/>
          <w:bCs/>
          <w:snapToGrid w:val="0"/>
          <w:color w:val="auto"/>
          <w:sz w:val="32"/>
          <w:szCs w:val="32"/>
        </w:rPr>
      </w:pPr>
      <w:bookmarkStart w:id="54" w:name="_Toc26913"/>
      <w:r>
        <w:rPr>
          <w:rFonts w:hint="eastAsia" w:ascii="仿宋_GB2312" w:hAnsi="仿宋_GB2312" w:eastAsia="仿宋_GB2312" w:cs="仿宋_GB2312"/>
          <w:b w:val="0"/>
          <w:bCs/>
          <w:snapToGrid w:val="0"/>
          <w:color w:val="auto"/>
          <w:sz w:val="32"/>
          <w:szCs w:val="32"/>
        </w:rPr>
        <w:t>供应商须知前附表</w:t>
      </w:r>
      <w:bookmarkEnd w:id="54"/>
    </w:p>
    <w:tbl>
      <w:tblPr>
        <w:tblStyle w:val="33"/>
        <w:tblW w:w="9288"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6"/>
        <w:gridCol w:w="3686"/>
        <w:gridCol w:w="4536"/>
      </w:tblGrid>
      <w:tr w14:paraId="29AEE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1066" w:type="dxa"/>
            <w:tcMar>
              <w:top w:w="57" w:type="dxa"/>
              <w:left w:w="57" w:type="dxa"/>
              <w:bottom w:w="57" w:type="dxa"/>
              <w:right w:w="57" w:type="dxa"/>
            </w:tcMar>
            <w:vAlign w:val="center"/>
          </w:tcPr>
          <w:p w14:paraId="5BEFEDC6">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条款号</w:t>
            </w:r>
          </w:p>
        </w:tc>
        <w:tc>
          <w:tcPr>
            <w:tcW w:w="3686" w:type="dxa"/>
            <w:tcMar>
              <w:top w:w="57" w:type="dxa"/>
              <w:left w:w="57" w:type="dxa"/>
              <w:bottom w:w="57" w:type="dxa"/>
              <w:right w:w="57" w:type="dxa"/>
            </w:tcMar>
            <w:vAlign w:val="center"/>
          </w:tcPr>
          <w:p w14:paraId="73D7D0EB">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条款内容</w:t>
            </w:r>
          </w:p>
        </w:tc>
        <w:tc>
          <w:tcPr>
            <w:tcW w:w="4536" w:type="dxa"/>
            <w:tcMar>
              <w:top w:w="57" w:type="dxa"/>
              <w:left w:w="57" w:type="dxa"/>
              <w:bottom w:w="57" w:type="dxa"/>
              <w:right w:w="57" w:type="dxa"/>
            </w:tcMar>
            <w:vAlign w:val="center"/>
          </w:tcPr>
          <w:p w14:paraId="75BD811A">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编列内容</w:t>
            </w:r>
          </w:p>
        </w:tc>
      </w:tr>
      <w:tr w14:paraId="2BE27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23FF528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1.7.1</w:t>
            </w:r>
          </w:p>
        </w:tc>
        <w:tc>
          <w:tcPr>
            <w:tcW w:w="3686" w:type="dxa"/>
            <w:tcMar>
              <w:top w:w="57" w:type="dxa"/>
              <w:left w:w="57" w:type="dxa"/>
              <w:bottom w:w="57" w:type="dxa"/>
              <w:right w:w="57" w:type="dxa"/>
            </w:tcMar>
            <w:vAlign w:val="center"/>
          </w:tcPr>
          <w:p w14:paraId="4DEA7F3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踏勘现场</w:t>
            </w:r>
          </w:p>
        </w:tc>
        <w:tc>
          <w:tcPr>
            <w:tcW w:w="4536" w:type="dxa"/>
            <w:tcMar>
              <w:top w:w="57" w:type="dxa"/>
              <w:left w:w="57" w:type="dxa"/>
              <w:bottom w:w="57" w:type="dxa"/>
              <w:right w:w="57" w:type="dxa"/>
            </w:tcMar>
            <w:vAlign w:val="center"/>
          </w:tcPr>
          <w:p w14:paraId="4290720A">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不组织集中踏勘，供应商自行踏勘</w:t>
            </w:r>
          </w:p>
        </w:tc>
      </w:tr>
      <w:tr w14:paraId="7714F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463B606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1.8</w:t>
            </w:r>
          </w:p>
        </w:tc>
        <w:tc>
          <w:tcPr>
            <w:tcW w:w="3686" w:type="dxa"/>
            <w:tcMar>
              <w:top w:w="57" w:type="dxa"/>
              <w:left w:w="57" w:type="dxa"/>
              <w:bottom w:w="57" w:type="dxa"/>
              <w:right w:w="57" w:type="dxa"/>
            </w:tcMar>
            <w:vAlign w:val="center"/>
          </w:tcPr>
          <w:p w14:paraId="36770CF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谈判采购预备会</w:t>
            </w:r>
          </w:p>
        </w:tc>
        <w:tc>
          <w:tcPr>
            <w:tcW w:w="4536" w:type="dxa"/>
            <w:tcMar>
              <w:top w:w="57" w:type="dxa"/>
              <w:left w:w="57" w:type="dxa"/>
              <w:bottom w:w="57" w:type="dxa"/>
              <w:right w:w="57" w:type="dxa"/>
            </w:tcMar>
            <w:vAlign w:val="center"/>
          </w:tcPr>
          <w:p w14:paraId="1967C4F5">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不召开，书面澄清及回复供应商疑问</w:t>
            </w:r>
          </w:p>
        </w:tc>
      </w:tr>
      <w:tr w14:paraId="6CB04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4EC909F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1.9</w:t>
            </w:r>
          </w:p>
        </w:tc>
        <w:tc>
          <w:tcPr>
            <w:tcW w:w="3686" w:type="dxa"/>
            <w:tcMar>
              <w:top w:w="57" w:type="dxa"/>
              <w:left w:w="57" w:type="dxa"/>
              <w:bottom w:w="57" w:type="dxa"/>
              <w:right w:w="57" w:type="dxa"/>
            </w:tcMar>
            <w:vAlign w:val="center"/>
          </w:tcPr>
          <w:p w14:paraId="73A898D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分包</w:t>
            </w:r>
          </w:p>
        </w:tc>
        <w:tc>
          <w:tcPr>
            <w:tcW w:w="4536" w:type="dxa"/>
            <w:tcMar>
              <w:top w:w="57" w:type="dxa"/>
              <w:left w:w="57" w:type="dxa"/>
              <w:bottom w:w="57" w:type="dxa"/>
              <w:right w:w="57" w:type="dxa"/>
            </w:tcMar>
            <w:vAlign w:val="center"/>
          </w:tcPr>
          <w:p w14:paraId="1065CBFD">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不得分包的内容：</w:t>
            </w:r>
            <w:r>
              <w:rPr>
                <w:rFonts w:hint="eastAsia" w:ascii="Times New Roman" w:hAnsi="Times New Roman" w:eastAsia="仿宋_GB2312" w:cs="Times New Roman"/>
                <w:snapToGrid w:val="0"/>
                <w:color w:val="auto"/>
                <w:sz w:val="24"/>
                <w:szCs w:val="24"/>
                <w:highlight w:val="none"/>
                <w:lang w:val="en-US" w:eastAsia="zh-CN"/>
              </w:rPr>
              <w:t>不允许分包</w:t>
            </w:r>
            <w:r>
              <w:rPr>
                <w:rFonts w:hint="default" w:ascii="Times New Roman" w:hAnsi="Times New Roman" w:eastAsia="仿宋_GB2312" w:cs="Times New Roman"/>
                <w:snapToGrid w:val="0"/>
                <w:color w:val="auto"/>
                <w:sz w:val="24"/>
                <w:szCs w:val="24"/>
                <w:highlight w:val="none"/>
                <w:lang w:eastAsia="zh-CN"/>
              </w:rPr>
              <w:t xml:space="preserve"> </w:t>
            </w:r>
          </w:p>
          <w:p w14:paraId="65C54A25">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对分包供应商的要求：                  </w:t>
            </w:r>
          </w:p>
        </w:tc>
      </w:tr>
      <w:tr w14:paraId="6E862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794E81B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1.10.2</w:t>
            </w:r>
          </w:p>
        </w:tc>
        <w:tc>
          <w:tcPr>
            <w:tcW w:w="3686" w:type="dxa"/>
            <w:tcMar>
              <w:top w:w="57" w:type="dxa"/>
              <w:left w:w="57" w:type="dxa"/>
              <w:bottom w:w="57" w:type="dxa"/>
              <w:right w:w="57" w:type="dxa"/>
            </w:tcMar>
            <w:vAlign w:val="center"/>
          </w:tcPr>
          <w:p w14:paraId="19DECA3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对非关键条款的偏差</w:t>
            </w:r>
          </w:p>
        </w:tc>
        <w:tc>
          <w:tcPr>
            <w:tcW w:w="4536" w:type="dxa"/>
            <w:tcMar>
              <w:top w:w="57" w:type="dxa"/>
              <w:left w:w="57" w:type="dxa"/>
              <w:bottom w:w="57" w:type="dxa"/>
              <w:right w:w="57" w:type="dxa"/>
            </w:tcMar>
            <w:vAlign w:val="center"/>
          </w:tcPr>
          <w:p w14:paraId="750CBA8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允许偏差的范围：          </w:t>
            </w:r>
          </w:p>
          <w:p w14:paraId="2782B98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允许偏差的项数：  0     项</w:t>
            </w:r>
          </w:p>
        </w:tc>
      </w:tr>
      <w:tr w14:paraId="2284C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0577B80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2.1（7）</w:t>
            </w:r>
          </w:p>
        </w:tc>
        <w:tc>
          <w:tcPr>
            <w:tcW w:w="3686" w:type="dxa"/>
            <w:tcMar>
              <w:top w:w="57" w:type="dxa"/>
              <w:left w:w="57" w:type="dxa"/>
              <w:bottom w:w="57" w:type="dxa"/>
              <w:right w:w="57" w:type="dxa"/>
            </w:tcMar>
            <w:vAlign w:val="center"/>
          </w:tcPr>
          <w:p w14:paraId="2B4CC494">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构成采购文件的其他资料</w:t>
            </w:r>
          </w:p>
        </w:tc>
        <w:tc>
          <w:tcPr>
            <w:tcW w:w="4536" w:type="dxa"/>
            <w:tcMar>
              <w:top w:w="57" w:type="dxa"/>
              <w:left w:w="57" w:type="dxa"/>
              <w:bottom w:w="57" w:type="dxa"/>
              <w:right w:w="57" w:type="dxa"/>
            </w:tcMar>
            <w:vAlign w:val="center"/>
          </w:tcPr>
          <w:p w14:paraId="5DA9CC9D">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tc>
      </w:tr>
      <w:tr w14:paraId="14959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6E7DC49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2.2.1</w:t>
            </w:r>
          </w:p>
        </w:tc>
        <w:tc>
          <w:tcPr>
            <w:tcW w:w="3686" w:type="dxa"/>
            <w:tcMar>
              <w:top w:w="57" w:type="dxa"/>
              <w:left w:w="57" w:type="dxa"/>
              <w:bottom w:w="57" w:type="dxa"/>
              <w:right w:w="57" w:type="dxa"/>
            </w:tcMar>
            <w:vAlign w:val="center"/>
          </w:tcPr>
          <w:p w14:paraId="59B4AAC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供应商要求澄清采购文件的时间</w:t>
            </w:r>
          </w:p>
        </w:tc>
        <w:tc>
          <w:tcPr>
            <w:tcW w:w="4536" w:type="dxa"/>
            <w:tcMar>
              <w:top w:w="57" w:type="dxa"/>
              <w:left w:w="57" w:type="dxa"/>
              <w:bottom w:w="57" w:type="dxa"/>
              <w:right w:w="57" w:type="dxa"/>
            </w:tcMar>
            <w:vAlign w:val="center"/>
          </w:tcPr>
          <w:p w14:paraId="08E1237B">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截止时间：  </w:t>
            </w:r>
            <w:r>
              <w:rPr>
                <w:rFonts w:hint="default" w:ascii="Times New Roman" w:hAnsi="Times New Roman" w:eastAsia="仿宋_GB2312" w:cs="Times New Roman"/>
                <w:snapToGrid w:val="0"/>
                <w:color w:val="auto"/>
                <w:sz w:val="24"/>
                <w:szCs w:val="24"/>
                <w:highlight w:val="none"/>
                <w:u w:val="single"/>
                <w:lang w:eastAsia="zh-CN"/>
              </w:rPr>
              <w:t>2024</w:t>
            </w:r>
            <w:r>
              <w:rPr>
                <w:rFonts w:hint="default" w:ascii="Times New Roman" w:hAnsi="Times New Roman" w:eastAsia="仿宋_GB2312" w:cs="Times New Roman"/>
                <w:snapToGrid w:val="0"/>
                <w:color w:val="auto"/>
                <w:sz w:val="24"/>
                <w:szCs w:val="24"/>
                <w:highlight w:val="none"/>
                <w:lang w:eastAsia="zh-CN"/>
              </w:rPr>
              <w:t>年</w:t>
            </w:r>
            <w:r>
              <w:rPr>
                <w:rFonts w:hint="default" w:ascii="Times New Roman" w:hAnsi="Times New Roman" w:eastAsia="仿宋_GB2312" w:cs="Times New Roman"/>
                <w:snapToGrid w:val="0"/>
                <w:color w:val="auto"/>
                <w:sz w:val="24"/>
                <w:szCs w:val="24"/>
                <w:highlight w:val="none"/>
                <w:u w:val="single"/>
                <w:lang w:eastAsia="zh-CN"/>
              </w:rPr>
              <w:t xml:space="preserve"> </w:t>
            </w:r>
            <w:r>
              <w:rPr>
                <w:rFonts w:hint="eastAsia" w:ascii="Times New Roman" w:hAnsi="Times New Roman" w:eastAsia="仿宋_GB2312" w:cs="Times New Roman"/>
                <w:snapToGrid w:val="0"/>
                <w:color w:val="auto"/>
                <w:sz w:val="24"/>
                <w:szCs w:val="24"/>
                <w:highlight w:val="none"/>
                <w:u w:val="single"/>
                <w:lang w:val="en-US" w:eastAsia="zh-CN"/>
              </w:rPr>
              <w:t>7</w:t>
            </w:r>
            <w:r>
              <w:rPr>
                <w:rFonts w:hint="default" w:ascii="Times New Roman" w:hAnsi="Times New Roman" w:eastAsia="仿宋_GB2312" w:cs="Times New Roman"/>
                <w:snapToGrid w:val="0"/>
                <w:color w:val="auto"/>
                <w:sz w:val="24"/>
                <w:szCs w:val="24"/>
                <w:highlight w:val="none"/>
                <w:u w:val="single"/>
                <w:lang w:eastAsia="zh-CN"/>
              </w:rPr>
              <w:t xml:space="preserve">  </w:t>
            </w:r>
            <w:r>
              <w:rPr>
                <w:rFonts w:hint="default" w:ascii="Times New Roman" w:hAnsi="Times New Roman" w:eastAsia="仿宋_GB2312" w:cs="Times New Roman"/>
                <w:snapToGrid w:val="0"/>
                <w:color w:val="auto"/>
                <w:sz w:val="24"/>
                <w:szCs w:val="24"/>
                <w:highlight w:val="none"/>
                <w:lang w:eastAsia="zh-CN"/>
              </w:rPr>
              <w:t>月</w:t>
            </w:r>
            <w:r>
              <w:rPr>
                <w:rFonts w:hint="default" w:ascii="Times New Roman" w:hAnsi="Times New Roman" w:eastAsia="仿宋_GB2312" w:cs="Times New Roman"/>
                <w:snapToGrid w:val="0"/>
                <w:color w:val="auto"/>
                <w:sz w:val="24"/>
                <w:szCs w:val="24"/>
                <w:highlight w:val="none"/>
                <w:u w:val="single"/>
                <w:lang w:eastAsia="zh-CN"/>
              </w:rPr>
              <w:t xml:space="preserve"> </w:t>
            </w:r>
            <w:r>
              <w:rPr>
                <w:rFonts w:hint="eastAsia" w:ascii="Times New Roman" w:hAnsi="Times New Roman" w:eastAsia="仿宋_GB2312" w:cs="Times New Roman"/>
                <w:snapToGrid w:val="0"/>
                <w:color w:val="auto"/>
                <w:sz w:val="24"/>
                <w:szCs w:val="24"/>
                <w:highlight w:val="none"/>
                <w:u w:val="single"/>
                <w:lang w:val="en-US" w:eastAsia="zh-CN"/>
              </w:rPr>
              <w:t>21</w:t>
            </w:r>
            <w:r>
              <w:rPr>
                <w:rFonts w:hint="default" w:ascii="Times New Roman" w:hAnsi="Times New Roman" w:eastAsia="仿宋_GB2312" w:cs="Times New Roman"/>
                <w:snapToGrid w:val="0"/>
                <w:color w:val="auto"/>
                <w:sz w:val="24"/>
                <w:szCs w:val="24"/>
                <w:highlight w:val="none"/>
                <w:u w:val="single"/>
                <w:lang w:eastAsia="zh-CN"/>
              </w:rPr>
              <w:t xml:space="preserve">   </w:t>
            </w:r>
            <w:r>
              <w:rPr>
                <w:rFonts w:hint="default" w:ascii="Times New Roman" w:hAnsi="Times New Roman" w:eastAsia="仿宋_GB2312" w:cs="Times New Roman"/>
                <w:snapToGrid w:val="0"/>
                <w:color w:val="auto"/>
                <w:sz w:val="24"/>
                <w:szCs w:val="24"/>
                <w:highlight w:val="none"/>
                <w:lang w:eastAsia="zh-CN"/>
              </w:rPr>
              <w:t>日</w:t>
            </w:r>
            <w:r>
              <w:rPr>
                <w:rFonts w:hint="default" w:ascii="Times New Roman" w:hAnsi="Times New Roman" w:eastAsia="仿宋_GB2312" w:cs="Times New Roman"/>
                <w:snapToGrid w:val="0"/>
                <w:color w:val="auto"/>
                <w:sz w:val="24"/>
                <w:szCs w:val="24"/>
                <w:highlight w:val="none"/>
                <w:u w:val="single"/>
                <w:lang w:eastAsia="zh-CN"/>
              </w:rPr>
              <w:t xml:space="preserve">  1</w:t>
            </w:r>
            <w:r>
              <w:rPr>
                <w:rFonts w:hint="eastAsia" w:ascii="Times New Roman" w:hAnsi="Times New Roman" w:eastAsia="仿宋_GB2312" w:cs="Times New Roman"/>
                <w:snapToGrid w:val="0"/>
                <w:color w:val="auto"/>
                <w:sz w:val="24"/>
                <w:szCs w:val="24"/>
                <w:highlight w:val="none"/>
                <w:u w:val="single"/>
                <w:lang w:val="en-US" w:eastAsia="zh-CN"/>
              </w:rPr>
              <w:t>7</w:t>
            </w:r>
            <w:r>
              <w:rPr>
                <w:rFonts w:hint="default" w:ascii="Times New Roman" w:hAnsi="Times New Roman" w:eastAsia="仿宋_GB2312" w:cs="Times New Roman"/>
                <w:snapToGrid w:val="0"/>
                <w:color w:val="auto"/>
                <w:sz w:val="24"/>
                <w:szCs w:val="24"/>
                <w:highlight w:val="none"/>
                <w:u w:val="single"/>
                <w:lang w:eastAsia="zh-CN"/>
              </w:rPr>
              <w:t xml:space="preserve">  </w:t>
            </w:r>
            <w:r>
              <w:rPr>
                <w:rFonts w:hint="default" w:ascii="Times New Roman" w:hAnsi="Times New Roman" w:eastAsia="仿宋_GB2312" w:cs="Times New Roman"/>
                <w:snapToGrid w:val="0"/>
                <w:color w:val="auto"/>
                <w:sz w:val="24"/>
                <w:szCs w:val="24"/>
                <w:highlight w:val="none"/>
                <w:lang w:eastAsia="zh-CN"/>
              </w:rPr>
              <w:t xml:space="preserve">时前                                  </w:t>
            </w:r>
          </w:p>
        </w:tc>
      </w:tr>
      <w:tr w14:paraId="6A587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49392863">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2.2.3</w:t>
            </w:r>
          </w:p>
        </w:tc>
        <w:tc>
          <w:tcPr>
            <w:tcW w:w="3686" w:type="dxa"/>
            <w:tcMar>
              <w:top w:w="57" w:type="dxa"/>
              <w:left w:w="57" w:type="dxa"/>
              <w:bottom w:w="57" w:type="dxa"/>
              <w:right w:w="57" w:type="dxa"/>
            </w:tcMar>
            <w:vAlign w:val="center"/>
          </w:tcPr>
          <w:p w14:paraId="44ABA5C0">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供应商确认收到采购文件补充文件</w:t>
            </w:r>
          </w:p>
        </w:tc>
        <w:tc>
          <w:tcPr>
            <w:tcW w:w="4536" w:type="dxa"/>
            <w:tcMar>
              <w:top w:w="57" w:type="dxa"/>
              <w:left w:w="57" w:type="dxa"/>
              <w:bottom w:w="57" w:type="dxa"/>
              <w:right w:w="57" w:type="dxa"/>
            </w:tcMar>
            <w:vAlign w:val="center"/>
          </w:tcPr>
          <w:p w14:paraId="56AC807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确认的最晚时间：2024年</w:t>
            </w:r>
            <w:r>
              <w:rPr>
                <w:rFonts w:hint="default" w:ascii="Times New Roman" w:hAnsi="Times New Roman" w:eastAsia="仿宋_GB2312" w:cs="Times New Roman"/>
                <w:snapToGrid w:val="0"/>
                <w:color w:val="auto"/>
                <w:sz w:val="24"/>
                <w:szCs w:val="24"/>
                <w:highlight w:val="none"/>
                <w:u w:val="single"/>
                <w:lang w:eastAsia="zh-CN"/>
              </w:rPr>
              <w:t xml:space="preserve"> </w:t>
            </w:r>
            <w:r>
              <w:rPr>
                <w:rFonts w:hint="eastAsia" w:ascii="Times New Roman" w:hAnsi="Times New Roman" w:eastAsia="仿宋_GB2312" w:cs="Times New Roman"/>
                <w:snapToGrid w:val="0"/>
                <w:color w:val="auto"/>
                <w:sz w:val="24"/>
                <w:szCs w:val="24"/>
                <w:highlight w:val="none"/>
                <w:u w:val="single"/>
                <w:lang w:val="en-US" w:eastAsia="zh-CN"/>
              </w:rPr>
              <w:t>7</w:t>
            </w:r>
            <w:r>
              <w:rPr>
                <w:rFonts w:hint="default" w:ascii="Times New Roman" w:hAnsi="Times New Roman" w:eastAsia="仿宋_GB2312" w:cs="Times New Roman"/>
                <w:snapToGrid w:val="0"/>
                <w:color w:val="auto"/>
                <w:sz w:val="24"/>
                <w:szCs w:val="24"/>
                <w:highlight w:val="none"/>
                <w:u w:val="single"/>
                <w:lang w:eastAsia="zh-CN"/>
              </w:rPr>
              <w:t xml:space="preserve">  </w:t>
            </w:r>
            <w:r>
              <w:rPr>
                <w:rFonts w:hint="default" w:ascii="Times New Roman" w:hAnsi="Times New Roman" w:eastAsia="仿宋_GB2312" w:cs="Times New Roman"/>
                <w:snapToGrid w:val="0"/>
                <w:color w:val="auto"/>
                <w:sz w:val="24"/>
                <w:szCs w:val="24"/>
                <w:highlight w:val="none"/>
                <w:lang w:eastAsia="zh-CN"/>
              </w:rPr>
              <w:t>月</w:t>
            </w:r>
            <w:r>
              <w:rPr>
                <w:rFonts w:hint="default" w:ascii="Times New Roman" w:hAnsi="Times New Roman" w:eastAsia="仿宋_GB2312" w:cs="Times New Roman"/>
                <w:snapToGrid w:val="0"/>
                <w:color w:val="auto"/>
                <w:sz w:val="24"/>
                <w:szCs w:val="24"/>
                <w:highlight w:val="none"/>
                <w:u w:val="single"/>
                <w:lang w:eastAsia="zh-CN"/>
              </w:rPr>
              <w:t xml:space="preserve"> </w:t>
            </w:r>
            <w:r>
              <w:rPr>
                <w:rFonts w:hint="eastAsia" w:ascii="Times New Roman" w:hAnsi="Times New Roman" w:eastAsia="仿宋_GB2312" w:cs="Times New Roman"/>
                <w:snapToGrid w:val="0"/>
                <w:color w:val="auto"/>
                <w:sz w:val="24"/>
                <w:szCs w:val="24"/>
                <w:highlight w:val="none"/>
                <w:u w:val="single"/>
                <w:lang w:val="en-US" w:eastAsia="zh-CN"/>
              </w:rPr>
              <w:t>21</w:t>
            </w:r>
            <w:r>
              <w:rPr>
                <w:rFonts w:hint="default" w:ascii="Times New Roman" w:hAnsi="Times New Roman" w:eastAsia="仿宋_GB2312" w:cs="Times New Roman"/>
                <w:snapToGrid w:val="0"/>
                <w:color w:val="auto"/>
                <w:sz w:val="24"/>
                <w:szCs w:val="24"/>
                <w:highlight w:val="none"/>
                <w:u w:val="single"/>
                <w:lang w:eastAsia="zh-CN"/>
              </w:rPr>
              <w:t xml:space="preserve">  </w:t>
            </w:r>
            <w:r>
              <w:rPr>
                <w:rFonts w:hint="default" w:ascii="Times New Roman" w:hAnsi="Times New Roman" w:eastAsia="仿宋_GB2312" w:cs="Times New Roman"/>
                <w:snapToGrid w:val="0"/>
                <w:color w:val="auto"/>
                <w:sz w:val="24"/>
                <w:szCs w:val="24"/>
                <w:highlight w:val="none"/>
                <w:lang w:eastAsia="zh-CN"/>
              </w:rPr>
              <w:t>日</w:t>
            </w:r>
            <w:r>
              <w:rPr>
                <w:rFonts w:hint="default" w:ascii="Times New Roman" w:hAnsi="Times New Roman" w:eastAsia="仿宋_GB2312" w:cs="Times New Roman"/>
                <w:snapToGrid w:val="0"/>
                <w:color w:val="auto"/>
                <w:sz w:val="24"/>
                <w:szCs w:val="24"/>
                <w:highlight w:val="none"/>
                <w:u w:val="single"/>
                <w:lang w:eastAsia="zh-CN"/>
              </w:rPr>
              <w:t xml:space="preserve">  </w:t>
            </w:r>
            <w:r>
              <w:rPr>
                <w:rFonts w:hint="eastAsia" w:ascii="Times New Roman" w:hAnsi="Times New Roman" w:eastAsia="仿宋_GB2312" w:cs="Times New Roman"/>
                <w:snapToGrid w:val="0"/>
                <w:color w:val="auto"/>
                <w:sz w:val="24"/>
                <w:szCs w:val="24"/>
                <w:highlight w:val="none"/>
                <w:u w:val="single"/>
                <w:lang w:val="en-US" w:eastAsia="zh-CN"/>
              </w:rPr>
              <w:t>18</w:t>
            </w:r>
            <w:r>
              <w:rPr>
                <w:rFonts w:hint="default" w:ascii="Times New Roman" w:hAnsi="Times New Roman" w:eastAsia="仿宋_GB2312" w:cs="Times New Roman"/>
                <w:snapToGrid w:val="0"/>
                <w:color w:val="auto"/>
                <w:sz w:val="24"/>
                <w:szCs w:val="24"/>
                <w:highlight w:val="none"/>
                <w:u w:val="single"/>
                <w:lang w:eastAsia="zh-CN"/>
              </w:rPr>
              <w:t xml:space="preserve">  </w:t>
            </w:r>
            <w:r>
              <w:rPr>
                <w:rFonts w:hint="default" w:ascii="Times New Roman" w:hAnsi="Times New Roman" w:eastAsia="仿宋_GB2312" w:cs="Times New Roman"/>
                <w:snapToGrid w:val="0"/>
                <w:color w:val="auto"/>
                <w:sz w:val="24"/>
                <w:szCs w:val="24"/>
                <w:highlight w:val="none"/>
                <w:lang w:eastAsia="zh-CN"/>
              </w:rPr>
              <w:t xml:space="preserve">时前                            </w:t>
            </w:r>
          </w:p>
          <w:p w14:paraId="1EC4A4B3">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确认的方式： 采购平台对话框或电话或微信         </w:t>
            </w:r>
          </w:p>
        </w:tc>
      </w:tr>
      <w:tr w14:paraId="4E1E4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6BCA4F5C">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3.1.1(9)</w:t>
            </w:r>
          </w:p>
        </w:tc>
        <w:tc>
          <w:tcPr>
            <w:tcW w:w="3686" w:type="dxa"/>
            <w:tcMar>
              <w:top w:w="57" w:type="dxa"/>
              <w:left w:w="57" w:type="dxa"/>
              <w:bottom w:w="57" w:type="dxa"/>
              <w:right w:w="57" w:type="dxa"/>
            </w:tcMar>
            <w:vAlign w:val="center"/>
          </w:tcPr>
          <w:p w14:paraId="5204EAFC">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构成响应文件的其它资料</w:t>
            </w:r>
          </w:p>
        </w:tc>
        <w:tc>
          <w:tcPr>
            <w:tcW w:w="4536" w:type="dxa"/>
            <w:tcMar>
              <w:top w:w="57" w:type="dxa"/>
              <w:left w:w="57" w:type="dxa"/>
              <w:bottom w:w="57" w:type="dxa"/>
              <w:right w:w="57" w:type="dxa"/>
            </w:tcMar>
            <w:vAlign w:val="center"/>
          </w:tcPr>
          <w:p w14:paraId="573C77F0">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☑响应单位获奖荣誉</w:t>
            </w:r>
          </w:p>
          <w:p w14:paraId="16A63CC6">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☑响应单位公司介绍</w:t>
            </w:r>
          </w:p>
          <w:p w14:paraId="7A65368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☑响应单位承诺函</w:t>
            </w:r>
          </w:p>
          <w:p w14:paraId="1AD6C100">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☑其他说明文件</w:t>
            </w:r>
          </w:p>
        </w:tc>
      </w:tr>
      <w:tr w14:paraId="5062E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3BD0A5BD">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3.2.2</w:t>
            </w:r>
          </w:p>
        </w:tc>
        <w:tc>
          <w:tcPr>
            <w:tcW w:w="3686" w:type="dxa"/>
            <w:tcMar>
              <w:top w:w="57" w:type="dxa"/>
              <w:left w:w="57" w:type="dxa"/>
              <w:bottom w:w="57" w:type="dxa"/>
              <w:right w:w="57" w:type="dxa"/>
            </w:tcMar>
            <w:vAlign w:val="center"/>
          </w:tcPr>
          <w:p w14:paraId="7CB46E43">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采购标的数量增减幅度</w:t>
            </w:r>
          </w:p>
        </w:tc>
        <w:tc>
          <w:tcPr>
            <w:tcW w:w="4536" w:type="dxa"/>
            <w:tcMar>
              <w:top w:w="57" w:type="dxa"/>
              <w:left w:w="57" w:type="dxa"/>
              <w:bottom w:w="57" w:type="dxa"/>
              <w:right w:w="57" w:type="dxa"/>
            </w:tcMar>
            <w:vAlign w:val="center"/>
          </w:tcPr>
          <w:p w14:paraId="4A636DB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采购标的数量增减幅度：    %</w:t>
            </w:r>
          </w:p>
          <w:p w14:paraId="718ABFB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（注：数量增减幅度通常在10%以内。）</w:t>
            </w:r>
          </w:p>
        </w:tc>
      </w:tr>
      <w:tr w14:paraId="35EDE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03451ADB">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3.2.3</w:t>
            </w:r>
          </w:p>
        </w:tc>
        <w:tc>
          <w:tcPr>
            <w:tcW w:w="3686" w:type="dxa"/>
            <w:tcMar>
              <w:top w:w="57" w:type="dxa"/>
              <w:left w:w="57" w:type="dxa"/>
              <w:bottom w:w="57" w:type="dxa"/>
              <w:right w:w="57" w:type="dxa"/>
            </w:tcMar>
            <w:vAlign w:val="center"/>
          </w:tcPr>
          <w:p w14:paraId="469E6683">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最高限价或其计算方法</w:t>
            </w:r>
          </w:p>
        </w:tc>
        <w:tc>
          <w:tcPr>
            <w:tcW w:w="4536" w:type="dxa"/>
            <w:tcMar>
              <w:top w:w="57" w:type="dxa"/>
              <w:left w:w="57" w:type="dxa"/>
              <w:bottom w:w="57" w:type="dxa"/>
              <w:right w:w="57" w:type="dxa"/>
            </w:tcMar>
            <w:vAlign w:val="center"/>
          </w:tcPr>
          <w:p w14:paraId="4A872FFC">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☑有，最高限价70万元</w:t>
            </w:r>
          </w:p>
          <w:p w14:paraId="297C8140">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□有，最高限价或其计算方法：                    </w:t>
            </w:r>
          </w:p>
        </w:tc>
      </w:tr>
      <w:tr w14:paraId="09F72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39E41D2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3.2.4</w:t>
            </w:r>
          </w:p>
        </w:tc>
        <w:tc>
          <w:tcPr>
            <w:tcW w:w="3686" w:type="dxa"/>
            <w:tcMar>
              <w:top w:w="57" w:type="dxa"/>
              <w:left w:w="57" w:type="dxa"/>
              <w:bottom w:w="57" w:type="dxa"/>
              <w:right w:w="57" w:type="dxa"/>
            </w:tcMar>
            <w:vAlign w:val="center"/>
          </w:tcPr>
          <w:p w14:paraId="4D01306C">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报价的其他要求</w:t>
            </w:r>
          </w:p>
        </w:tc>
        <w:tc>
          <w:tcPr>
            <w:tcW w:w="4536" w:type="dxa"/>
            <w:shd w:val="clear" w:color="auto" w:fill="auto"/>
            <w:tcMar>
              <w:top w:w="57" w:type="dxa"/>
              <w:left w:w="57" w:type="dxa"/>
              <w:bottom w:w="57" w:type="dxa"/>
              <w:right w:w="57" w:type="dxa"/>
            </w:tcMar>
            <w:vAlign w:val="center"/>
          </w:tcPr>
          <w:p w14:paraId="24CECCFD">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 </w:t>
            </w:r>
          </w:p>
        </w:tc>
      </w:tr>
      <w:tr w14:paraId="3BECF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1AD7EA08">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3.3.1</w:t>
            </w:r>
          </w:p>
        </w:tc>
        <w:tc>
          <w:tcPr>
            <w:tcW w:w="3686" w:type="dxa"/>
            <w:tcMar>
              <w:top w:w="57" w:type="dxa"/>
              <w:left w:w="57" w:type="dxa"/>
              <w:bottom w:w="57" w:type="dxa"/>
              <w:right w:w="57" w:type="dxa"/>
            </w:tcMar>
            <w:vAlign w:val="center"/>
          </w:tcPr>
          <w:p w14:paraId="3B1EC6E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响应文件有效期</w:t>
            </w:r>
          </w:p>
        </w:tc>
        <w:tc>
          <w:tcPr>
            <w:tcW w:w="4536" w:type="dxa"/>
            <w:shd w:val="clear" w:color="auto" w:fill="auto"/>
            <w:tcMar>
              <w:top w:w="57" w:type="dxa"/>
              <w:left w:w="57" w:type="dxa"/>
              <w:bottom w:w="57" w:type="dxa"/>
              <w:right w:w="57" w:type="dxa"/>
            </w:tcMar>
            <w:vAlign w:val="center"/>
          </w:tcPr>
          <w:p w14:paraId="69AE450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提交响应文件截止期后  90 日历天  </w:t>
            </w:r>
          </w:p>
        </w:tc>
      </w:tr>
      <w:tr w14:paraId="7B22E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3E5CFCA6">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3.4.1</w:t>
            </w:r>
          </w:p>
        </w:tc>
        <w:tc>
          <w:tcPr>
            <w:tcW w:w="3686" w:type="dxa"/>
            <w:tcMar>
              <w:top w:w="57" w:type="dxa"/>
              <w:left w:w="57" w:type="dxa"/>
              <w:bottom w:w="57" w:type="dxa"/>
              <w:right w:w="57" w:type="dxa"/>
            </w:tcMar>
            <w:vAlign w:val="center"/>
          </w:tcPr>
          <w:p w14:paraId="00D6219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响应保证金</w:t>
            </w:r>
          </w:p>
        </w:tc>
        <w:tc>
          <w:tcPr>
            <w:tcW w:w="4536" w:type="dxa"/>
            <w:tcMar>
              <w:top w:w="57" w:type="dxa"/>
              <w:left w:w="57" w:type="dxa"/>
              <w:bottom w:w="57" w:type="dxa"/>
              <w:right w:w="57" w:type="dxa"/>
            </w:tcMar>
            <w:vAlign w:val="center"/>
          </w:tcPr>
          <w:p w14:paraId="1ACE19B6">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bookmarkStart w:id="55" w:name="OLE_LINK41"/>
            <w:r>
              <w:rPr>
                <w:rFonts w:hint="default" w:ascii="Times New Roman" w:hAnsi="Times New Roman" w:eastAsia="仿宋_GB2312" w:cs="Times New Roman"/>
                <w:snapToGrid w:val="0"/>
                <w:color w:val="auto"/>
                <w:sz w:val="24"/>
                <w:szCs w:val="24"/>
                <w:highlight w:val="none"/>
                <w:lang w:eastAsia="zh-CN"/>
              </w:rPr>
              <w:t>□</w:t>
            </w:r>
            <w:bookmarkEnd w:id="55"/>
            <w:r>
              <w:rPr>
                <w:rFonts w:hint="default" w:ascii="Times New Roman" w:hAnsi="Times New Roman" w:eastAsia="仿宋_GB2312" w:cs="Times New Roman"/>
                <w:snapToGrid w:val="0"/>
                <w:color w:val="auto"/>
                <w:sz w:val="24"/>
                <w:szCs w:val="24"/>
                <w:highlight w:val="none"/>
                <w:lang w:eastAsia="zh-CN"/>
              </w:rPr>
              <w:t>不要求递交</w:t>
            </w:r>
          </w:p>
          <w:p w14:paraId="269D4B9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☑要求递交</w:t>
            </w:r>
          </w:p>
          <w:p w14:paraId="2DA8984C">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保证金的金额：  </w:t>
            </w:r>
            <w:r>
              <w:rPr>
                <w:rFonts w:hint="eastAsia" w:ascii="Times New Roman" w:hAnsi="Times New Roman" w:eastAsia="仿宋_GB2312" w:cs="Times New Roman"/>
                <w:snapToGrid w:val="0"/>
                <w:color w:val="auto"/>
                <w:sz w:val="24"/>
                <w:szCs w:val="24"/>
                <w:highlight w:val="none"/>
                <w:lang w:val="en-US" w:eastAsia="zh-CN"/>
              </w:rPr>
              <w:t>5000.00</w:t>
            </w:r>
            <w:r>
              <w:rPr>
                <w:rFonts w:hint="default" w:ascii="Times New Roman" w:hAnsi="Times New Roman" w:eastAsia="仿宋_GB2312" w:cs="Times New Roman"/>
                <w:snapToGrid w:val="0"/>
                <w:color w:val="auto"/>
                <w:sz w:val="24"/>
                <w:szCs w:val="24"/>
                <w:highlight w:val="none"/>
                <w:lang w:eastAsia="zh-CN"/>
              </w:rPr>
              <w:t xml:space="preserve">元    </w:t>
            </w:r>
          </w:p>
          <w:p w14:paraId="6BA795E8">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保证金的形式：  银行转账或电子汇款形式（对公账户）    </w:t>
            </w:r>
          </w:p>
          <w:p w14:paraId="452A6ABC">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账号：24139701040011717</w:t>
            </w:r>
          </w:p>
          <w:p w14:paraId="408EA66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开户行：中国农业银行股份有限公司梁河县支行</w:t>
            </w:r>
          </w:p>
          <w:p w14:paraId="5796BE3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交款方式：电汇（交款时注明“</w:t>
            </w:r>
            <w:r>
              <w:rPr>
                <w:rFonts w:hint="default" w:ascii="Times New Roman" w:hAnsi="Times New Roman" w:eastAsia="仿宋_GB2312" w:cs="Times New Roman"/>
                <w:snapToGrid w:val="0"/>
                <w:color w:val="auto"/>
                <w:sz w:val="24"/>
                <w:szCs w:val="24"/>
                <w:highlight w:val="none"/>
                <w:lang w:val="en-US" w:eastAsia="zh-CN"/>
              </w:rPr>
              <w:t>中粮梁河糖业公司设备购置及土建项目-</w:t>
            </w:r>
            <w:r>
              <w:rPr>
                <w:rFonts w:hint="default" w:ascii="Times New Roman" w:hAnsi="Times New Roman" w:eastAsia="仿宋_GB2312" w:cs="Times New Roman"/>
                <w:snapToGrid w:val="0"/>
                <w:color w:val="auto"/>
                <w:sz w:val="24"/>
                <w:szCs w:val="24"/>
                <w:highlight w:val="none"/>
                <w:lang w:eastAsia="zh-CN"/>
              </w:rPr>
              <w:t>梁河糖业2024年勐养动力车间35t/h锅炉修理项目”字样）</w:t>
            </w:r>
          </w:p>
          <w:p w14:paraId="1C67399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缴款期限：2024年   </w:t>
            </w:r>
            <w:r>
              <w:rPr>
                <w:rFonts w:hint="eastAsia" w:ascii="Times New Roman" w:hAnsi="Times New Roman" w:eastAsia="仿宋_GB2312" w:cs="Times New Roman"/>
                <w:snapToGrid w:val="0"/>
                <w:color w:val="auto"/>
                <w:sz w:val="24"/>
                <w:szCs w:val="24"/>
                <w:highlight w:val="none"/>
                <w:lang w:val="en-US" w:eastAsia="zh-CN"/>
              </w:rPr>
              <w:t>7</w:t>
            </w:r>
            <w:r>
              <w:rPr>
                <w:rFonts w:hint="default" w:ascii="Times New Roman" w:hAnsi="Times New Roman" w:eastAsia="仿宋_GB2312" w:cs="Times New Roman"/>
                <w:snapToGrid w:val="0"/>
                <w:color w:val="auto"/>
                <w:sz w:val="24"/>
                <w:szCs w:val="24"/>
                <w:highlight w:val="none"/>
                <w:lang w:eastAsia="zh-CN"/>
              </w:rPr>
              <w:t xml:space="preserve"> 月 </w:t>
            </w:r>
            <w:r>
              <w:rPr>
                <w:rFonts w:hint="eastAsia" w:ascii="Times New Roman" w:hAnsi="Times New Roman" w:eastAsia="仿宋_GB2312" w:cs="Times New Roman"/>
                <w:snapToGrid w:val="0"/>
                <w:color w:val="auto"/>
                <w:sz w:val="24"/>
                <w:szCs w:val="24"/>
                <w:highlight w:val="none"/>
                <w:lang w:val="en-US" w:eastAsia="zh-CN"/>
              </w:rPr>
              <w:t>22</w:t>
            </w:r>
            <w:r>
              <w:rPr>
                <w:rFonts w:hint="default" w:ascii="Times New Roman" w:hAnsi="Times New Roman" w:eastAsia="仿宋_GB2312" w:cs="Times New Roman"/>
                <w:snapToGrid w:val="0"/>
                <w:color w:val="auto"/>
                <w:sz w:val="24"/>
                <w:szCs w:val="24"/>
                <w:highlight w:val="none"/>
                <w:lang w:eastAsia="zh-CN"/>
              </w:rPr>
              <w:t xml:space="preserve">     日10:00前</w:t>
            </w:r>
          </w:p>
          <w:p w14:paraId="06277013">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收款账户名称：中粮梁河糖业有限公司</w:t>
            </w:r>
          </w:p>
          <w:p w14:paraId="6E691D4C">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 </w:t>
            </w:r>
          </w:p>
        </w:tc>
      </w:tr>
      <w:tr w14:paraId="320F9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40D175D4">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3.4.2</w:t>
            </w:r>
          </w:p>
        </w:tc>
        <w:tc>
          <w:tcPr>
            <w:tcW w:w="3686" w:type="dxa"/>
            <w:tcMar>
              <w:top w:w="57" w:type="dxa"/>
              <w:left w:w="57" w:type="dxa"/>
              <w:bottom w:w="57" w:type="dxa"/>
              <w:right w:w="57" w:type="dxa"/>
            </w:tcMar>
            <w:vAlign w:val="center"/>
          </w:tcPr>
          <w:p w14:paraId="2E03F1FF">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退还响应保证金的时间</w:t>
            </w:r>
          </w:p>
        </w:tc>
        <w:tc>
          <w:tcPr>
            <w:tcW w:w="4536" w:type="dxa"/>
            <w:tcMar>
              <w:top w:w="57" w:type="dxa"/>
              <w:left w:w="57" w:type="dxa"/>
              <w:bottom w:w="57" w:type="dxa"/>
              <w:right w:w="57" w:type="dxa"/>
            </w:tcMar>
            <w:vAlign w:val="center"/>
          </w:tcPr>
          <w:p w14:paraId="7A271CB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未成交供应商的响应保证金于成交通知书发出后30日历天内退还；成交供应商的响应保证金于生产工艺设备合同签订后30日历天内退还。</w:t>
            </w:r>
          </w:p>
        </w:tc>
      </w:tr>
      <w:tr w14:paraId="63EE6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4AD1559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3.4.3(3)</w:t>
            </w:r>
          </w:p>
        </w:tc>
        <w:tc>
          <w:tcPr>
            <w:tcW w:w="3686" w:type="dxa"/>
            <w:tcMar>
              <w:top w:w="57" w:type="dxa"/>
              <w:left w:w="57" w:type="dxa"/>
              <w:bottom w:w="57" w:type="dxa"/>
              <w:right w:w="57" w:type="dxa"/>
            </w:tcMar>
            <w:vAlign w:val="center"/>
          </w:tcPr>
          <w:p w14:paraId="0136BFE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不退还响应保证金的其他情形</w:t>
            </w:r>
          </w:p>
        </w:tc>
        <w:tc>
          <w:tcPr>
            <w:tcW w:w="4536" w:type="dxa"/>
            <w:tcMar>
              <w:top w:w="57" w:type="dxa"/>
              <w:left w:w="57" w:type="dxa"/>
              <w:bottom w:w="57" w:type="dxa"/>
              <w:right w:w="57" w:type="dxa"/>
            </w:tcMar>
            <w:vAlign w:val="center"/>
          </w:tcPr>
          <w:p w14:paraId="14B11ACF">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☑开启响应文件后在响应有效期内，供应商撤回其响应文件；</w:t>
            </w:r>
          </w:p>
          <w:p w14:paraId="3E488B66">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☑提供虚假材料谋取中标、成交的；</w:t>
            </w:r>
          </w:p>
          <w:p w14:paraId="2332396A">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☑成交供应商未按本竞争性磋商文件规定签约；</w:t>
            </w:r>
          </w:p>
          <w:p w14:paraId="5F9FBAEB">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☑在响应本次采购中存在围标串标等违法违规行为的。</w:t>
            </w:r>
          </w:p>
        </w:tc>
      </w:tr>
      <w:tr w14:paraId="282D8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6236318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3.5(1)</w:t>
            </w:r>
          </w:p>
        </w:tc>
        <w:tc>
          <w:tcPr>
            <w:tcW w:w="3686" w:type="dxa"/>
            <w:tcMar>
              <w:top w:w="57" w:type="dxa"/>
              <w:left w:w="57" w:type="dxa"/>
              <w:bottom w:w="57" w:type="dxa"/>
              <w:right w:w="57" w:type="dxa"/>
            </w:tcMar>
            <w:vAlign w:val="center"/>
          </w:tcPr>
          <w:p w14:paraId="03BAEB83">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依法设立的证明材料</w:t>
            </w:r>
          </w:p>
        </w:tc>
        <w:tc>
          <w:tcPr>
            <w:tcW w:w="4536" w:type="dxa"/>
            <w:tcMar>
              <w:top w:w="57" w:type="dxa"/>
              <w:left w:w="57" w:type="dxa"/>
              <w:bottom w:w="57" w:type="dxa"/>
              <w:right w:w="57" w:type="dxa"/>
            </w:tcMar>
            <w:vAlign w:val="center"/>
          </w:tcPr>
          <w:p w14:paraId="0EDAA82F">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供应商应提供市场监管部门或其他行政机关颁发的可以合法开展业务的执照或证书复印件</w:t>
            </w:r>
          </w:p>
        </w:tc>
      </w:tr>
      <w:tr w14:paraId="1E4B4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618C1F78">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3.5(2)</w:t>
            </w:r>
          </w:p>
        </w:tc>
        <w:tc>
          <w:tcPr>
            <w:tcW w:w="3686" w:type="dxa"/>
            <w:tcMar>
              <w:top w:w="57" w:type="dxa"/>
              <w:left w:w="57" w:type="dxa"/>
              <w:bottom w:w="57" w:type="dxa"/>
              <w:right w:w="57" w:type="dxa"/>
            </w:tcMar>
            <w:vAlign w:val="center"/>
          </w:tcPr>
          <w:p w14:paraId="623F1884">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资质要求证明材料</w:t>
            </w:r>
          </w:p>
        </w:tc>
        <w:tc>
          <w:tcPr>
            <w:tcW w:w="4536" w:type="dxa"/>
            <w:tcMar>
              <w:top w:w="57" w:type="dxa"/>
              <w:left w:w="57" w:type="dxa"/>
              <w:bottom w:w="57" w:type="dxa"/>
              <w:right w:w="57" w:type="dxa"/>
            </w:tcMar>
            <w:vAlign w:val="center"/>
          </w:tcPr>
          <w:p w14:paraId="4AB2AFCB">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□不适用</w:t>
            </w:r>
          </w:p>
          <w:p w14:paraId="2F7C831B">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eastAsia" w:ascii="Times New Roman" w:hAnsi="Times New Roman" w:eastAsia="仿宋_GB2312" w:cs="Times New Roman"/>
                <w:snapToGrid w:val="0"/>
                <w:color w:val="auto"/>
                <w:sz w:val="24"/>
                <w:szCs w:val="24"/>
                <w:highlight w:val="none"/>
                <w:lang w:eastAsia="zh-CN"/>
              </w:rPr>
              <w:t>☑</w:t>
            </w:r>
            <w:r>
              <w:rPr>
                <w:rFonts w:hint="default" w:ascii="Times New Roman" w:hAnsi="Times New Roman" w:eastAsia="仿宋_GB2312" w:cs="Times New Roman"/>
                <w:snapToGrid w:val="0"/>
                <w:color w:val="auto"/>
                <w:sz w:val="24"/>
                <w:szCs w:val="24"/>
                <w:highlight w:val="none"/>
                <w:lang w:eastAsia="zh-CN"/>
              </w:rPr>
              <w:t>适用。供应商应提供相关资质证书副本的复印件,以证明供应商具有承担本项目要求的资质</w:t>
            </w:r>
          </w:p>
          <w:p w14:paraId="02844934">
            <w:pPr>
              <w:widowControl w:val="0"/>
              <w:autoSpaceDE w:val="0"/>
              <w:autoSpaceDN w:val="0"/>
              <w:adjustRightInd w:val="0"/>
              <w:snapToGrid w:val="0"/>
              <w:spacing w:after="0" w:line="276" w:lineRule="auto"/>
              <w:jc w:val="both"/>
              <w:rPr>
                <w:rFonts w:hint="eastAsia" w:ascii="Times New Roman" w:hAnsi="Times New Roman" w:eastAsia="仿宋_GB2312" w:cs="Times New Roman"/>
                <w:snapToGrid w:val="0"/>
                <w:color w:val="auto"/>
                <w:sz w:val="24"/>
                <w:szCs w:val="24"/>
                <w:highlight w:val="none"/>
                <w:lang w:val="en-US" w:eastAsia="zh-CN"/>
              </w:rPr>
            </w:pPr>
            <w:r>
              <w:rPr>
                <w:rFonts w:hint="default" w:ascii="Times New Roman" w:hAnsi="Times New Roman" w:eastAsia="仿宋_GB2312" w:cs="Times New Roman"/>
                <w:snapToGrid w:val="0"/>
                <w:color w:val="auto"/>
                <w:sz w:val="24"/>
                <w:szCs w:val="24"/>
                <w:highlight w:val="none"/>
                <w:lang w:eastAsia="zh-CN"/>
              </w:rPr>
              <w:t>资质证书包括：</w:t>
            </w:r>
            <w:r>
              <w:rPr>
                <w:rFonts w:hint="eastAsia" w:ascii="Times New Roman" w:hAnsi="Times New Roman" w:eastAsia="仿宋_GB2312" w:cs="Times New Roman"/>
                <w:snapToGrid w:val="0"/>
                <w:color w:val="auto"/>
                <w:sz w:val="24"/>
                <w:szCs w:val="24"/>
                <w:highlight w:val="none"/>
                <w:lang w:val="en-US" w:eastAsia="zh-CN"/>
              </w:rPr>
              <w:t>营业执照、</w:t>
            </w:r>
            <w:r>
              <w:rPr>
                <w:rFonts w:hint="default" w:ascii="Times New Roman" w:hAnsi="Times New Roman" w:eastAsia="仿宋_GB2312" w:cs="Times New Roman"/>
                <w:snapToGrid w:val="0"/>
                <w:color w:val="auto"/>
                <w:sz w:val="24"/>
                <w:szCs w:val="24"/>
                <w:highlight w:val="none"/>
                <w:lang w:eastAsia="zh-CN"/>
              </w:rPr>
              <w:t xml:space="preserve"> </w:t>
            </w:r>
            <w:r>
              <w:rPr>
                <w:rFonts w:hint="eastAsia" w:ascii="Times New Roman" w:hAnsi="Times New Roman" w:eastAsia="仿宋_GB2312" w:cs="Times New Roman"/>
                <w:snapToGrid w:val="0"/>
                <w:color w:val="auto"/>
                <w:sz w:val="24"/>
                <w:szCs w:val="24"/>
                <w:highlight w:val="none"/>
                <w:lang w:val="en-US" w:eastAsia="zh-CN"/>
              </w:rPr>
              <w:t xml:space="preserve">特种设备（锅炉）安装、改造、维修许可证(A级)等  。                </w:t>
            </w:r>
          </w:p>
          <w:p w14:paraId="68E4ABDF">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（注：此处应填写资质证书的名称、等级、专业、颁发机构等内容。）</w:t>
            </w:r>
          </w:p>
        </w:tc>
      </w:tr>
      <w:tr w14:paraId="4D271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2B3779D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3.5(3)</w:t>
            </w:r>
          </w:p>
        </w:tc>
        <w:tc>
          <w:tcPr>
            <w:tcW w:w="3686" w:type="dxa"/>
            <w:tcMar>
              <w:top w:w="57" w:type="dxa"/>
              <w:left w:w="57" w:type="dxa"/>
              <w:bottom w:w="57" w:type="dxa"/>
              <w:right w:w="57" w:type="dxa"/>
            </w:tcMar>
            <w:vAlign w:val="center"/>
          </w:tcPr>
          <w:p w14:paraId="2495D965">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财务要求证明材料</w:t>
            </w:r>
          </w:p>
        </w:tc>
        <w:tc>
          <w:tcPr>
            <w:tcW w:w="4536" w:type="dxa"/>
            <w:tcMar>
              <w:top w:w="57" w:type="dxa"/>
              <w:left w:w="57" w:type="dxa"/>
              <w:bottom w:w="57" w:type="dxa"/>
              <w:right w:w="57" w:type="dxa"/>
            </w:tcMar>
            <w:vAlign w:val="center"/>
          </w:tcPr>
          <w:p w14:paraId="7D6E3A3B">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□不适用</w:t>
            </w:r>
          </w:p>
          <w:p w14:paraId="58D530D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eastAsia" w:ascii="Times New Roman" w:hAnsi="Times New Roman" w:eastAsia="仿宋_GB2312" w:cs="Times New Roman"/>
                <w:snapToGrid w:val="0"/>
                <w:color w:val="auto"/>
                <w:sz w:val="24"/>
                <w:szCs w:val="24"/>
                <w:highlight w:val="none"/>
                <w:lang w:eastAsia="zh-CN"/>
              </w:rPr>
              <w:t>□</w:t>
            </w:r>
            <w:r>
              <w:rPr>
                <w:rFonts w:hint="default" w:ascii="Times New Roman" w:hAnsi="Times New Roman" w:eastAsia="仿宋_GB2312" w:cs="Times New Roman"/>
                <w:snapToGrid w:val="0"/>
                <w:color w:val="auto"/>
                <w:sz w:val="24"/>
                <w:szCs w:val="24"/>
                <w:highlight w:val="none"/>
                <w:lang w:eastAsia="zh-CN"/>
              </w:rPr>
              <w:t>适用。供应商应提供经会计师事务所或审计机构审计的近二年财务会计报表复印件，包括资产负债表、现金流量表、利润表等。近年财务会计报表年份是指：  2022  至  2023  年（供应商的成立时间少于该规定年份的，应提供成立以来的财务会计报表）</w:t>
            </w:r>
          </w:p>
          <w:p w14:paraId="48DF7956">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☑适用。供应商应提供近二年财务会计报表复印件，包括资产负债表、利润表。近年财务会计报表年份是指：  2022  至  2023  年（供应商的成立时间少于该规定年份的，应提供成立以来的财务会计报表）</w:t>
            </w:r>
          </w:p>
          <w:p w14:paraId="3C7139A0">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（注：有财务要求的，应选择两种财务会计报表中的一种作为财务证明资料。）</w:t>
            </w:r>
          </w:p>
        </w:tc>
      </w:tr>
      <w:tr w14:paraId="2D995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7B834B7F">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3.5(4)</w:t>
            </w:r>
          </w:p>
        </w:tc>
        <w:tc>
          <w:tcPr>
            <w:tcW w:w="3686" w:type="dxa"/>
            <w:tcMar>
              <w:top w:w="57" w:type="dxa"/>
              <w:left w:w="57" w:type="dxa"/>
              <w:bottom w:w="57" w:type="dxa"/>
              <w:right w:w="57" w:type="dxa"/>
            </w:tcMar>
            <w:vAlign w:val="center"/>
          </w:tcPr>
          <w:p w14:paraId="430D38CD">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业绩要求证明材料</w:t>
            </w:r>
          </w:p>
        </w:tc>
        <w:tc>
          <w:tcPr>
            <w:tcW w:w="4536" w:type="dxa"/>
            <w:tcMar>
              <w:top w:w="57" w:type="dxa"/>
              <w:left w:w="57" w:type="dxa"/>
              <w:bottom w:w="57" w:type="dxa"/>
              <w:right w:w="57" w:type="dxa"/>
            </w:tcMar>
            <w:vAlign w:val="center"/>
          </w:tcPr>
          <w:p w14:paraId="51476F7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□不适用</w:t>
            </w:r>
          </w:p>
          <w:p w14:paraId="2F9D5CA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☑适用。供应商应提供近年的类似项目情况表</w:t>
            </w:r>
          </w:p>
          <w:p w14:paraId="69FBEEB6">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（格式见第六章“响应文件格式”七、资格审查资料（三）近年的类似项目情况表），以证明供应商具有承担本项目要求的业绩。近年是指： 2019 .</w:t>
            </w:r>
            <w:r>
              <w:rPr>
                <w:rFonts w:hint="eastAsia" w:ascii="Times New Roman" w:hAnsi="Times New Roman" w:eastAsia="仿宋_GB2312" w:cs="Times New Roman"/>
                <w:snapToGrid w:val="0"/>
                <w:color w:val="auto"/>
                <w:sz w:val="24"/>
                <w:szCs w:val="24"/>
                <w:highlight w:val="none"/>
                <w:lang w:val="en-US" w:eastAsia="zh-CN"/>
              </w:rPr>
              <w:t>6</w:t>
            </w:r>
            <w:r>
              <w:rPr>
                <w:rFonts w:hint="default" w:ascii="Times New Roman" w:hAnsi="Times New Roman" w:eastAsia="仿宋_GB2312" w:cs="Times New Roman"/>
                <w:snapToGrid w:val="0"/>
                <w:color w:val="auto"/>
                <w:sz w:val="24"/>
                <w:szCs w:val="24"/>
                <w:highlight w:val="none"/>
                <w:lang w:eastAsia="zh-CN"/>
              </w:rPr>
              <w:t>.1  至今</w:t>
            </w:r>
          </w:p>
          <w:p w14:paraId="1E6C61B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2C9BEDAD">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业绩证明材料：</w:t>
            </w:r>
          </w:p>
          <w:p w14:paraId="408B28B6">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☑合同/订单</w:t>
            </w:r>
          </w:p>
          <w:p w14:paraId="125DB6AA">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☑中标通知书/成交通知书  竣工验收报告/验收证明</w:t>
            </w:r>
          </w:p>
          <w:p w14:paraId="7906B2F3">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□采购单位证明</w:t>
            </w:r>
          </w:p>
          <w:p w14:paraId="49B46CB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eastAsia" w:ascii="Times New Roman" w:hAnsi="Times New Roman" w:eastAsia="仿宋_GB2312" w:cs="Times New Roman"/>
                <w:snapToGrid w:val="0"/>
                <w:color w:val="auto"/>
                <w:sz w:val="24"/>
                <w:szCs w:val="24"/>
                <w:highlight w:val="none"/>
                <w:lang w:eastAsia="zh-CN"/>
              </w:rPr>
              <w:t>☑</w:t>
            </w:r>
            <w:r>
              <w:rPr>
                <w:rFonts w:hint="default" w:ascii="Times New Roman" w:hAnsi="Times New Roman" w:eastAsia="仿宋_GB2312" w:cs="Times New Roman"/>
                <w:snapToGrid w:val="0"/>
                <w:color w:val="auto"/>
                <w:sz w:val="24"/>
                <w:szCs w:val="24"/>
                <w:highlight w:val="none"/>
                <w:lang w:eastAsia="zh-CN"/>
              </w:rPr>
              <w:t xml:space="preserve">其他材料：                   </w:t>
            </w:r>
          </w:p>
          <w:p w14:paraId="30D2537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67367236">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业绩证明材料种类要求：</w:t>
            </w:r>
          </w:p>
          <w:p w14:paraId="1A7FC72F">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☑提供上述勾选的任一项证明材料即可</w:t>
            </w:r>
          </w:p>
          <w:p w14:paraId="476AB980">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□需同时提供上述勾选的所有证明材料</w:t>
            </w:r>
          </w:p>
          <w:p w14:paraId="684AAE9F">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□其他要求：                      </w:t>
            </w:r>
          </w:p>
        </w:tc>
      </w:tr>
      <w:tr w14:paraId="19397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35E1A7D8">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3.5(5)</w:t>
            </w:r>
          </w:p>
        </w:tc>
        <w:tc>
          <w:tcPr>
            <w:tcW w:w="3686" w:type="dxa"/>
            <w:tcMar>
              <w:top w:w="57" w:type="dxa"/>
              <w:left w:w="57" w:type="dxa"/>
              <w:bottom w:w="57" w:type="dxa"/>
              <w:right w:w="57" w:type="dxa"/>
            </w:tcMar>
            <w:vAlign w:val="center"/>
          </w:tcPr>
          <w:p w14:paraId="2BC9755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信誉要求证明材料</w:t>
            </w:r>
          </w:p>
        </w:tc>
        <w:tc>
          <w:tcPr>
            <w:tcW w:w="4536" w:type="dxa"/>
            <w:tcMar>
              <w:top w:w="57" w:type="dxa"/>
              <w:left w:w="57" w:type="dxa"/>
              <w:bottom w:w="57" w:type="dxa"/>
              <w:right w:w="57" w:type="dxa"/>
            </w:tcMar>
            <w:vAlign w:val="center"/>
          </w:tcPr>
          <w:p w14:paraId="34924E0D">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□不适用</w:t>
            </w:r>
          </w:p>
          <w:p w14:paraId="4932D73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eastAsia" w:ascii="Times New Roman" w:hAnsi="Times New Roman" w:eastAsia="仿宋_GB2312" w:cs="Times New Roman"/>
                <w:snapToGrid w:val="0"/>
                <w:color w:val="auto"/>
                <w:sz w:val="24"/>
                <w:szCs w:val="24"/>
                <w:highlight w:val="none"/>
                <w:lang w:eastAsia="zh-CN"/>
              </w:rPr>
              <w:t>☑</w:t>
            </w:r>
            <w:r>
              <w:rPr>
                <w:rFonts w:hint="default" w:ascii="Times New Roman" w:hAnsi="Times New Roman" w:eastAsia="仿宋_GB2312" w:cs="Times New Roman"/>
                <w:snapToGrid w:val="0"/>
                <w:color w:val="auto"/>
                <w:sz w:val="24"/>
                <w:szCs w:val="24"/>
                <w:highlight w:val="none"/>
                <w:lang w:eastAsia="zh-CN"/>
              </w:rPr>
              <w:t xml:space="preserve">适用。供应商应提供相关信誉情况的证明材料，包括： </w:t>
            </w:r>
            <w:r>
              <w:rPr>
                <w:rFonts w:hint="eastAsia" w:ascii="Times New Roman" w:hAnsi="Times New Roman" w:eastAsia="仿宋_GB2312" w:cs="Times New Roman"/>
                <w:snapToGrid w:val="0"/>
                <w:color w:val="auto"/>
                <w:sz w:val="24"/>
                <w:szCs w:val="24"/>
                <w:highlight w:val="none"/>
                <w:lang w:val="en-US" w:eastAsia="zh-CN"/>
              </w:rPr>
              <w:t>使用</w:t>
            </w:r>
            <w:r>
              <w:rPr>
                <w:rFonts w:hint="default" w:ascii="Times New Roman" w:hAnsi="Times New Roman" w:eastAsia="仿宋_GB2312" w:cs="Times New Roman"/>
                <w:snapToGrid w:val="0"/>
                <w:color w:val="auto"/>
                <w:sz w:val="24"/>
                <w:szCs w:val="24"/>
                <w:highlight w:val="none"/>
                <w:lang w:eastAsia="zh-CN"/>
              </w:rPr>
              <w:t xml:space="preserve"> </w:t>
            </w:r>
            <w:r>
              <w:rPr>
                <w:rFonts w:hint="eastAsia" w:ascii="Times New Roman" w:hAnsi="Times New Roman" w:eastAsia="仿宋_GB2312" w:cs="Times New Roman"/>
                <w:snapToGrid w:val="0"/>
                <w:color w:val="auto"/>
                <w:sz w:val="24"/>
                <w:szCs w:val="24"/>
                <w:highlight w:val="none"/>
                <w:lang w:eastAsia="zh-CN"/>
              </w:rPr>
              <w:t>“</w:t>
            </w:r>
            <w:r>
              <w:rPr>
                <w:rFonts w:hint="eastAsia" w:ascii="Times New Roman" w:hAnsi="Times New Roman" w:eastAsia="仿宋_GB2312" w:cs="Times New Roman"/>
                <w:snapToGrid w:val="0"/>
                <w:color w:val="auto"/>
                <w:sz w:val="24"/>
                <w:szCs w:val="24"/>
                <w:highlight w:val="none"/>
                <w:lang w:val="en-US" w:eastAsia="zh-CN"/>
              </w:rPr>
              <w:t>天眼查</w:t>
            </w:r>
            <w:r>
              <w:rPr>
                <w:rFonts w:hint="eastAsia" w:ascii="Times New Roman" w:hAnsi="Times New Roman" w:eastAsia="仿宋_GB2312" w:cs="Times New Roman"/>
                <w:snapToGrid w:val="0"/>
                <w:color w:val="auto"/>
                <w:sz w:val="24"/>
                <w:szCs w:val="24"/>
                <w:highlight w:val="none"/>
                <w:lang w:eastAsia="zh-CN"/>
              </w:rPr>
              <w:t>”、“</w:t>
            </w:r>
            <w:r>
              <w:rPr>
                <w:rFonts w:hint="eastAsia" w:ascii="Times New Roman" w:hAnsi="Times New Roman" w:eastAsia="仿宋_GB2312" w:cs="Times New Roman"/>
                <w:snapToGrid w:val="0"/>
                <w:color w:val="auto"/>
                <w:sz w:val="24"/>
                <w:szCs w:val="24"/>
                <w:highlight w:val="none"/>
                <w:lang w:val="en-US" w:eastAsia="zh-CN"/>
              </w:rPr>
              <w:t>信用中国</w:t>
            </w:r>
            <w:r>
              <w:rPr>
                <w:rFonts w:hint="eastAsia" w:ascii="Times New Roman" w:hAnsi="Times New Roman" w:eastAsia="仿宋_GB2312" w:cs="Times New Roman"/>
                <w:snapToGrid w:val="0"/>
                <w:color w:val="auto"/>
                <w:sz w:val="24"/>
                <w:szCs w:val="24"/>
                <w:highlight w:val="none"/>
                <w:lang w:eastAsia="zh-CN"/>
              </w:rPr>
              <w:t>”、“</w:t>
            </w:r>
            <w:r>
              <w:rPr>
                <w:rFonts w:hint="eastAsia" w:ascii="Times New Roman" w:hAnsi="Times New Roman" w:eastAsia="仿宋_GB2312" w:cs="Times New Roman"/>
                <w:snapToGrid w:val="0"/>
                <w:color w:val="auto"/>
                <w:sz w:val="24"/>
                <w:szCs w:val="24"/>
                <w:highlight w:val="none"/>
                <w:lang w:val="en-US" w:eastAsia="zh-CN"/>
              </w:rPr>
              <w:t>政府采购网</w:t>
            </w:r>
            <w:r>
              <w:rPr>
                <w:rFonts w:hint="eastAsia" w:ascii="Times New Roman" w:hAnsi="Times New Roman" w:eastAsia="仿宋_GB2312" w:cs="Times New Roman"/>
                <w:snapToGrid w:val="0"/>
                <w:color w:val="auto"/>
                <w:sz w:val="24"/>
                <w:szCs w:val="24"/>
                <w:highlight w:val="none"/>
                <w:lang w:eastAsia="zh-CN"/>
              </w:rPr>
              <w:t>”</w:t>
            </w:r>
            <w:r>
              <w:rPr>
                <w:rFonts w:hint="eastAsia" w:ascii="Times New Roman" w:hAnsi="Times New Roman" w:eastAsia="仿宋_GB2312" w:cs="Times New Roman"/>
                <w:snapToGrid w:val="0"/>
                <w:color w:val="auto"/>
                <w:sz w:val="24"/>
                <w:szCs w:val="24"/>
                <w:highlight w:val="none"/>
                <w:lang w:val="en-US" w:eastAsia="zh-CN"/>
              </w:rPr>
              <w:t>等网站查询，无相关失信记录的证明材料</w:t>
            </w:r>
            <w:r>
              <w:rPr>
                <w:rFonts w:hint="default" w:ascii="Times New Roman" w:hAnsi="Times New Roman" w:eastAsia="仿宋_GB2312" w:cs="Times New Roman"/>
                <w:snapToGrid w:val="0"/>
                <w:color w:val="auto"/>
                <w:sz w:val="24"/>
                <w:szCs w:val="24"/>
                <w:highlight w:val="none"/>
                <w:lang w:eastAsia="zh-CN"/>
              </w:rPr>
              <w:t xml:space="preserve">   </w:t>
            </w:r>
          </w:p>
        </w:tc>
      </w:tr>
      <w:tr w14:paraId="73EC3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1497C5F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3.5(6)</w:t>
            </w:r>
          </w:p>
        </w:tc>
        <w:tc>
          <w:tcPr>
            <w:tcW w:w="3686" w:type="dxa"/>
            <w:tcMar>
              <w:top w:w="57" w:type="dxa"/>
              <w:left w:w="57" w:type="dxa"/>
              <w:bottom w:w="57" w:type="dxa"/>
              <w:right w:w="57" w:type="dxa"/>
            </w:tcMar>
            <w:vAlign w:val="center"/>
          </w:tcPr>
          <w:p w14:paraId="6BAE29E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承担本项目的主要人员要求证明材料</w:t>
            </w:r>
          </w:p>
        </w:tc>
        <w:tc>
          <w:tcPr>
            <w:tcW w:w="4536" w:type="dxa"/>
            <w:tcMar>
              <w:top w:w="57" w:type="dxa"/>
              <w:left w:w="57" w:type="dxa"/>
              <w:bottom w:w="57" w:type="dxa"/>
              <w:right w:w="57" w:type="dxa"/>
            </w:tcMar>
            <w:vAlign w:val="center"/>
          </w:tcPr>
          <w:p w14:paraId="5D9BFFC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□不适用</w:t>
            </w:r>
          </w:p>
          <w:p w14:paraId="0BE2A35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适用。供应商应提供拟委任的主要人员汇总表和主要人员简历表（格式见第六章“响应文件格式”七、资格审查资料（四）拟委任的主要人员汇总表和（五）主要人员简历表）。供应商应填报满足第一章“谈判采购公告/谈判采购邀请书”规定的项目负责人和其他主要人员的相关信息，并按如下要求提供相关证明文件：   </w:t>
            </w:r>
            <w:r>
              <w:rPr>
                <w:rFonts w:hint="eastAsia" w:ascii="Times New Roman" w:hAnsi="Times New Roman" w:eastAsia="仿宋_GB2312" w:cs="Times New Roman"/>
                <w:snapToGrid w:val="0"/>
                <w:color w:val="auto"/>
                <w:sz w:val="24"/>
                <w:szCs w:val="24"/>
                <w:highlight w:val="none"/>
                <w:lang w:val="en-US" w:eastAsia="zh-CN"/>
              </w:rPr>
              <w:t>如社保缴纳证明等并加盖公章</w:t>
            </w:r>
            <w:r>
              <w:rPr>
                <w:rFonts w:hint="default" w:ascii="Times New Roman" w:hAnsi="Times New Roman" w:eastAsia="仿宋_GB2312" w:cs="Times New Roman"/>
                <w:snapToGrid w:val="0"/>
                <w:color w:val="auto"/>
                <w:sz w:val="24"/>
                <w:szCs w:val="24"/>
                <w:highlight w:val="none"/>
                <w:lang w:eastAsia="zh-CN"/>
              </w:rPr>
              <w:t xml:space="preserve">    </w:t>
            </w:r>
          </w:p>
        </w:tc>
      </w:tr>
      <w:tr w14:paraId="29DE5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4A8EFCC5">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3.5(7)</w:t>
            </w:r>
          </w:p>
        </w:tc>
        <w:tc>
          <w:tcPr>
            <w:tcW w:w="3686" w:type="dxa"/>
            <w:tcMar>
              <w:top w:w="57" w:type="dxa"/>
              <w:left w:w="57" w:type="dxa"/>
              <w:bottom w:w="57" w:type="dxa"/>
              <w:right w:w="57" w:type="dxa"/>
            </w:tcMar>
            <w:vAlign w:val="center"/>
          </w:tcPr>
          <w:p w14:paraId="6A5E41A8">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其他要求的证明材料</w:t>
            </w:r>
          </w:p>
        </w:tc>
        <w:tc>
          <w:tcPr>
            <w:tcW w:w="4536" w:type="dxa"/>
            <w:tcMar>
              <w:top w:w="57" w:type="dxa"/>
              <w:left w:w="57" w:type="dxa"/>
              <w:bottom w:w="57" w:type="dxa"/>
              <w:right w:w="57" w:type="dxa"/>
            </w:tcMar>
            <w:vAlign w:val="center"/>
          </w:tcPr>
          <w:p w14:paraId="556549BA">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tc>
      </w:tr>
      <w:tr w14:paraId="14AF8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45ED05D3">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3.5(8)</w:t>
            </w:r>
          </w:p>
        </w:tc>
        <w:tc>
          <w:tcPr>
            <w:tcW w:w="3686" w:type="dxa"/>
            <w:tcMar>
              <w:top w:w="57" w:type="dxa"/>
              <w:left w:w="57" w:type="dxa"/>
              <w:bottom w:w="57" w:type="dxa"/>
              <w:right w:w="57" w:type="dxa"/>
            </w:tcMar>
            <w:vAlign w:val="center"/>
          </w:tcPr>
          <w:p w14:paraId="2A8C94A0">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供应商不存在第一章3.2款情形的证明材料</w:t>
            </w:r>
          </w:p>
        </w:tc>
        <w:tc>
          <w:tcPr>
            <w:tcW w:w="4536" w:type="dxa"/>
            <w:tcMar>
              <w:top w:w="57" w:type="dxa"/>
              <w:left w:w="57" w:type="dxa"/>
              <w:bottom w:w="57" w:type="dxa"/>
              <w:right w:w="57" w:type="dxa"/>
            </w:tcMar>
            <w:vAlign w:val="center"/>
          </w:tcPr>
          <w:p w14:paraId="4DB727ED">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□不需提供证明材料</w:t>
            </w:r>
          </w:p>
          <w:p w14:paraId="430EDBCF">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□不需提供证明材料</w:t>
            </w:r>
          </w:p>
          <w:p w14:paraId="19D56ABB">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☑需要提供证明材料，包括：第一章3.2款</w:t>
            </w:r>
            <w:r>
              <w:rPr>
                <w:rFonts w:hint="eastAsia" w:ascii="Times New Roman" w:hAnsi="Times New Roman" w:eastAsia="仿宋_GB2312" w:cs="Times New Roman"/>
                <w:snapToGrid w:val="0"/>
                <w:color w:val="auto"/>
                <w:sz w:val="24"/>
                <w:szCs w:val="24"/>
                <w:highlight w:val="none"/>
                <w:lang w:val="en-US" w:eastAsia="zh-CN"/>
              </w:rPr>
              <w:t>要求的材料，</w:t>
            </w:r>
            <w:r>
              <w:rPr>
                <w:rFonts w:hint="default" w:ascii="Times New Roman" w:hAnsi="Times New Roman" w:eastAsia="仿宋_GB2312" w:cs="Times New Roman"/>
                <w:snapToGrid w:val="0"/>
                <w:color w:val="auto"/>
                <w:sz w:val="24"/>
                <w:szCs w:val="24"/>
                <w:highlight w:val="none"/>
                <w:lang w:eastAsia="zh-CN"/>
              </w:rPr>
              <w:t xml:space="preserve">  提供扫描件并加盖公章             </w:t>
            </w:r>
          </w:p>
        </w:tc>
      </w:tr>
      <w:tr w14:paraId="102D3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0C04AEB4">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3.5(9)</w:t>
            </w:r>
          </w:p>
        </w:tc>
        <w:tc>
          <w:tcPr>
            <w:tcW w:w="3686" w:type="dxa"/>
            <w:tcMar>
              <w:top w:w="57" w:type="dxa"/>
              <w:left w:w="57" w:type="dxa"/>
              <w:bottom w:w="57" w:type="dxa"/>
              <w:right w:w="57" w:type="dxa"/>
            </w:tcMar>
            <w:vAlign w:val="center"/>
          </w:tcPr>
          <w:p w14:paraId="028D341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联合体要求的证明材料</w:t>
            </w:r>
          </w:p>
        </w:tc>
        <w:tc>
          <w:tcPr>
            <w:tcW w:w="4536" w:type="dxa"/>
            <w:tcMar>
              <w:top w:w="57" w:type="dxa"/>
              <w:left w:w="57" w:type="dxa"/>
              <w:bottom w:w="57" w:type="dxa"/>
              <w:right w:w="57" w:type="dxa"/>
            </w:tcMar>
            <w:vAlign w:val="center"/>
          </w:tcPr>
          <w:p w14:paraId="58FFE05D">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☑不适用</w:t>
            </w:r>
          </w:p>
          <w:p w14:paraId="79CF102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□适用。供应商应按照采购文件提供的格式</w:t>
            </w:r>
          </w:p>
          <w:p w14:paraId="42273B0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（格式见第六章“响应文件格式”三、联合体协议书）拟订联合体协议书，并提供联合体协议书的原件。联合体协议书应明确联合体各方的分工。</w:t>
            </w:r>
          </w:p>
        </w:tc>
      </w:tr>
      <w:tr w14:paraId="0780A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47D91225">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3.6.1</w:t>
            </w:r>
          </w:p>
        </w:tc>
        <w:tc>
          <w:tcPr>
            <w:tcW w:w="3686" w:type="dxa"/>
            <w:tcMar>
              <w:top w:w="57" w:type="dxa"/>
              <w:left w:w="57" w:type="dxa"/>
              <w:bottom w:w="57" w:type="dxa"/>
              <w:right w:w="57" w:type="dxa"/>
            </w:tcMar>
            <w:vAlign w:val="center"/>
          </w:tcPr>
          <w:p w14:paraId="7B1B79B5">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对关键条款进行响应的证据或证明材料要求</w:t>
            </w:r>
          </w:p>
        </w:tc>
        <w:tc>
          <w:tcPr>
            <w:tcW w:w="4536" w:type="dxa"/>
            <w:tcMar>
              <w:top w:w="57" w:type="dxa"/>
              <w:left w:w="57" w:type="dxa"/>
              <w:bottom w:w="57" w:type="dxa"/>
              <w:right w:w="57" w:type="dxa"/>
            </w:tcMar>
            <w:vAlign w:val="center"/>
          </w:tcPr>
          <w:p w14:paraId="13401746">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tc>
      </w:tr>
      <w:tr w14:paraId="7AD58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27DFD1E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3.6.2</w:t>
            </w:r>
          </w:p>
        </w:tc>
        <w:tc>
          <w:tcPr>
            <w:tcW w:w="3686" w:type="dxa"/>
            <w:tcMar>
              <w:top w:w="57" w:type="dxa"/>
              <w:left w:w="57" w:type="dxa"/>
              <w:bottom w:w="57" w:type="dxa"/>
              <w:right w:w="57" w:type="dxa"/>
            </w:tcMar>
            <w:vAlign w:val="center"/>
          </w:tcPr>
          <w:p w14:paraId="0DB4DE4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响应方案数量</w:t>
            </w:r>
          </w:p>
        </w:tc>
        <w:tc>
          <w:tcPr>
            <w:tcW w:w="4536" w:type="dxa"/>
            <w:tcMar>
              <w:top w:w="57" w:type="dxa"/>
              <w:left w:w="57" w:type="dxa"/>
              <w:bottom w:w="57" w:type="dxa"/>
              <w:right w:w="57" w:type="dxa"/>
            </w:tcMar>
            <w:vAlign w:val="center"/>
          </w:tcPr>
          <w:p w14:paraId="7119425A">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供应商只能提出唯一响应方案（除有文件规定允许的除外）</w:t>
            </w:r>
          </w:p>
        </w:tc>
      </w:tr>
      <w:tr w14:paraId="7BBAC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63EFD4F5">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3.7.5</w:t>
            </w:r>
          </w:p>
        </w:tc>
        <w:tc>
          <w:tcPr>
            <w:tcW w:w="3686" w:type="dxa"/>
            <w:tcMar>
              <w:top w:w="57" w:type="dxa"/>
              <w:left w:w="57" w:type="dxa"/>
              <w:bottom w:w="57" w:type="dxa"/>
              <w:right w:w="57" w:type="dxa"/>
            </w:tcMar>
            <w:vAlign w:val="center"/>
          </w:tcPr>
          <w:p w14:paraId="78F95566">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响应文件电子版要求</w:t>
            </w:r>
          </w:p>
        </w:tc>
        <w:tc>
          <w:tcPr>
            <w:tcW w:w="4536" w:type="dxa"/>
            <w:tcMar>
              <w:top w:w="57" w:type="dxa"/>
              <w:left w:w="57" w:type="dxa"/>
              <w:bottom w:w="57" w:type="dxa"/>
              <w:right w:w="57" w:type="dxa"/>
            </w:tcMar>
            <w:vAlign w:val="center"/>
          </w:tcPr>
          <w:p w14:paraId="4CE4707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以EPS电子采购平台系统内上传的版本为准。</w:t>
            </w:r>
          </w:p>
        </w:tc>
      </w:tr>
      <w:tr w14:paraId="300AA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04FD519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3.7.6</w:t>
            </w:r>
          </w:p>
        </w:tc>
        <w:tc>
          <w:tcPr>
            <w:tcW w:w="3686" w:type="dxa"/>
            <w:tcMar>
              <w:top w:w="57" w:type="dxa"/>
              <w:left w:w="57" w:type="dxa"/>
              <w:bottom w:w="57" w:type="dxa"/>
              <w:right w:w="57" w:type="dxa"/>
            </w:tcMar>
            <w:vAlign w:val="center"/>
          </w:tcPr>
          <w:p w14:paraId="48F89DF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分册装订要求</w:t>
            </w:r>
          </w:p>
        </w:tc>
        <w:tc>
          <w:tcPr>
            <w:tcW w:w="4536" w:type="dxa"/>
            <w:tcMar>
              <w:top w:w="57" w:type="dxa"/>
              <w:left w:w="57" w:type="dxa"/>
              <w:bottom w:w="57" w:type="dxa"/>
              <w:right w:w="57" w:type="dxa"/>
            </w:tcMar>
            <w:vAlign w:val="center"/>
          </w:tcPr>
          <w:p w14:paraId="109AEE0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   提供电子版响应文件  装订成册，提交纸质版投标文件一正二副 ，投标文件邮寄地址：云南省德宏州梁河县勐养镇中营村委会党良街（原勐养工厂内），杨常茂（收），电话：13987028948       </w:t>
            </w:r>
          </w:p>
        </w:tc>
      </w:tr>
      <w:tr w14:paraId="54FE1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4377D710">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4.2.1</w:t>
            </w:r>
          </w:p>
        </w:tc>
        <w:tc>
          <w:tcPr>
            <w:tcW w:w="3686" w:type="dxa"/>
            <w:tcMar>
              <w:top w:w="57" w:type="dxa"/>
              <w:left w:w="57" w:type="dxa"/>
              <w:bottom w:w="57" w:type="dxa"/>
              <w:right w:w="57" w:type="dxa"/>
            </w:tcMar>
            <w:vAlign w:val="center"/>
          </w:tcPr>
          <w:p w14:paraId="0FAB291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递交响应文件截止时间和地点</w:t>
            </w:r>
          </w:p>
        </w:tc>
        <w:tc>
          <w:tcPr>
            <w:tcW w:w="4536" w:type="dxa"/>
            <w:tcMar>
              <w:top w:w="57" w:type="dxa"/>
              <w:left w:w="57" w:type="dxa"/>
              <w:bottom w:w="57" w:type="dxa"/>
              <w:right w:w="57" w:type="dxa"/>
            </w:tcMar>
            <w:vAlign w:val="center"/>
          </w:tcPr>
          <w:p w14:paraId="0AFECAD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截止时间：  2024年    月    日  12:00前                              </w:t>
            </w:r>
          </w:p>
          <w:p w14:paraId="13AD92EC">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提交电子响应文件的方式：  通过中粮糖业EPS电子采购平台上传           </w:t>
            </w:r>
          </w:p>
        </w:tc>
      </w:tr>
      <w:tr w14:paraId="54F54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23C2C6F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4.3.3</w:t>
            </w:r>
          </w:p>
        </w:tc>
        <w:tc>
          <w:tcPr>
            <w:tcW w:w="3686" w:type="dxa"/>
            <w:tcMar>
              <w:top w:w="57" w:type="dxa"/>
              <w:left w:w="57" w:type="dxa"/>
              <w:bottom w:w="57" w:type="dxa"/>
              <w:right w:w="57" w:type="dxa"/>
            </w:tcMar>
            <w:vAlign w:val="center"/>
          </w:tcPr>
          <w:p w14:paraId="4AC17A2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供应商撤回响应文件情况下退还响应保证金的时间</w:t>
            </w:r>
          </w:p>
        </w:tc>
        <w:tc>
          <w:tcPr>
            <w:tcW w:w="4536" w:type="dxa"/>
            <w:tcMar>
              <w:top w:w="57" w:type="dxa"/>
              <w:left w:w="57" w:type="dxa"/>
              <w:bottom w:w="57" w:type="dxa"/>
              <w:right w:w="57" w:type="dxa"/>
            </w:tcMar>
            <w:vAlign w:val="center"/>
          </w:tcPr>
          <w:p w14:paraId="56B6558C">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自采购人收到供应商递交的书面通知之日起 14日历天内</w:t>
            </w:r>
          </w:p>
        </w:tc>
      </w:tr>
      <w:tr w14:paraId="15AC4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1DC8445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6.3.1</w:t>
            </w:r>
          </w:p>
        </w:tc>
        <w:tc>
          <w:tcPr>
            <w:tcW w:w="3686" w:type="dxa"/>
            <w:tcMar>
              <w:top w:w="57" w:type="dxa"/>
              <w:left w:w="57" w:type="dxa"/>
              <w:bottom w:w="57" w:type="dxa"/>
              <w:right w:w="57" w:type="dxa"/>
            </w:tcMar>
            <w:vAlign w:val="center"/>
          </w:tcPr>
          <w:p w14:paraId="0F2F83A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谈判轮次及谈判顺序</w:t>
            </w:r>
          </w:p>
        </w:tc>
        <w:tc>
          <w:tcPr>
            <w:tcW w:w="4536" w:type="dxa"/>
            <w:tcMar>
              <w:top w:w="57" w:type="dxa"/>
              <w:left w:w="57" w:type="dxa"/>
              <w:bottom w:w="57" w:type="dxa"/>
              <w:right w:w="57" w:type="dxa"/>
            </w:tcMar>
            <w:vAlign w:val="center"/>
          </w:tcPr>
          <w:p w14:paraId="64A85593">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谈判轮次：</w:t>
            </w:r>
          </w:p>
          <w:p w14:paraId="6FC7AAF6">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☑本项目共进行</w:t>
            </w:r>
            <w:r>
              <w:rPr>
                <w:rFonts w:hint="default" w:ascii="Times New Roman" w:hAnsi="Times New Roman" w:eastAsia="仿宋_GB2312" w:cs="Times New Roman"/>
                <w:snapToGrid w:val="0"/>
                <w:color w:val="auto"/>
                <w:sz w:val="24"/>
                <w:szCs w:val="24"/>
                <w:highlight w:val="none"/>
                <w:u w:val="single"/>
                <w:lang w:eastAsia="zh-CN"/>
              </w:rPr>
              <w:t xml:space="preserve"> 一   </w:t>
            </w:r>
            <w:r>
              <w:rPr>
                <w:rFonts w:hint="default" w:ascii="Times New Roman" w:hAnsi="Times New Roman" w:eastAsia="仿宋_GB2312" w:cs="Times New Roman"/>
                <w:snapToGrid w:val="0"/>
                <w:color w:val="auto"/>
                <w:sz w:val="24"/>
                <w:szCs w:val="24"/>
                <w:highlight w:val="none"/>
                <w:lang w:eastAsia="zh-CN"/>
              </w:rPr>
              <w:t>轮谈判</w:t>
            </w:r>
          </w:p>
          <w:p w14:paraId="2A596D9C">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（注：一般不超过3轮。）</w:t>
            </w:r>
          </w:p>
          <w:p w14:paraId="10DA6AC4">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□采购小组在首轮谈判前告知被邀请参加谈判的供应商谈判轮次</w:t>
            </w:r>
          </w:p>
          <w:p w14:paraId="3E4E1A6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□本项目不事先确定谈判轮次，采购小组根据谈判情况确定，并在最后一轮谈判前告知供应商</w:t>
            </w:r>
          </w:p>
          <w:p w14:paraId="48D2B200">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谈判顺序：                                   </w:t>
            </w:r>
          </w:p>
        </w:tc>
      </w:tr>
      <w:tr w14:paraId="7EE5A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2F287A2C">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6.7.2</w:t>
            </w:r>
          </w:p>
        </w:tc>
        <w:tc>
          <w:tcPr>
            <w:tcW w:w="3686" w:type="dxa"/>
            <w:tcMar>
              <w:top w:w="57" w:type="dxa"/>
              <w:left w:w="57" w:type="dxa"/>
              <w:bottom w:w="57" w:type="dxa"/>
              <w:right w:w="57" w:type="dxa"/>
            </w:tcMar>
            <w:vAlign w:val="center"/>
          </w:tcPr>
          <w:p w14:paraId="4328EE4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成交供应商</w:t>
            </w:r>
          </w:p>
        </w:tc>
        <w:tc>
          <w:tcPr>
            <w:tcW w:w="4536" w:type="dxa"/>
            <w:tcMar>
              <w:top w:w="57" w:type="dxa"/>
              <w:left w:w="57" w:type="dxa"/>
              <w:bottom w:w="57" w:type="dxa"/>
              <w:right w:w="57" w:type="dxa"/>
            </w:tcMar>
            <w:vAlign w:val="center"/>
          </w:tcPr>
          <w:p w14:paraId="2394E37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授标策略：按评分由高到低排序，原则上评分最高为成交供应商。</w:t>
            </w:r>
          </w:p>
        </w:tc>
      </w:tr>
      <w:tr w14:paraId="773C2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2C939B23">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7.5</w:t>
            </w:r>
          </w:p>
        </w:tc>
        <w:tc>
          <w:tcPr>
            <w:tcW w:w="3686" w:type="dxa"/>
            <w:tcMar>
              <w:top w:w="57" w:type="dxa"/>
              <w:left w:w="57" w:type="dxa"/>
              <w:bottom w:w="57" w:type="dxa"/>
              <w:right w:w="57" w:type="dxa"/>
            </w:tcMar>
            <w:vAlign w:val="center"/>
          </w:tcPr>
          <w:p w14:paraId="5F0581DF">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发布成交公告</w:t>
            </w:r>
          </w:p>
        </w:tc>
        <w:tc>
          <w:tcPr>
            <w:tcW w:w="4536" w:type="dxa"/>
            <w:tcMar>
              <w:top w:w="57" w:type="dxa"/>
              <w:left w:w="57" w:type="dxa"/>
              <w:bottom w:w="57" w:type="dxa"/>
              <w:right w:w="57" w:type="dxa"/>
            </w:tcMar>
            <w:vAlign w:val="center"/>
          </w:tcPr>
          <w:p w14:paraId="75E9CCBB">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公告媒介：中粮糖业EPS电子采购平台</w:t>
            </w:r>
          </w:p>
          <w:p w14:paraId="1D9821D0">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其他应公告的内容：                                   </w:t>
            </w:r>
          </w:p>
        </w:tc>
      </w:tr>
      <w:tr w14:paraId="2F63A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6" w:type="dxa"/>
            <w:tcMar>
              <w:top w:w="57" w:type="dxa"/>
              <w:left w:w="57" w:type="dxa"/>
              <w:bottom w:w="57" w:type="dxa"/>
              <w:right w:w="57" w:type="dxa"/>
            </w:tcMar>
            <w:vAlign w:val="center"/>
          </w:tcPr>
          <w:p w14:paraId="6883F85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7.6</w:t>
            </w:r>
          </w:p>
        </w:tc>
        <w:tc>
          <w:tcPr>
            <w:tcW w:w="3686" w:type="dxa"/>
            <w:tcMar>
              <w:top w:w="57" w:type="dxa"/>
              <w:left w:w="57" w:type="dxa"/>
              <w:bottom w:w="57" w:type="dxa"/>
              <w:right w:w="57" w:type="dxa"/>
            </w:tcMar>
            <w:vAlign w:val="center"/>
          </w:tcPr>
          <w:p w14:paraId="44E33BF4">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履约保证金</w:t>
            </w:r>
          </w:p>
        </w:tc>
        <w:tc>
          <w:tcPr>
            <w:tcW w:w="4536" w:type="dxa"/>
            <w:tcMar>
              <w:top w:w="57" w:type="dxa"/>
              <w:left w:w="57" w:type="dxa"/>
              <w:bottom w:w="57" w:type="dxa"/>
              <w:right w:w="57" w:type="dxa"/>
            </w:tcMar>
            <w:vAlign w:val="center"/>
          </w:tcPr>
          <w:p w14:paraId="252C14F3">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□不要求递交</w:t>
            </w:r>
          </w:p>
          <w:p w14:paraId="5FD3EB5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☑要求递交</w:t>
            </w:r>
          </w:p>
          <w:p w14:paraId="61EE6198">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履约保证金金额：履约保证金为合同总价的5%，需在收到“中标通知书”之后，且在合同签订之前，由中标单位另外补缴足。             </w:t>
            </w:r>
          </w:p>
          <w:p w14:paraId="195A2717">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履约保证金形式：银行转账或电子汇款形式（对公账户缴纳）             </w:t>
            </w:r>
          </w:p>
          <w:p w14:paraId="549F6CC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r>
              <w:rPr>
                <w:rFonts w:hint="default" w:ascii="Times New Roman" w:hAnsi="Times New Roman" w:eastAsia="仿宋_GB2312" w:cs="Times New Roman"/>
                <w:snapToGrid w:val="0"/>
                <w:color w:val="auto"/>
                <w:sz w:val="24"/>
                <w:szCs w:val="24"/>
                <w:highlight w:val="none"/>
                <w:lang w:eastAsia="zh-CN"/>
              </w:rPr>
              <w:t xml:space="preserve">履约保证金有效期限：项目竣工且验收合格后，招标方30个工作日内无息如数退还履约保证金其他要求：                </w:t>
            </w:r>
          </w:p>
        </w:tc>
      </w:tr>
    </w:tbl>
    <w:p w14:paraId="46B40E4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bookmarkStart w:id="56" w:name="扫描0017"/>
      <w:bookmarkEnd w:id="56"/>
    </w:p>
    <w:p w14:paraId="190E8FF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53458A85">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66C4A853">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1AF87F1E">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295A85AF">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635AB02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51073FF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48F3E9C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09FC9585">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63C1EA41">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2BED6F53">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5AB32D00">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511D82BB">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6A1B1A12">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5C25E019">
      <w:pPr>
        <w:widowControl w:val="0"/>
        <w:autoSpaceDE w:val="0"/>
        <w:autoSpaceDN w:val="0"/>
        <w:adjustRightInd w:val="0"/>
        <w:snapToGrid w:val="0"/>
        <w:spacing w:after="0" w:line="276" w:lineRule="auto"/>
        <w:jc w:val="both"/>
        <w:rPr>
          <w:rFonts w:hint="default" w:ascii="Times New Roman" w:hAnsi="Times New Roman" w:eastAsia="仿宋_GB2312" w:cs="Times New Roman"/>
          <w:snapToGrid w:val="0"/>
          <w:color w:val="auto"/>
          <w:sz w:val="24"/>
          <w:szCs w:val="24"/>
          <w:highlight w:val="none"/>
          <w:lang w:eastAsia="zh-CN"/>
        </w:rPr>
      </w:pPr>
    </w:p>
    <w:p w14:paraId="3F554D60">
      <w:pPr>
        <w:rPr>
          <w:rFonts w:ascii="Times New Roman" w:hAnsi="Times New Roman" w:cs="Times New Roman"/>
          <w:snapToGrid w:val="0"/>
        </w:rPr>
      </w:pPr>
    </w:p>
    <w:p w14:paraId="3E92B0CD">
      <w:pPr>
        <w:jc w:val="center"/>
        <w:rPr>
          <w:rFonts w:hint="eastAsia" w:ascii="方正小标宋_GBK" w:hAnsi="方正小标宋_GBK" w:eastAsia="方正小标宋_GBK" w:cs="方正小标宋_GBK"/>
          <w:b w:val="0"/>
          <w:bCs/>
          <w:snapToGrid w:val="0"/>
          <w:sz w:val="32"/>
          <w:szCs w:val="32"/>
        </w:rPr>
      </w:pPr>
      <w:bookmarkStart w:id="57" w:name="扫描0020"/>
      <w:bookmarkEnd w:id="57"/>
      <w:bookmarkStart w:id="58" w:name="_Hlk99362545"/>
      <w:r>
        <w:rPr>
          <w:rFonts w:hint="eastAsia" w:ascii="方正小标宋_GBK" w:hAnsi="方正小标宋_GBK" w:eastAsia="方正小标宋_GBK" w:cs="方正小标宋_GBK"/>
          <w:b w:val="0"/>
          <w:bCs/>
          <w:snapToGrid w:val="0"/>
          <w:sz w:val="32"/>
          <w:szCs w:val="32"/>
        </w:rPr>
        <w:t>供应商须知</w:t>
      </w:r>
      <w:bookmarkEnd w:id="58"/>
    </w:p>
    <w:p w14:paraId="7B2CE558">
      <w:pPr>
        <w:spacing w:after="0" w:line="560" w:lineRule="exact"/>
        <w:ind w:firstLine="643" w:firstLineChars="200"/>
        <w:jc w:val="both"/>
        <w:outlineLvl w:val="9"/>
        <w:rPr>
          <w:rFonts w:ascii="Times New Roman" w:hAnsi="Times New Roman" w:eastAsia="仿宋_GB2312" w:cs="Times New Roman"/>
          <w:b/>
          <w:snapToGrid w:val="0"/>
          <w:sz w:val="32"/>
          <w:szCs w:val="32"/>
        </w:rPr>
      </w:pPr>
    </w:p>
    <w:p w14:paraId="274112C1">
      <w:pPr>
        <w:spacing w:after="0" w:line="560" w:lineRule="exact"/>
        <w:ind w:firstLine="643" w:firstLineChars="200"/>
        <w:jc w:val="both"/>
        <w:outlineLvl w:val="9"/>
        <w:rPr>
          <w:rFonts w:ascii="Times New Roman" w:hAnsi="Times New Roman" w:eastAsia="仿宋_GB2312" w:cs="Times New Roman"/>
          <w:b/>
          <w:snapToGrid w:val="0"/>
          <w:sz w:val="32"/>
          <w:szCs w:val="32"/>
        </w:rPr>
      </w:pPr>
    </w:p>
    <w:p w14:paraId="7E648916">
      <w:pPr>
        <w:spacing w:after="0" w:line="560" w:lineRule="exact"/>
        <w:ind w:firstLine="643" w:firstLineChars="200"/>
        <w:jc w:val="both"/>
        <w:outlineLvl w:val="9"/>
        <w:rPr>
          <w:rFonts w:ascii="Times New Roman" w:hAnsi="Times New Roman" w:eastAsia="仿宋_GB2312" w:cs="Times New Roman"/>
          <w:b/>
          <w:snapToGrid w:val="0"/>
          <w:sz w:val="32"/>
          <w:szCs w:val="32"/>
        </w:rPr>
      </w:pPr>
    </w:p>
    <w:p w14:paraId="2611AE7B">
      <w:pPr>
        <w:spacing w:after="0" w:line="560" w:lineRule="exact"/>
        <w:ind w:firstLine="643" w:firstLineChars="200"/>
        <w:jc w:val="both"/>
        <w:outlineLvl w:val="9"/>
        <w:rPr>
          <w:rFonts w:ascii="Times New Roman" w:hAnsi="Times New Roman" w:eastAsia="仿宋_GB2312" w:cs="Times New Roman"/>
          <w:b/>
          <w:snapToGrid w:val="0"/>
          <w:sz w:val="32"/>
          <w:szCs w:val="32"/>
        </w:rPr>
      </w:pPr>
    </w:p>
    <w:p w14:paraId="338A40EB">
      <w:pPr>
        <w:spacing w:after="0" w:line="560" w:lineRule="exact"/>
        <w:ind w:firstLine="643" w:firstLineChars="200"/>
        <w:jc w:val="both"/>
        <w:outlineLvl w:val="9"/>
        <w:rPr>
          <w:rFonts w:ascii="Times New Roman" w:hAnsi="Times New Roman" w:eastAsia="仿宋_GB2312" w:cs="Times New Roman"/>
          <w:b/>
          <w:snapToGrid w:val="0"/>
          <w:sz w:val="32"/>
          <w:szCs w:val="32"/>
        </w:rPr>
      </w:pPr>
    </w:p>
    <w:p w14:paraId="253F4040">
      <w:pPr>
        <w:spacing w:after="0" w:line="560" w:lineRule="exact"/>
        <w:ind w:firstLine="643" w:firstLineChars="200"/>
        <w:jc w:val="both"/>
        <w:outlineLvl w:val="9"/>
        <w:rPr>
          <w:rFonts w:ascii="Times New Roman" w:hAnsi="Times New Roman" w:eastAsia="仿宋_GB2312" w:cs="Times New Roman"/>
          <w:b/>
          <w:snapToGrid w:val="0"/>
          <w:sz w:val="32"/>
          <w:szCs w:val="32"/>
        </w:rPr>
      </w:pPr>
    </w:p>
    <w:p w14:paraId="34172F97">
      <w:pPr>
        <w:spacing w:after="0" w:line="560" w:lineRule="exact"/>
        <w:ind w:firstLine="643" w:firstLineChars="200"/>
        <w:jc w:val="both"/>
        <w:outlineLvl w:val="9"/>
        <w:rPr>
          <w:rFonts w:ascii="Times New Roman" w:hAnsi="Times New Roman" w:eastAsia="仿宋_GB2312" w:cs="Times New Roman"/>
          <w:b/>
          <w:snapToGrid w:val="0"/>
          <w:sz w:val="32"/>
          <w:szCs w:val="32"/>
        </w:rPr>
      </w:pPr>
    </w:p>
    <w:p w14:paraId="24B2D113">
      <w:pPr>
        <w:spacing w:after="0" w:line="560" w:lineRule="exact"/>
        <w:ind w:firstLine="643" w:firstLineChars="200"/>
        <w:jc w:val="both"/>
        <w:outlineLvl w:val="9"/>
        <w:rPr>
          <w:rFonts w:ascii="Times New Roman" w:hAnsi="Times New Roman" w:eastAsia="仿宋_GB2312" w:cs="Times New Roman"/>
          <w:b/>
          <w:snapToGrid w:val="0"/>
          <w:sz w:val="32"/>
          <w:szCs w:val="32"/>
        </w:rPr>
      </w:pPr>
    </w:p>
    <w:p w14:paraId="1165FF15">
      <w:pPr>
        <w:spacing w:after="0" w:line="560" w:lineRule="exact"/>
        <w:ind w:firstLine="643" w:firstLineChars="200"/>
        <w:jc w:val="both"/>
        <w:outlineLvl w:val="9"/>
        <w:rPr>
          <w:rFonts w:ascii="Times New Roman" w:hAnsi="Times New Roman" w:eastAsia="仿宋_GB2312" w:cs="Times New Roman"/>
          <w:b/>
          <w:snapToGrid w:val="0"/>
          <w:sz w:val="32"/>
          <w:szCs w:val="32"/>
        </w:rPr>
      </w:pPr>
    </w:p>
    <w:p w14:paraId="49C00F81">
      <w:pPr>
        <w:spacing w:after="0" w:line="560" w:lineRule="exact"/>
        <w:ind w:firstLine="643" w:firstLineChars="200"/>
        <w:jc w:val="both"/>
        <w:outlineLvl w:val="9"/>
        <w:rPr>
          <w:rFonts w:ascii="Times New Roman" w:hAnsi="Times New Roman" w:eastAsia="仿宋_GB2312" w:cs="Times New Roman"/>
          <w:b/>
          <w:snapToGrid w:val="0"/>
          <w:sz w:val="32"/>
          <w:szCs w:val="32"/>
        </w:rPr>
      </w:pPr>
    </w:p>
    <w:p w14:paraId="05C1C035">
      <w:pPr>
        <w:spacing w:after="0" w:line="560" w:lineRule="exact"/>
        <w:ind w:firstLine="643" w:firstLineChars="200"/>
        <w:jc w:val="both"/>
        <w:outlineLvl w:val="9"/>
        <w:rPr>
          <w:rFonts w:ascii="Times New Roman" w:hAnsi="Times New Roman" w:eastAsia="仿宋_GB2312" w:cs="Times New Roman"/>
          <w:b/>
          <w:snapToGrid w:val="0"/>
          <w:sz w:val="32"/>
          <w:szCs w:val="32"/>
        </w:rPr>
      </w:pPr>
    </w:p>
    <w:p w14:paraId="23C2AAF8">
      <w:pPr>
        <w:spacing w:after="0" w:line="560" w:lineRule="exact"/>
        <w:ind w:firstLine="643" w:firstLineChars="200"/>
        <w:jc w:val="both"/>
        <w:outlineLvl w:val="9"/>
        <w:rPr>
          <w:rFonts w:ascii="Times New Roman" w:hAnsi="Times New Roman" w:eastAsia="仿宋_GB2312" w:cs="Times New Roman"/>
          <w:b/>
          <w:snapToGrid w:val="0"/>
          <w:sz w:val="32"/>
          <w:szCs w:val="32"/>
        </w:rPr>
      </w:pPr>
    </w:p>
    <w:p w14:paraId="4AE8094E">
      <w:pPr>
        <w:spacing w:after="0" w:line="560" w:lineRule="exact"/>
        <w:ind w:firstLine="643" w:firstLineChars="200"/>
        <w:jc w:val="both"/>
        <w:outlineLvl w:val="9"/>
        <w:rPr>
          <w:rFonts w:ascii="Times New Roman" w:hAnsi="Times New Roman" w:eastAsia="仿宋_GB2312" w:cs="Times New Roman"/>
          <w:b/>
          <w:snapToGrid w:val="0"/>
          <w:sz w:val="32"/>
          <w:szCs w:val="32"/>
        </w:rPr>
      </w:pPr>
    </w:p>
    <w:p w14:paraId="20DB5195">
      <w:pPr>
        <w:spacing w:after="0" w:line="560" w:lineRule="exact"/>
        <w:ind w:firstLine="643" w:firstLineChars="200"/>
        <w:jc w:val="both"/>
        <w:outlineLvl w:val="1"/>
        <w:rPr>
          <w:rFonts w:ascii="Times New Roman" w:hAnsi="Times New Roman" w:eastAsia="仿宋_GB2312" w:cs="Times New Roman"/>
          <w:b/>
          <w:snapToGrid w:val="0"/>
          <w:sz w:val="32"/>
          <w:szCs w:val="32"/>
        </w:rPr>
      </w:pPr>
      <w:bookmarkStart w:id="59" w:name="_Toc15877"/>
      <w:r>
        <w:rPr>
          <w:rFonts w:ascii="Times New Roman" w:hAnsi="Times New Roman" w:eastAsia="仿宋_GB2312" w:cs="Times New Roman"/>
          <w:b/>
          <w:snapToGrid w:val="0"/>
          <w:sz w:val="32"/>
          <w:szCs w:val="32"/>
        </w:rPr>
        <w:t>1.总则</w:t>
      </w:r>
      <w:bookmarkEnd w:id="59"/>
    </w:p>
    <w:p w14:paraId="7D8B7E5C">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60" w:name="_Toc29621"/>
      <w:r>
        <w:rPr>
          <w:rFonts w:ascii="Times New Roman" w:hAnsi="Times New Roman" w:eastAsia="仿宋_GB2312" w:cs="Times New Roman"/>
          <w:snapToGrid w:val="0"/>
          <w:sz w:val="32"/>
          <w:szCs w:val="32"/>
        </w:rPr>
        <w:t>1.1 采购方式</w:t>
      </w:r>
      <w:bookmarkEnd w:id="60"/>
    </w:p>
    <w:p w14:paraId="310FFF8D">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本项目采用中粮糖业谈判采购方式。</w:t>
      </w:r>
    </w:p>
    <w:p w14:paraId="0C7613BF">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谈判采购是指采购人组建采购小组与响应采购的供应商依次分别进行一轮或多轮交流谈判并对供应商递交的响应文件进行评审，采购人根据采购小组最终谈判结果及其评审结论，选择确定成交供应商的采购方式。</w:t>
      </w:r>
    </w:p>
    <w:p w14:paraId="451610FA">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61" w:name="_Toc29695"/>
      <w:r>
        <w:rPr>
          <w:rFonts w:ascii="Times New Roman" w:hAnsi="Times New Roman" w:eastAsia="仿宋_GB2312" w:cs="Times New Roman"/>
          <w:snapToGrid w:val="0"/>
          <w:sz w:val="32"/>
          <w:szCs w:val="32"/>
        </w:rPr>
        <w:t>1.2 采购项目概况和供应商资格要求</w:t>
      </w:r>
      <w:bookmarkEnd w:id="61"/>
    </w:p>
    <w:p w14:paraId="1CA3D0AD">
      <w:pPr>
        <w:spacing w:after="0" w:line="560" w:lineRule="exact"/>
        <w:ind w:firstLine="640" w:firstLineChars="200"/>
        <w:jc w:val="both"/>
        <w:outlineLvl w:val="3"/>
        <w:rPr>
          <w:rFonts w:ascii="Times New Roman" w:hAnsi="Times New Roman" w:eastAsia="仿宋_GB2312" w:cs="Times New Roman"/>
          <w:snapToGrid w:val="0"/>
          <w:sz w:val="32"/>
          <w:szCs w:val="32"/>
        </w:rPr>
      </w:pPr>
      <w:bookmarkStart w:id="62" w:name="_Hlk99362573"/>
      <w:r>
        <w:rPr>
          <w:rFonts w:ascii="Times New Roman" w:hAnsi="Times New Roman" w:eastAsia="仿宋_GB2312" w:cs="Times New Roman"/>
          <w:snapToGrid w:val="0"/>
          <w:sz w:val="32"/>
          <w:szCs w:val="32"/>
        </w:rPr>
        <w:t>采购项目概况和供应商资格要求见第一章“谈判采购公告/谈判采购邀请书”。</w:t>
      </w:r>
    </w:p>
    <w:bookmarkEnd w:id="62"/>
    <w:p w14:paraId="1DE6EB85">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1.2.1“货物”是指各种形态和种类的物品，包括项目施工所需的原材料、燃料、设备、产品等。</w:t>
      </w:r>
    </w:p>
    <w:p w14:paraId="7A08BDCE">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1.2.2“服务”是指除货物以外的其他采购对象。</w:t>
      </w:r>
    </w:p>
    <w:p w14:paraId="2FDA48F5">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63" w:name="_Toc5060"/>
      <w:r>
        <w:rPr>
          <w:rFonts w:ascii="Times New Roman" w:hAnsi="Times New Roman" w:eastAsia="仿宋_GB2312" w:cs="Times New Roman"/>
          <w:snapToGrid w:val="0"/>
          <w:sz w:val="32"/>
          <w:szCs w:val="32"/>
        </w:rPr>
        <w:t>1.3 费用承担</w:t>
      </w:r>
      <w:bookmarkEnd w:id="63"/>
    </w:p>
    <w:p w14:paraId="7007D42B">
      <w:pPr>
        <w:spacing w:after="0" w:line="560" w:lineRule="exact"/>
        <w:ind w:firstLine="640" w:firstLineChars="200"/>
        <w:jc w:val="both"/>
        <w:outlineLvl w:val="3"/>
        <w:rPr>
          <w:rFonts w:ascii="Times New Roman" w:hAnsi="Times New Roman" w:eastAsia="仿宋_GB2312" w:cs="Times New Roman"/>
          <w:snapToGrid w:val="0"/>
          <w:sz w:val="32"/>
          <w:szCs w:val="32"/>
        </w:rPr>
      </w:pPr>
      <w:bookmarkStart w:id="64" w:name="_bookmark1"/>
      <w:bookmarkEnd w:id="64"/>
      <w:r>
        <w:rPr>
          <w:rFonts w:ascii="Times New Roman" w:hAnsi="Times New Roman" w:eastAsia="仿宋_GB2312" w:cs="Times New Roman"/>
          <w:snapToGrid w:val="0"/>
          <w:sz w:val="32"/>
          <w:szCs w:val="32"/>
        </w:rPr>
        <w:t>供应商准备和参加谈判采购活动所发生的各种费用由供应商自行承担。</w:t>
      </w:r>
    </w:p>
    <w:p w14:paraId="15020146">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65" w:name="_Toc1144"/>
      <w:r>
        <w:rPr>
          <w:rFonts w:ascii="Times New Roman" w:hAnsi="Times New Roman" w:eastAsia="仿宋_GB2312" w:cs="Times New Roman"/>
          <w:snapToGrid w:val="0"/>
          <w:sz w:val="32"/>
          <w:szCs w:val="32"/>
        </w:rPr>
        <w:t>1.4 保密</w:t>
      </w:r>
      <w:bookmarkEnd w:id="65"/>
    </w:p>
    <w:p w14:paraId="5212AE91">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参加谈判采购活动的各方应对采购文件和响应文件中的商业和技术等秘密保密,否则应承担相应的法律责任。</w:t>
      </w:r>
    </w:p>
    <w:p w14:paraId="00E63AD4">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66" w:name="_Toc27775"/>
      <w:r>
        <w:rPr>
          <w:rFonts w:ascii="Times New Roman" w:hAnsi="Times New Roman" w:eastAsia="仿宋_GB2312" w:cs="Times New Roman"/>
          <w:snapToGrid w:val="0"/>
          <w:sz w:val="32"/>
          <w:szCs w:val="32"/>
        </w:rPr>
        <w:t>1.5 语言文字</w:t>
      </w:r>
      <w:bookmarkEnd w:id="66"/>
    </w:p>
    <w:p w14:paraId="7E2EE581">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采购文件和响应文件使用的语言文字为中文。专用术语使用外文的，应附有中文注释。</w:t>
      </w:r>
    </w:p>
    <w:p w14:paraId="402AD6E0">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67" w:name="_Toc18293"/>
      <w:r>
        <w:rPr>
          <w:rFonts w:ascii="Times New Roman" w:hAnsi="Times New Roman" w:eastAsia="仿宋_GB2312" w:cs="Times New Roman"/>
          <w:snapToGrid w:val="0"/>
          <w:sz w:val="32"/>
          <w:szCs w:val="32"/>
        </w:rPr>
        <w:t>1.6 计量单位</w:t>
      </w:r>
      <w:bookmarkEnd w:id="67"/>
    </w:p>
    <w:p w14:paraId="3F0DFD90">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所有计量均采用中华人民共和国法定计量单位。</w:t>
      </w:r>
    </w:p>
    <w:p w14:paraId="1CF0F084">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68" w:name="_Toc31010"/>
      <w:r>
        <w:rPr>
          <w:rFonts w:ascii="Times New Roman" w:hAnsi="Times New Roman" w:eastAsia="仿宋_GB2312" w:cs="Times New Roman"/>
          <w:snapToGrid w:val="0"/>
          <w:sz w:val="32"/>
          <w:szCs w:val="32"/>
        </w:rPr>
        <w:t>1.7 踏勘现场</w:t>
      </w:r>
      <w:bookmarkEnd w:id="68"/>
    </w:p>
    <w:p w14:paraId="209DDBE1">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1.7.1供应商须知前附表规定组织踏勘现场的，采购人按供应商须知前附表规定的时间、地点组织供应商踏勘项目现场。部分供应商未按时参加踏勘现场的，不影响踏勘现场的正常进行。</w:t>
      </w:r>
    </w:p>
    <w:p w14:paraId="5FDEC13B">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1.7.2供应商可自愿参加踏勘现场活动。除采购人的原因外，采购人对供应商参加踏勘现场中所发生的人员伤亡和财产损失不承担责任。</w:t>
      </w:r>
    </w:p>
    <w:p w14:paraId="31E0CDE4">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1.7.3采购人在踏勘现场中介绍的工程场地和相关的周边环境情况，仅作为供应商编制响应文件的参考，采购人不对供应商据此作出的判断和决策负责。</w:t>
      </w:r>
    </w:p>
    <w:p w14:paraId="2BC873FF">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69" w:name="_Toc26976"/>
      <w:r>
        <w:rPr>
          <w:rFonts w:ascii="Times New Roman" w:hAnsi="Times New Roman" w:eastAsia="仿宋_GB2312" w:cs="Times New Roman"/>
          <w:snapToGrid w:val="0"/>
          <w:sz w:val="32"/>
          <w:szCs w:val="32"/>
        </w:rPr>
        <w:t>1.8 谈判采购预备会</w:t>
      </w:r>
      <w:bookmarkEnd w:id="69"/>
    </w:p>
    <w:p w14:paraId="37E23BDE">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供应商须知前附表规定召开谈判采购预备会的，采购人按供应商须知前附表规定的时间和地点召开谈判采购预备会。</w:t>
      </w:r>
    </w:p>
    <w:p w14:paraId="4FF48B40">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70" w:name="_Toc25094"/>
      <w:r>
        <w:rPr>
          <w:rFonts w:ascii="Times New Roman" w:hAnsi="Times New Roman" w:eastAsia="仿宋_GB2312" w:cs="Times New Roman"/>
          <w:snapToGrid w:val="0"/>
          <w:sz w:val="32"/>
          <w:szCs w:val="32"/>
        </w:rPr>
        <w:t>1.9 分包（不适用）</w:t>
      </w:r>
      <w:bookmarkEnd w:id="70"/>
    </w:p>
    <w:p w14:paraId="6D3F0CC6">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供应商拟在成交后将成交项目的部分工作进行分包的，应符合供应商须知前附表的规定，并在响应文件中作出说明。</w:t>
      </w:r>
    </w:p>
    <w:p w14:paraId="44513C6C">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分包供应商不得将分包项目再次分包。成交供应商应当就分包项目向采购人负责,分包供应商就分包项目承担连带责任。</w:t>
      </w:r>
    </w:p>
    <w:p w14:paraId="0C8BC1A7">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71" w:name="_Toc20574"/>
      <w:r>
        <w:rPr>
          <w:rFonts w:ascii="Times New Roman" w:hAnsi="Times New Roman" w:eastAsia="仿宋_GB2312" w:cs="Times New Roman"/>
          <w:snapToGrid w:val="0"/>
          <w:sz w:val="32"/>
          <w:szCs w:val="32"/>
        </w:rPr>
        <w:t>1.10 响应和偏差</w:t>
      </w:r>
      <w:bookmarkEnd w:id="71"/>
    </w:p>
    <w:p w14:paraId="4472B773">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1.10.1</w:t>
      </w:r>
      <w:r>
        <w:rPr>
          <w:rFonts w:ascii="Times New Roman" w:hAnsi="Times New Roman" w:eastAsia="仿宋_GB2312" w:cs="Times New Roman"/>
          <w:snapToGrid w:val="0"/>
          <w:sz w:val="32"/>
          <w:szCs w:val="32"/>
        </w:rPr>
        <w:tab/>
      </w:r>
      <w:r>
        <w:rPr>
          <w:rFonts w:ascii="Times New Roman" w:hAnsi="Times New Roman" w:eastAsia="仿宋_GB2312" w:cs="Times New Roman"/>
          <w:snapToGrid w:val="0"/>
          <w:sz w:val="32"/>
          <w:szCs w:val="32"/>
        </w:rPr>
        <w:t>需求和合同草案中的关键条款均以“</w:t>
      </w:r>
      <w:r>
        <w:rPr>
          <w:rFonts w:ascii="Segoe UI Symbol" w:hAnsi="Segoe UI Symbol" w:eastAsia="仿宋_GB2312" w:cs="Segoe UI Symbol"/>
          <w:snapToGrid w:val="0"/>
          <w:sz w:val="32"/>
          <w:szCs w:val="32"/>
        </w:rPr>
        <w:t>★</w:t>
      </w:r>
      <w:r>
        <w:rPr>
          <w:rFonts w:ascii="Times New Roman" w:hAnsi="Times New Roman" w:eastAsia="仿宋_GB2312" w:cs="Times New Roman"/>
          <w:snapToGrid w:val="0"/>
          <w:sz w:val="32"/>
          <w:szCs w:val="32"/>
        </w:rPr>
        <w:t>”符号标记。响应文件应当对采购需求和合同草案中的关键条款作出满足性或更有利于采购人的响应，否则，供应商的响应文件将被视为无效。</w:t>
      </w:r>
    </w:p>
    <w:p w14:paraId="70E3556F">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1.10.2供应商须知前附表规定了对非关键条款允许偏差的范围和可以偏差的项数的,如响应文件存在的偏差超出上述范围或项数，将被视为无效。</w:t>
      </w:r>
    </w:p>
    <w:p w14:paraId="1D44A3EC">
      <w:pPr>
        <w:spacing w:after="0" w:line="560" w:lineRule="exact"/>
        <w:ind w:firstLine="643" w:firstLineChars="200"/>
        <w:jc w:val="both"/>
        <w:outlineLvl w:val="1"/>
        <w:rPr>
          <w:rFonts w:ascii="Times New Roman" w:hAnsi="Times New Roman" w:eastAsia="仿宋_GB2312" w:cs="Times New Roman"/>
          <w:b/>
          <w:snapToGrid w:val="0"/>
          <w:sz w:val="32"/>
          <w:szCs w:val="32"/>
        </w:rPr>
      </w:pPr>
      <w:bookmarkStart w:id="72" w:name="_Toc7980"/>
      <w:r>
        <w:rPr>
          <w:rFonts w:ascii="Times New Roman" w:hAnsi="Times New Roman" w:eastAsia="仿宋_GB2312" w:cs="Times New Roman"/>
          <w:b/>
          <w:snapToGrid w:val="0"/>
          <w:sz w:val="32"/>
          <w:szCs w:val="32"/>
        </w:rPr>
        <w:t>2.采购文件</w:t>
      </w:r>
      <w:bookmarkEnd w:id="72"/>
    </w:p>
    <w:p w14:paraId="7E909944">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73" w:name="_Toc15665"/>
      <w:r>
        <w:rPr>
          <w:rFonts w:ascii="Times New Roman" w:hAnsi="Times New Roman" w:eastAsia="仿宋_GB2312" w:cs="Times New Roman"/>
          <w:snapToGrid w:val="0"/>
          <w:sz w:val="32"/>
          <w:szCs w:val="32"/>
        </w:rPr>
        <w:t>2.1 采购文件的组成</w:t>
      </w:r>
      <w:bookmarkEnd w:id="73"/>
    </w:p>
    <w:p w14:paraId="62D0A879">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2.1.1本采购文件包括：</w:t>
      </w:r>
    </w:p>
    <w:p w14:paraId="155B2C76">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（1）谈判采购公告(或谈判采购邀请书)；</w:t>
      </w:r>
    </w:p>
    <w:p w14:paraId="4D8A1D7D">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（2）供应商须知；</w:t>
      </w:r>
    </w:p>
    <w:p w14:paraId="65851877">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（3）评审办法；</w:t>
      </w:r>
    </w:p>
    <w:p w14:paraId="1D0E9C0E">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（4）合同草案；</w:t>
      </w:r>
    </w:p>
    <w:p w14:paraId="10C440AF">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（5）采购需求；</w:t>
      </w:r>
    </w:p>
    <w:p w14:paraId="03576A39">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（6）响应文件格式；</w:t>
      </w:r>
    </w:p>
    <w:p w14:paraId="1232011A">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（7）供应商须知前附表规定的其他资料。</w:t>
      </w:r>
    </w:p>
    <w:p w14:paraId="1E2898A8">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74" w:name="_bookmark3"/>
      <w:bookmarkEnd w:id="74"/>
      <w:bookmarkStart w:id="75" w:name="_Toc31745"/>
      <w:r>
        <w:rPr>
          <w:rFonts w:ascii="Times New Roman" w:hAnsi="Times New Roman" w:eastAsia="仿宋_GB2312" w:cs="Times New Roman"/>
          <w:snapToGrid w:val="0"/>
          <w:sz w:val="32"/>
          <w:szCs w:val="32"/>
        </w:rPr>
        <w:t>采购人依照本章规定，对采购文件所作的澄清、修改，构成采购文件的组成部分。</w:t>
      </w:r>
      <w:bookmarkEnd w:id="75"/>
    </w:p>
    <w:p w14:paraId="1FADAF30">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76" w:name="_Toc3172"/>
      <w:r>
        <w:rPr>
          <w:rFonts w:ascii="Times New Roman" w:hAnsi="Times New Roman" w:eastAsia="仿宋_GB2312" w:cs="Times New Roman"/>
          <w:snapToGrid w:val="0"/>
          <w:sz w:val="32"/>
          <w:szCs w:val="32"/>
        </w:rPr>
        <w:t>2.2 采购文件的澄清和修改</w:t>
      </w:r>
      <w:bookmarkEnd w:id="76"/>
    </w:p>
    <w:p w14:paraId="306AA09F">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2.2.1供应商应仔细阅读和检查采购文件的全部内容。如发现缺页或内容不全，应及时向采购人提出，以便补齐。如有疑问，应在供应商须知前附表规定的时间前，以书面形式要求采购人对采购文件予以澄清。</w:t>
      </w:r>
    </w:p>
    <w:p w14:paraId="026CCEB1">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2.2.2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14:paraId="4131E1B2">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2.2.3供应商在收到补充文件后，应按供应商须知前附表规定的时间和方式通知采购人，确认已收到该补充文件。</w:t>
      </w:r>
    </w:p>
    <w:p w14:paraId="184414EA">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2.2.4除非确有必要，采购人有权拒绝回复供应商在本章第2.2.1项规定的时间后提出的任何澄清要求。</w:t>
      </w:r>
    </w:p>
    <w:p w14:paraId="07296562">
      <w:pPr>
        <w:spacing w:after="0" w:line="560" w:lineRule="exact"/>
        <w:ind w:firstLine="643" w:firstLineChars="200"/>
        <w:jc w:val="both"/>
        <w:outlineLvl w:val="1"/>
        <w:rPr>
          <w:rFonts w:ascii="Times New Roman" w:hAnsi="Times New Roman" w:eastAsia="仿宋_GB2312" w:cs="Times New Roman"/>
          <w:b/>
          <w:snapToGrid w:val="0"/>
          <w:sz w:val="32"/>
          <w:szCs w:val="32"/>
        </w:rPr>
      </w:pPr>
      <w:bookmarkStart w:id="77" w:name="_Toc28275"/>
      <w:r>
        <w:rPr>
          <w:rFonts w:ascii="Times New Roman" w:hAnsi="Times New Roman" w:eastAsia="仿宋_GB2312" w:cs="Times New Roman"/>
          <w:b/>
          <w:snapToGrid w:val="0"/>
          <w:sz w:val="32"/>
          <w:szCs w:val="32"/>
        </w:rPr>
        <w:t>3.响应文件</w:t>
      </w:r>
      <w:bookmarkEnd w:id="77"/>
    </w:p>
    <w:p w14:paraId="1C4D06BB">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78" w:name="_Toc24975"/>
      <w:r>
        <w:rPr>
          <w:rFonts w:ascii="Times New Roman" w:hAnsi="Times New Roman" w:eastAsia="仿宋_GB2312" w:cs="Times New Roman"/>
          <w:snapToGrid w:val="0"/>
          <w:sz w:val="32"/>
          <w:szCs w:val="32"/>
        </w:rPr>
        <w:t>3.1响应文件的组成</w:t>
      </w:r>
      <w:bookmarkEnd w:id="78"/>
    </w:p>
    <w:p w14:paraId="732712D3">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3.1.1响应文件应包括下列内容：</w:t>
      </w:r>
    </w:p>
    <w:p w14:paraId="63EE57A8">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（1）响应函；</w:t>
      </w:r>
    </w:p>
    <w:p w14:paraId="2F78215E">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（2）授权委托书(如有)；</w:t>
      </w:r>
    </w:p>
    <w:p w14:paraId="01B42E15">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（3）联合体协议书(如有)；</w:t>
      </w:r>
    </w:p>
    <w:p w14:paraId="3A3E1DE4">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（4）响应保证金(如有)；</w:t>
      </w:r>
    </w:p>
    <w:p w14:paraId="06DD5FD3">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（5）商务和技术偏差表；</w:t>
      </w:r>
    </w:p>
    <w:p w14:paraId="325487F8">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（6）报价表；</w:t>
      </w:r>
    </w:p>
    <w:p w14:paraId="5069FBA6">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（7）资格审查资料；</w:t>
      </w:r>
    </w:p>
    <w:p w14:paraId="49A19DA2">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（8）响应方案；</w:t>
      </w:r>
    </w:p>
    <w:p w14:paraId="0316F0DC">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（9）供应商须知前附表规定的其他资料。</w:t>
      </w:r>
    </w:p>
    <w:p w14:paraId="1A2CD937">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供应商在谈判和评审过程中作出的符合采购文件要求的澄清、说明和补正，构成响应文件的组成部分。</w:t>
      </w:r>
    </w:p>
    <w:p w14:paraId="46E3B259">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3.1.2供应商的法定代表人(单位负责人)亲自签署响应文件、亲自参加谈判的，响应文件不包括第3.1.1(2)目所指的授权委托书。第一章“谈判采购公告/谈判采购邀请书”规定不接受联合体的，或供应商没有组成联合体的，响应文件不包括第3.1.1(3)目所指的联合体协议书。供应商须知前附表未要求供应商递交响应保证金的，响应文件不包括第3.1.1(4)目所指的响应保证金。</w:t>
      </w:r>
    </w:p>
    <w:p w14:paraId="1C60032E">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79" w:name="_Toc915"/>
      <w:r>
        <w:rPr>
          <w:rFonts w:ascii="Times New Roman" w:hAnsi="Times New Roman" w:eastAsia="仿宋_GB2312" w:cs="Times New Roman"/>
          <w:snapToGrid w:val="0"/>
          <w:sz w:val="32"/>
          <w:szCs w:val="32"/>
        </w:rPr>
        <w:t>3.2 报价</w:t>
      </w:r>
      <w:bookmarkEnd w:id="79"/>
    </w:p>
    <w:p w14:paraId="04C5820B">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3.2.1供应商应按采购文件提供的格式(见第六章“响应文件格式”)在响应函和报价表中进行报价。响应函中报价应为包含国家规定的增值税在内的含税价格，同时应列明不含税价格和增值税税额。采购人将根据项目情况，在第三章“评审办法”第3.1.1项中选择按照含税价格或不含税价格对供应商进行价格评审。</w:t>
      </w:r>
    </w:p>
    <w:p w14:paraId="6E7D2F89">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3.2.2供应商应充分了解采购项目的总体情况以及影响报价的其他要素。对于货物和服务采购项目，采购人在签署采购合同时及合同履行过程中，有权在供应商须知前附表规定的幅度内对采购标的的数量进行增加或减少。</w:t>
      </w:r>
    </w:p>
    <w:p w14:paraId="3C65ACB2">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3.2.3采购人设有最高限价的，供应商的报价不得超过最高限价。最高限价或最高限价计算方法在供应商须知前附表中载明。</w:t>
      </w:r>
    </w:p>
    <w:p w14:paraId="10D6682B">
      <w:pPr>
        <w:spacing w:after="0" w:line="560" w:lineRule="exact"/>
        <w:ind w:firstLine="640" w:firstLineChars="200"/>
        <w:jc w:val="both"/>
        <w:outlineLvl w:val="3"/>
        <w:rPr>
          <w:rFonts w:ascii="Times New Roman" w:hAnsi="Times New Roman" w:eastAsia="仿宋_GB2312" w:cs="Times New Roman"/>
          <w:snapToGrid w:val="0"/>
          <w:sz w:val="32"/>
          <w:szCs w:val="32"/>
        </w:rPr>
      </w:pPr>
      <w:bookmarkStart w:id="80" w:name="_bookmark4"/>
      <w:bookmarkEnd w:id="80"/>
      <w:r>
        <w:rPr>
          <w:rFonts w:ascii="Times New Roman" w:hAnsi="Times New Roman" w:eastAsia="仿宋_GB2312" w:cs="Times New Roman"/>
          <w:snapToGrid w:val="0"/>
          <w:sz w:val="32"/>
          <w:szCs w:val="32"/>
        </w:rPr>
        <w:t>3.2.4报价的其他要求见供应商须知前附表。</w:t>
      </w:r>
    </w:p>
    <w:p w14:paraId="68F929A2">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3.2.5对于本文件中未列明，而供应商认为必需的费用也需列入总报价。在合同实施时，采购人将不予支付成交供应商没有列入的项目费用，并认为此项目的费用已包括在总报价中。成交供应商负责本项目所需货物的制造、供应、运输、售后服务等全部工作。</w:t>
      </w:r>
    </w:p>
    <w:p w14:paraId="7B781FA6">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81" w:name="_Toc5615"/>
      <w:r>
        <w:rPr>
          <w:rFonts w:ascii="Times New Roman" w:hAnsi="Times New Roman" w:eastAsia="仿宋_GB2312" w:cs="Times New Roman"/>
          <w:snapToGrid w:val="0"/>
          <w:sz w:val="32"/>
          <w:szCs w:val="32"/>
        </w:rPr>
        <w:t>3.3 响应文件有效期</w:t>
      </w:r>
      <w:bookmarkEnd w:id="81"/>
    </w:p>
    <w:p w14:paraId="69E6E950">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3.3.1除供应商须知前附表另有规定外，响应文件有效期应为90日历天，从采购文件规定的递交响应文件的截止时间开始计算。</w:t>
      </w:r>
    </w:p>
    <w:p w14:paraId="31917AFD">
      <w:pPr>
        <w:spacing w:after="0" w:line="560" w:lineRule="exact"/>
        <w:ind w:firstLine="640" w:firstLineChars="200"/>
        <w:jc w:val="both"/>
        <w:outlineLvl w:val="3"/>
        <w:rPr>
          <w:rFonts w:ascii="Times New Roman" w:hAnsi="Times New Roman" w:eastAsia="仿宋_GB2312" w:cs="Times New Roman"/>
          <w:snapToGrid w:val="0"/>
          <w:sz w:val="32"/>
          <w:szCs w:val="32"/>
        </w:rPr>
      </w:pPr>
      <w:bookmarkStart w:id="82" w:name="扫描0024"/>
      <w:bookmarkEnd w:id="82"/>
      <w:r>
        <w:rPr>
          <w:rFonts w:ascii="Times New Roman" w:hAnsi="Times New Roman" w:eastAsia="仿宋_GB2312" w:cs="Times New Roman"/>
          <w:snapToGrid w:val="0"/>
          <w:sz w:val="32"/>
          <w:szCs w:val="32"/>
        </w:rPr>
        <w:t xml:space="preserve">3.3.2出现特殊情况需要延长响应文件有效期的，采购人在EPS系统中通过标前澄清通知所有供应商延长响应文件有效期。 </w:t>
      </w:r>
    </w:p>
    <w:p w14:paraId="39E6DD01">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83" w:name="_Toc30291"/>
      <w:r>
        <w:rPr>
          <w:rFonts w:ascii="Times New Roman" w:hAnsi="Times New Roman" w:eastAsia="仿宋_GB2312" w:cs="Times New Roman"/>
          <w:snapToGrid w:val="0"/>
          <w:sz w:val="32"/>
          <w:szCs w:val="32"/>
        </w:rPr>
        <w:t>3.4 响应保证金</w:t>
      </w:r>
      <w:bookmarkEnd w:id="83"/>
    </w:p>
    <w:p w14:paraId="6E6F578E">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3.4.1供应商须知前附表规定要求递交响应保证金的，供应商在递交响应文件的同时，应按供应商须知前附表规定的金额、形式和采购文件提供的格式(见第六章“响应文件格式”四、响应保证金)递交响应保证金，并作为其响应文件的组成部分。供应商不按要求递交响应保证金的，其响应文件将被视为无效。</w:t>
      </w:r>
    </w:p>
    <w:p w14:paraId="3E3891B6">
      <w:pPr>
        <w:spacing w:after="0" w:line="560" w:lineRule="exact"/>
        <w:ind w:firstLine="640" w:firstLineChars="200"/>
        <w:jc w:val="both"/>
        <w:outlineLvl w:val="3"/>
        <w:rPr>
          <w:rFonts w:ascii="Times New Roman" w:hAnsi="Times New Roman" w:eastAsia="仿宋_GB2312" w:cs="Times New Roman"/>
          <w:snapToGrid w:val="0"/>
          <w:sz w:val="32"/>
          <w:szCs w:val="32"/>
        </w:rPr>
      </w:pPr>
      <w:bookmarkStart w:id="84" w:name="_Hlk99362528"/>
      <w:r>
        <w:rPr>
          <w:rFonts w:ascii="Times New Roman" w:hAnsi="Times New Roman" w:eastAsia="仿宋_GB2312" w:cs="Times New Roman"/>
          <w:snapToGrid w:val="0"/>
          <w:sz w:val="32"/>
          <w:szCs w:val="32"/>
        </w:rPr>
        <w:t>3.4.2除供应商须知前附表另有规定外，采购人将在发出成交通知书后尽快向除成交供应商外的其他供应商原额退还响应保证金，并在采购合同签订后尽快向成交供应商和退还响应保证金。采用银行保函、担保机构担保函、保险机构保险单形式递交的响应保证金，经供应商同意后采购人可以不再退还。</w:t>
      </w:r>
    </w:p>
    <w:p w14:paraId="2861307F">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3.4.3有下列情形之一的，响应保证金将不予退还：</w:t>
      </w:r>
    </w:p>
    <w:p w14:paraId="0BDE0544">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85" w:name="_Toc19635"/>
      <w:r>
        <w:rPr>
          <w:rFonts w:ascii="Times New Roman" w:hAnsi="Times New Roman" w:eastAsia="仿宋_GB2312" w:cs="Times New Roman"/>
          <w:snapToGrid w:val="0"/>
          <w:sz w:val="32"/>
          <w:szCs w:val="32"/>
        </w:rPr>
        <w:t>供应商在响应文件有效期内撤销响应文件；</w:t>
      </w:r>
      <w:bookmarkEnd w:id="85"/>
    </w:p>
    <w:p w14:paraId="54078076">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成交供应商在收到成交通知书后，无正当理由不与采购人订立合同，在签订合同时向采购人提出附加条件，或者不按照采购文件要求递交履约保证金；</w:t>
      </w:r>
    </w:p>
    <w:p w14:paraId="421912F1">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发生供应商须知前附表规定的其他不予退还响应保证金的情形。</w:t>
      </w:r>
    </w:p>
    <w:bookmarkEnd w:id="84"/>
    <w:p w14:paraId="2225F273">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86" w:name="_Toc26912"/>
      <w:r>
        <w:rPr>
          <w:rFonts w:ascii="Times New Roman" w:hAnsi="Times New Roman" w:eastAsia="仿宋_GB2312" w:cs="Times New Roman"/>
          <w:snapToGrid w:val="0"/>
          <w:sz w:val="32"/>
          <w:szCs w:val="32"/>
        </w:rPr>
        <w:t>3.5 资格审查资料</w:t>
      </w:r>
      <w:bookmarkEnd w:id="86"/>
    </w:p>
    <w:p w14:paraId="3B10599E">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供应商应提供供应商须知前附表3.5(1)-3.5(9)中规定的资格审查资料，以证明其满足第一章“谈判采购公告/谈判采购邀请书”对供应商的各项资格要求。</w:t>
      </w:r>
    </w:p>
    <w:p w14:paraId="781FC45E">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87" w:name="_Toc25251"/>
      <w:r>
        <w:rPr>
          <w:rFonts w:ascii="Times New Roman" w:hAnsi="Times New Roman" w:eastAsia="仿宋_GB2312" w:cs="Times New Roman"/>
          <w:snapToGrid w:val="0"/>
          <w:sz w:val="32"/>
          <w:szCs w:val="32"/>
        </w:rPr>
        <w:t>3.6 响应方案</w:t>
      </w:r>
      <w:bookmarkEnd w:id="87"/>
    </w:p>
    <w:p w14:paraId="0DA1C0EA">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3.6.1响应文件应当对采购文件中的实质性内容作出响应。采购需求中明确为关键条款(标记“</w:t>
      </w:r>
      <w:r>
        <w:rPr>
          <w:rFonts w:ascii="Segoe UI Symbol" w:hAnsi="Segoe UI Symbol" w:eastAsia="仿宋_GB2312" w:cs="Segoe UI Symbol"/>
          <w:snapToGrid w:val="0"/>
          <w:sz w:val="32"/>
          <w:szCs w:val="32"/>
        </w:rPr>
        <w:t>★</w:t>
      </w:r>
      <w:r>
        <w:rPr>
          <w:rFonts w:ascii="Times New Roman" w:hAnsi="Times New Roman" w:eastAsia="仿宋_GB2312" w:cs="Times New Roman"/>
          <w:snapToGrid w:val="0"/>
          <w:sz w:val="32"/>
          <w:szCs w:val="32"/>
        </w:rPr>
        <w:t>”)的，供应商还应按照供应商须知前附表的规定提供有关证据或证明材料。</w:t>
      </w:r>
    </w:p>
    <w:p w14:paraId="04DC7482">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3.6.2除供应商须知前附表规定供应商只能提出唯一响应方案外，供应商可在首次递交的响应文件中提出多个响应方案。供应商在最终报价前应确定一个最终方案，并针对最终方案提出最终报价。</w:t>
      </w:r>
    </w:p>
    <w:p w14:paraId="39BC2E65">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3.6.3响应文件对采购文件的全部偏差，均应在响应文件的商务和技术偏差表中列明。响应文件偏差表中未列明的内容，将视为响应采购文件的要求；但如发现响应文件的其他部分与商务和技术偏差表的描述不一致或供应商的响应缺乏支持性文件，则采购小组有权要求供应商对相关问题进行澄清，并根据澄清结果对供应商的响应文件进行评审。</w:t>
      </w:r>
    </w:p>
    <w:p w14:paraId="2149AB4C">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88" w:name="_bookmark5"/>
      <w:bookmarkEnd w:id="88"/>
      <w:bookmarkStart w:id="89" w:name="扫描0025"/>
      <w:bookmarkEnd w:id="89"/>
      <w:bookmarkStart w:id="90" w:name="_Toc16746"/>
      <w:r>
        <w:rPr>
          <w:rFonts w:ascii="Times New Roman" w:hAnsi="Times New Roman" w:eastAsia="仿宋_GB2312" w:cs="Times New Roman"/>
          <w:snapToGrid w:val="0"/>
          <w:sz w:val="32"/>
          <w:szCs w:val="32"/>
        </w:rPr>
        <w:t>3.7 响应文件的编制</w:t>
      </w:r>
      <w:bookmarkEnd w:id="90"/>
    </w:p>
    <w:p w14:paraId="27536F77">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3.7.1响应文件应按第六章“响应文件格式”进行编写，如有必要，可以增加附页，作为响应文件的组成部分。</w:t>
      </w:r>
    </w:p>
    <w:p w14:paraId="586BA157">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3.7.2响应文件应用不褪色的材料书写或打印。</w:t>
      </w:r>
    </w:p>
    <w:p w14:paraId="1C59EA6D">
      <w:pPr>
        <w:spacing w:after="0" w:line="560" w:lineRule="exact"/>
        <w:ind w:firstLine="640" w:firstLineChars="200"/>
        <w:jc w:val="both"/>
        <w:outlineLvl w:val="1"/>
        <w:rPr>
          <w:rFonts w:ascii="Times New Roman" w:hAnsi="Times New Roman" w:eastAsia="仿宋_GB2312" w:cs="Times New Roman"/>
          <w:snapToGrid w:val="0"/>
          <w:sz w:val="32"/>
          <w:szCs w:val="32"/>
        </w:rPr>
      </w:pPr>
      <w:bookmarkStart w:id="91" w:name="_Toc23567"/>
      <w:r>
        <w:rPr>
          <w:rFonts w:ascii="Times New Roman" w:hAnsi="Times New Roman" w:eastAsia="仿宋_GB2312" w:cs="Times New Roman"/>
          <w:snapToGrid w:val="0"/>
          <w:sz w:val="32"/>
          <w:szCs w:val="32"/>
        </w:rPr>
        <w:t>响应函应由供应商的法定代表人（单位负责人）或其授权的代理人签字并加盖单位公章。</w:t>
      </w:r>
      <w:bookmarkEnd w:id="91"/>
    </w:p>
    <w:p w14:paraId="0CE24C20">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联合体协议书（如有）应由联合体各方的法定代表人（单位负责人）或其授权的代理人签字并加盖单位公章。</w:t>
      </w:r>
    </w:p>
    <w:p w14:paraId="16F2B693">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响应函或联合体协议书（如有）由代理人签字的，应在响应文件中附授权委托书，授权委托书应由供应商或联合体各方的法定代表人（单位负责人）签字并加盖单位公章。</w:t>
      </w:r>
    </w:p>
    <w:p w14:paraId="1AB72E05">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3.7.3谈判中供应商对响应文件的澄清、说明和补正应由供应商的法定代表人（单位负责人）或其授权的代理人签字或加盖单位公章。</w:t>
      </w:r>
    </w:p>
    <w:p w14:paraId="2F953A9C">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3.7.4响应文件应尽量避免涂改、行间插字或删除。如果出现上述情况，改动之处应由供应商的法定代表人（单位负责人）或其授权的代理人签字或加盖单位公章。</w:t>
      </w:r>
    </w:p>
    <w:p w14:paraId="43CCA13C">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3.7.5响应文件正本一份，副本份数见供应商须知前附表。正本和副本的封面右上角应清楚地标记“正本”或“副本”的字样。</w:t>
      </w:r>
      <w:bookmarkStart w:id="92" w:name="_Hlk99362659"/>
      <w:r>
        <w:rPr>
          <w:rFonts w:ascii="Times New Roman" w:hAnsi="Times New Roman" w:eastAsia="仿宋_GB2312" w:cs="Times New Roman"/>
          <w:snapToGrid w:val="0"/>
          <w:sz w:val="32"/>
          <w:szCs w:val="32"/>
        </w:rPr>
        <w:t>供应商应根据供应商须知前附表要求提供电子版文件。当副本和正本不一致时，以正本为准；当电子版文件和纸质版文件不一致时，以EPS电子采购平台系统内上传的版本为准。</w:t>
      </w:r>
      <w:bookmarkEnd w:id="92"/>
    </w:p>
    <w:p w14:paraId="20E4E68F">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3.7.6响应文件的正本与副本应分别装订，并编制目录。响应文件需分册装订的，具体分册装订要求见供应商须知前附表规定。</w:t>
      </w:r>
    </w:p>
    <w:p w14:paraId="4B2EBC4C">
      <w:pPr>
        <w:spacing w:after="0" w:line="560" w:lineRule="exact"/>
        <w:ind w:firstLine="643" w:firstLineChars="200"/>
        <w:jc w:val="both"/>
        <w:outlineLvl w:val="1"/>
        <w:rPr>
          <w:rFonts w:ascii="Times New Roman" w:hAnsi="Times New Roman" w:eastAsia="仿宋_GB2312" w:cs="Times New Roman"/>
          <w:b/>
          <w:snapToGrid w:val="0"/>
          <w:sz w:val="32"/>
          <w:szCs w:val="32"/>
        </w:rPr>
      </w:pPr>
      <w:bookmarkStart w:id="93" w:name="_Toc23646"/>
      <w:r>
        <w:rPr>
          <w:rFonts w:ascii="Times New Roman" w:hAnsi="Times New Roman" w:eastAsia="仿宋_GB2312" w:cs="Times New Roman"/>
          <w:b/>
          <w:snapToGrid w:val="0"/>
          <w:sz w:val="32"/>
          <w:szCs w:val="32"/>
        </w:rPr>
        <w:t>4.采购和评审</w:t>
      </w:r>
      <w:bookmarkEnd w:id="93"/>
    </w:p>
    <w:p w14:paraId="660EF465">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94" w:name="_Toc19242"/>
      <w:r>
        <w:rPr>
          <w:rFonts w:ascii="Times New Roman" w:hAnsi="Times New Roman" w:eastAsia="仿宋_GB2312" w:cs="Times New Roman"/>
          <w:snapToGrid w:val="0"/>
          <w:sz w:val="32"/>
          <w:szCs w:val="32"/>
        </w:rPr>
        <w:t>4.1 采购小组</w:t>
      </w:r>
      <w:bookmarkEnd w:id="94"/>
    </w:p>
    <w:p w14:paraId="453818CE">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4.1.1采购方将组建采购小组，由采购小组按照本条规定的程序以及第三章“评审办法”的规定与供应商进行谈判、对响应文件进行评审和比较。</w:t>
      </w:r>
    </w:p>
    <w:p w14:paraId="74844088">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4.1.2采购小组成员有下列情形之一的，应当回避：</w:t>
      </w:r>
    </w:p>
    <w:p w14:paraId="2368DC1C">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95" w:name="_Toc20047"/>
      <w:r>
        <w:rPr>
          <w:rFonts w:ascii="Times New Roman" w:hAnsi="Times New Roman" w:eastAsia="仿宋_GB2312" w:cs="Times New Roman"/>
          <w:snapToGrid w:val="0"/>
          <w:sz w:val="32"/>
          <w:szCs w:val="32"/>
        </w:rPr>
        <w:t>供应商主要负责人或供应商主要负责人的近亲属；</w:t>
      </w:r>
      <w:bookmarkEnd w:id="95"/>
    </w:p>
    <w:p w14:paraId="6750B949">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与供应商有经济利益关系或其他利害关系，可能影响公正评审的。</w:t>
      </w:r>
    </w:p>
    <w:p w14:paraId="0B3863E0">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4.1.3采购小组组建后，采购小组成员共同推选或由采购人指定采购小组组长，采购小组组长负责组织谈判及评审工作。</w:t>
      </w:r>
    </w:p>
    <w:p w14:paraId="33135E8E">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4.1.4在谈判和评审过程中，采购小组成员对需要共同认定的事项存在争议的，将按照少数服从多数的原则作出结论。持不同意见的采购小组成员应当在评审报告上写明不同意见及理由，否则视为同意评审报告。</w:t>
      </w:r>
    </w:p>
    <w:p w14:paraId="7E631AAE">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96" w:name="_Toc14901"/>
      <w:r>
        <w:rPr>
          <w:rFonts w:ascii="Times New Roman" w:hAnsi="Times New Roman" w:eastAsia="仿宋_GB2312" w:cs="Times New Roman"/>
          <w:snapToGrid w:val="0"/>
          <w:sz w:val="32"/>
          <w:szCs w:val="32"/>
        </w:rPr>
        <w:t>4.2 初步评审</w:t>
      </w:r>
      <w:bookmarkEnd w:id="96"/>
    </w:p>
    <w:p w14:paraId="2DFFDE45">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4.2.1采购小组按照第三章“评审办法”规定的评审标准和程序对供应商递交的响应文件进行初步评审。初步评审主要对响应文件的形式、供应商的资格和响应文件的响应性进行审查，以判断响应文件的形式是否符合要求、供应商是否符合资格条件、响应文件是否实质性响应采购文件的要求。</w:t>
      </w:r>
    </w:p>
    <w:p w14:paraId="2998DAF1">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4.2.2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14:paraId="2D68D96A">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4.2.3只有形式评审和资格评审合格且实质性响应采购文件要求的供应商才可通过初步评审。经供应商澄清、说明和补正后仍未通过初步评审的响应文件将被视为无效，采购小组应告知有关供应商。</w:t>
      </w:r>
    </w:p>
    <w:p w14:paraId="07A79633">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97" w:name="_Toc10927"/>
      <w:r>
        <w:rPr>
          <w:rFonts w:ascii="Times New Roman" w:hAnsi="Times New Roman" w:eastAsia="仿宋_GB2312" w:cs="Times New Roman"/>
          <w:snapToGrid w:val="0"/>
          <w:sz w:val="32"/>
          <w:szCs w:val="32"/>
        </w:rPr>
        <w:t>4.3 谈判</w:t>
      </w:r>
      <w:bookmarkEnd w:id="97"/>
    </w:p>
    <w:p w14:paraId="7309AC37">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4.3.1采购小组应按照供应商须知前附表规定的谈判轮次及谈判顺序与通过初步评审的供应商逐一进行谈判。</w:t>
      </w:r>
    </w:p>
    <w:p w14:paraId="1AA46CE4">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4.3.2通过公告方式邀请供应商且通过初步评审的供应商均需进行谈判。</w:t>
      </w:r>
    </w:p>
    <w:p w14:paraId="1D59BC7E">
      <w:pPr>
        <w:spacing w:after="0" w:line="560" w:lineRule="exact"/>
        <w:ind w:firstLine="640" w:firstLineChars="200"/>
        <w:jc w:val="both"/>
        <w:outlineLvl w:val="3"/>
        <w:rPr>
          <w:rFonts w:ascii="Times New Roman" w:hAnsi="Times New Roman" w:eastAsia="仿宋_GB2312" w:cs="Times New Roman"/>
          <w:b/>
          <w:snapToGrid w:val="0"/>
          <w:sz w:val="32"/>
          <w:szCs w:val="32"/>
        </w:rPr>
      </w:pPr>
      <w:r>
        <w:rPr>
          <w:rFonts w:ascii="Times New Roman" w:hAnsi="Times New Roman" w:eastAsia="仿宋_GB2312" w:cs="Times New Roman"/>
          <w:snapToGrid w:val="0"/>
          <w:sz w:val="32"/>
          <w:szCs w:val="32"/>
        </w:rPr>
        <w:t>4.3.3采购小组所有成员应集中与单一供应商逐一进行谈判，并给予所有参加谈判的供应商平等的谈判机会。供应商的法定代表人（单位负责人）或其授权的代理人应参加谈判。供应商的法定代表人（单位负责人）或其授权的代理人在谈判中做出的承诺构成响应文件的组成部分。</w:t>
      </w:r>
    </w:p>
    <w:p w14:paraId="52B6DA0A">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98" w:name="_Toc16435"/>
      <w:r>
        <w:rPr>
          <w:rFonts w:ascii="Times New Roman" w:hAnsi="Times New Roman" w:eastAsia="仿宋_GB2312" w:cs="Times New Roman"/>
          <w:snapToGrid w:val="0"/>
          <w:sz w:val="32"/>
          <w:szCs w:val="32"/>
        </w:rPr>
        <w:t>4.4 递交补充响应文件</w:t>
      </w:r>
      <w:bookmarkEnd w:id="98"/>
    </w:p>
    <w:p w14:paraId="270D6D68">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4.4.1在谈判过程中，采购小组可根据谈判情况修改和补充采购文件中采购需求部分</w:t>
      </w:r>
      <w:bookmarkStart w:id="99" w:name="扫描0028"/>
      <w:bookmarkEnd w:id="99"/>
      <w:r>
        <w:rPr>
          <w:rFonts w:ascii="Times New Roman" w:hAnsi="Times New Roman" w:eastAsia="仿宋_GB2312" w:cs="Times New Roman"/>
          <w:snapToGrid w:val="0"/>
          <w:sz w:val="32"/>
          <w:szCs w:val="32"/>
        </w:rPr>
        <w:t>的技术、服务要求以及合同草案条款等内容，但不得实质性改变评审标准或改变可能影响初步评审结果的内容。采购小组修改和补充采购文件的，应当以书面形式将修改和补充的内容通知所有参加谈判的供应商。修改和补充的内容构成采购文件的组成部分。</w:t>
      </w:r>
    </w:p>
    <w:p w14:paraId="254C224D">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4.4.2采购小组修改和补充采购文件后，应要求供应商修改和补充响应文件。供应商应按照采购文件修改和补充的内容及要求相应地对已经递交的响应文件进行修改和补充（即补充响应文件）。补充响应文件应由供应商的法定代表人（单位负责人）或其授权的代理人签字或加盖单位公章，并对采购文件修改和补充的内容作出实质性的响应。补充响应文件与首次递交的响应文件共同构成供应商响应文件的组成部分，二者内容不一致的，以补充响应文件内容为准。</w:t>
      </w:r>
    </w:p>
    <w:p w14:paraId="33FC1541">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4.4.3采购小组审查供应商补充响应文件，对其响应性进行评审。补充响应文件实质性响应采购文件及其修改和补充内容的，采购小组应要求供应商在规定时间内递交最终报价；补充响应文件未能实质性响应采购文件及其修改和补充内容的，该响应文件将被视为无效，采购小组应取消供应商的谈判资格并对其进行告知。</w:t>
      </w:r>
    </w:p>
    <w:p w14:paraId="56189001">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100" w:name="_Toc129"/>
      <w:r>
        <w:rPr>
          <w:rFonts w:ascii="Times New Roman" w:hAnsi="Times New Roman" w:eastAsia="仿宋_GB2312" w:cs="Times New Roman"/>
          <w:snapToGrid w:val="0"/>
          <w:sz w:val="32"/>
          <w:szCs w:val="32"/>
        </w:rPr>
        <w:t>4.5 递交最终报价</w:t>
      </w:r>
      <w:bookmarkEnd w:id="100"/>
    </w:p>
    <w:p w14:paraId="3DD6AD47">
      <w:pPr>
        <w:spacing w:after="0" w:line="560" w:lineRule="exact"/>
        <w:ind w:firstLine="640" w:firstLineChars="200"/>
        <w:jc w:val="both"/>
        <w:outlineLvl w:val="3"/>
        <w:rPr>
          <w:rFonts w:ascii="Times New Roman" w:hAnsi="Times New Roman" w:eastAsia="仿宋_GB2312" w:cs="Times New Roman"/>
          <w:snapToGrid w:val="0"/>
          <w:sz w:val="32"/>
          <w:szCs w:val="32"/>
        </w:rPr>
      </w:pPr>
      <w:bookmarkStart w:id="101" w:name="_Hlk99362697"/>
      <w:r>
        <w:rPr>
          <w:rFonts w:ascii="Times New Roman" w:hAnsi="Times New Roman" w:eastAsia="仿宋_GB2312" w:cs="Times New Roman"/>
          <w:snapToGrid w:val="0"/>
          <w:sz w:val="32"/>
          <w:szCs w:val="32"/>
        </w:rPr>
        <w:t>采购小组在谈判中未修改或补充采购文件的，谈判结束后，采购小组将要求所有参加谈判的供应商在规定时间内递交最终报价；采购小组修改和补充了采购文件的，采购小组应要求按照本章第4.4款规定递交了实质性响应的补充响应文件的供应商在规定时间内在EPS系统上递交最终报价。最终报价是供应商响应文件的组成部分。</w:t>
      </w:r>
      <w:bookmarkEnd w:id="101"/>
    </w:p>
    <w:p w14:paraId="48544CB1">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102" w:name="_Toc23541"/>
      <w:r>
        <w:rPr>
          <w:rFonts w:ascii="Times New Roman" w:hAnsi="Times New Roman" w:eastAsia="仿宋_GB2312" w:cs="Times New Roman"/>
          <w:snapToGrid w:val="0"/>
          <w:sz w:val="32"/>
          <w:szCs w:val="32"/>
        </w:rPr>
        <w:t>4.6 详细评申及推荐成交供应商</w:t>
      </w:r>
      <w:bookmarkEnd w:id="102"/>
    </w:p>
    <w:p w14:paraId="3326AA65">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4.6.1采购小组按照第三章“评审办法”规定的评审方法、评审因素、评审标准和程序对响应文件进行详细评审。第三章“评审办法”没有规定的方法、因素和标准，不作为评审依据。</w:t>
      </w:r>
    </w:p>
    <w:p w14:paraId="7FA0B685">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4.6.2评审完成后，采购小组应当向采购人提交书面评审报告和候选成交供应商名单。</w:t>
      </w:r>
    </w:p>
    <w:p w14:paraId="6E946730">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4.6.3所有供应商最终报价均明显不合理的，采购人将终止采购活动。</w:t>
      </w:r>
    </w:p>
    <w:p w14:paraId="6CCBF67E">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103" w:name="_Toc22446"/>
      <w:r>
        <w:rPr>
          <w:rFonts w:ascii="Times New Roman" w:hAnsi="Times New Roman" w:eastAsia="仿宋_GB2312" w:cs="Times New Roman"/>
          <w:snapToGrid w:val="0"/>
          <w:sz w:val="32"/>
          <w:szCs w:val="32"/>
        </w:rPr>
        <w:t>4.7 特殊情形处理</w:t>
      </w:r>
      <w:bookmarkEnd w:id="103"/>
    </w:p>
    <w:p w14:paraId="1639F181">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通过初步评审的供应商或递交最终报价的供应商数量与采购文件规定的成交供应商数量相等时，采购人可根据不同的情况决定继续或终止采购活动；通过初步评审的供应商或递交最终报价的供应商数量少于采购文件规定的成交供应商数量的，采购人</w:t>
      </w:r>
      <w:bookmarkStart w:id="104" w:name="扫描0029"/>
      <w:bookmarkEnd w:id="104"/>
      <w:r>
        <w:rPr>
          <w:rFonts w:ascii="Times New Roman" w:hAnsi="Times New Roman" w:eastAsia="仿宋_GB2312" w:cs="Times New Roman"/>
          <w:snapToGrid w:val="0"/>
          <w:sz w:val="32"/>
          <w:szCs w:val="32"/>
        </w:rPr>
        <w:t>将终止采购活动。</w:t>
      </w:r>
    </w:p>
    <w:p w14:paraId="37B4D775">
      <w:pPr>
        <w:spacing w:after="0" w:line="560" w:lineRule="exact"/>
        <w:ind w:firstLine="640" w:firstLineChars="200"/>
        <w:jc w:val="both"/>
        <w:outlineLvl w:val="1"/>
        <w:rPr>
          <w:rFonts w:ascii="Times New Roman" w:hAnsi="Times New Roman" w:eastAsia="仿宋_GB2312" w:cs="Times New Roman"/>
          <w:snapToGrid w:val="0"/>
          <w:sz w:val="32"/>
          <w:szCs w:val="32"/>
        </w:rPr>
      </w:pPr>
      <w:bookmarkStart w:id="105" w:name="_Toc20666"/>
      <w:r>
        <w:rPr>
          <w:rFonts w:ascii="Times New Roman" w:hAnsi="Times New Roman" w:eastAsia="仿宋_GB2312" w:cs="Times New Roman"/>
          <w:snapToGrid w:val="0"/>
          <w:sz w:val="32"/>
          <w:szCs w:val="32"/>
        </w:rPr>
        <w:t>决定终止采购活动的，采购人将向采购小组出具停止谈判通知书。</w:t>
      </w:r>
      <w:bookmarkEnd w:id="105"/>
    </w:p>
    <w:p w14:paraId="6D2D86EE">
      <w:pPr>
        <w:spacing w:after="0" w:line="560" w:lineRule="exact"/>
        <w:ind w:firstLine="643" w:firstLineChars="200"/>
        <w:jc w:val="both"/>
        <w:outlineLvl w:val="1"/>
        <w:rPr>
          <w:rFonts w:ascii="Times New Roman" w:hAnsi="Times New Roman" w:eastAsia="仿宋_GB2312" w:cs="Times New Roman"/>
          <w:snapToGrid w:val="0"/>
          <w:sz w:val="32"/>
          <w:szCs w:val="32"/>
        </w:rPr>
      </w:pPr>
      <w:bookmarkStart w:id="106" w:name="_Toc7582"/>
      <w:r>
        <w:rPr>
          <w:rFonts w:ascii="Times New Roman" w:hAnsi="Times New Roman" w:eastAsia="仿宋_GB2312" w:cs="Times New Roman"/>
          <w:b/>
          <w:snapToGrid w:val="0"/>
          <w:sz w:val="32"/>
          <w:szCs w:val="32"/>
        </w:rPr>
        <w:t>5．合同授予</w:t>
      </w:r>
      <w:bookmarkEnd w:id="106"/>
    </w:p>
    <w:p w14:paraId="1AF6116B">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107" w:name="_Toc91750572"/>
      <w:bookmarkStart w:id="108" w:name="_Toc22725"/>
      <w:r>
        <w:rPr>
          <w:rFonts w:ascii="Times New Roman" w:hAnsi="Times New Roman" w:eastAsia="仿宋_GB2312" w:cs="Times New Roman"/>
          <w:snapToGrid w:val="0"/>
          <w:sz w:val="32"/>
          <w:szCs w:val="32"/>
        </w:rPr>
        <w:t>5.1 发出成交通知书</w:t>
      </w:r>
      <w:bookmarkEnd w:id="107"/>
      <w:bookmarkEnd w:id="108"/>
    </w:p>
    <w:p w14:paraId="66C7B940">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采购人在EPS系统上发出成交通知书。</w:t>
      </w:r>
    </w:p>
    <w:p w14:paraId="0B335F1A">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109" w:name="_Toc9223"/>
      <w:bookmarkStart w:id="110" w:name="_Toc91750574"/>
      <w:r>
        <w:rPr>
          <w:rFonts w:ascii="Times New Roman" w:hAnsi="Times New Roman" w:eastAsia="仿宋_GB2312" w:cs="Times New Roman"/>
          <w:snapToGrid w:val="0"/>
          <w:sz w:val="32"/>
          <w:szCs w:val="32"/>
        </w:rPr>
        <w:t>5.2 履约保证金</w:t>
      </w:r>
      <w:bookmarkEnd w:id="109"/>
      <w:bookmarkEnd w:id="110"/>
    </w:p>
    <w:p w14:paraId="6DF3ACF2">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供应商须知前附表规定递交履约保证金的，成交供应商应按供应商须知前附表规定的形式、有效期限和递交时间向采购人递交履约保证金。</w:t>
      </w:r>
    </w:p>
    <w:p w14:paraId="56B1E1BE">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111" w:name="_Toc25994"/>
      <w:bookmarkStart w:id="112" w:name="_Toc91750575"/>
      <w:r>
        <w:rPr>
          <w:rFonts w:ascii="Times New Roman" w:hAnsi="Times New Roman" w:eastAsia="仿宋_GB2312" w:cs="Times New Roman"/>
          <w:snapToGrid w:val="0"/>
          <w:sz w:val="32"/>
          <w:szCs w:val="32"/>
        </w:rPr>
        <w:t>5.3 签订合同</w:t>
      </w:r>
      <w:bookmarkEnd w:id="111"/>
      <w:bookmarkEnd w:id="112"/>
    </w:p>
    <w:p w14:paraId="5D6E0C6C">
      <w:pPr>
        <w:spacing w:after="0" w:line="560" w:lineRule="exact"/>
        <w:ind w:firstLine="640" w:firstLineChars="200"/>
        <w:jc w:val="both"/>
        <w:outlineLvl w:val="3"/>
        <w:rPr>
          <w:rFonts w:ascii="Times New Roman" w:hAnsi="Times New Roman" w:eastAsia="仿宋_GB2312" w:cs="Times New Roman"/>
          <w:snapToGrid w:val="0"/>
          <w:sz w:val="32"/>
          <w:szCs w:val="32"/>
        </w:rPr>
      </w:pPr>
      <w:bookmarkStart w:id="113" w:name="扫描0031"/>
      <w:bookmarkEnd w:id="113"/>
      <w:bookmarkStart w:id="114" w:name="_Hlk99362808"/>
      <w:r>
        <w:rPr>
          <w:rFonts w:ascii="Times New Roman" w:hAnsi="Times New Roman" w:eastAsia="仿宋_GB2312" w:cs="Times New Roman"/>
          <w:snapToGrid w:val="0"/>
          <w:sz w:val="32"/>
          <w:szCs w:val="32"/>
        </w:rPr>
        <w:t>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14:paraId="0B971FC1">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联合体成交的，联合体各方应当共同与采购人签订合同，就成交项目向采购人承担连带责任。</w:t>
      </w:r>
      <w:bookmarkEnd w:id="114"/>
    </w:p>
    <w:p w14:paraId="7D984222">
      <w:pPr>
        <w:spacing w:after="0" w:line="560" w:lineRule="exact"/>
        <w:ind w:firstLine="643" w:firstLineChars="200"/>
        <w:jc w:val="both"/>
        <w:outlineLvl w:val="1"/>
        <w:rPr>
          <w:rFonts w:ascii="Times New Roman" w:hAnsi="Times New Roman" w:eastAsia="仿宋_GB2312" w:cs="Times New Roman"/>
          <w:snapToGrid w:val="0"/>
          <w:sz w:val="32"/>
          <w:szCs w:val="32"/>
        </w:rPr>
      </w:pPr>
      <w:bookmarkStart w:id="115" w:name="_Toc10966"/>
      <w:r>
        <w:rPr>
          <w:rFonts w:ascii="Times New Roman" w:hAnsi="Times New Roman" w:eastAsia="仿宋_GB2312" w:cs="Times New Roman"/>
          <w:b/>
          <w:snapToGrid w:val="0"/>
          <w:sz w:val="32"/>
          <w:szCs w:val="32"/>
        </w:rPr>
        <w:t>6．纪律要求</w:t>
      </w:r>
      <w:bookmarkEnd w:id="115"/>
    </w:p>
    <w:p w14:paraId="7B26C26B">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116" w:name="_Toc8807"/>
      <w:r>
        <w:rPr>
          <w:rFonts w:ascii="Times New Roman" w:hAnsi="Times New Roman" w:eastAsia="仿宋_GB2312" w:cs="Times New Roman"/>
          <w:snapToGrid w:val="0"/>
          <w:sz w:val="32"/>
          <w:szCs w:val="32"/>
        </w:rPr>
        <w:t>6.1 对采购人的纪律要求</w:t>
      </w:r>
      <w:bookmarkEnd w:id="116"/>
    </w:p>
    <w:p w14:paraId="357CEBB2">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采购人不得泄露谈判采购活动中应当保密的情况和资料，不得与供应商串通损害国家利益、社会公共利益或者他人合法权益。</w:t>
      </w:r>
    </w:p>
    <w:p w14:paraId="1648D387">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117" w:name="_Toc30349"/>
      <w:r>
        <w:rPr>
          <w:rFonts w:ascii="Times New Roman" w:hAnsi="Times New Roman" w:eastAsia="仿宋_GB2312" w:cs="Times New Roman"/>
          <w:snapToGrid w:val="0"/>
          <w:sz w:val="32"/>
          <w:szCs w:val="32"/>
        </w:rPr>
        <w:t>6.2 对供应商的纪律要求</w:t>
      </w:r>
      <w:bookmarkEnd w:id="117"/>
    </w:p>
    <w:p w14:paraId="4E95AB87">
      <w:pPr>
        <w:spacing w:after="0" w:line="560" w:lineRule="exact"/>
        <w:ind w:firstLine="640" w:firstLineChars="200"/>
        <w:jc w:val="both"/>
        <w:outlineLvl w:val="3"/>
        <w:rPr>
          <w:rFonts w:ascii="Times New Roman" w:hAnsi="Times New Roman" w:eastAsia="仿宋_GB2312" w:cs="Times New Roman"/>
          <w:b/>
          <w:snapToGrid w:val="0"/>
          <w:sz w:val="32"/>
          <w:szCs w:val="32"/>
        </w:rPr>
      </w:pPr>
      <w:r>
        <w:rPr>
          <w:rFonts w:ascii="Times New Roman" w:hAnsi="Times New Roman" w:eastAsia="仿宋_GB2312" w:cs="Times New Roman"/>
          <w:snapToGrid w:val="0"/>
          <w:sz w:val="32"/>
          <w:szCs w:val="32"/>
        </w:rPr>
        <w:t>供应商不得相互串通或者与采购人串通，不得向采购人或者采购小组成员行贿谋取成交，不得以他人名义参加谈判采购活动或者以其他方式弄虚作假骗取成交；供应商不得以任何方式干扰、影响评审工作。</w:t>
      </w:r>
    </w:p>
    <w:p w14:paraId="31F96159">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118" w:name="_Toc22017"/>
      <w:r>
        <w:rPr>
          <w:rFonts w:ascii="Times New Roman" w:hAnsi="Times New Roman" w:eastAsia="仿宋_GB2312" w:cs="Times New Roman"/>
          <w:snapToGrid w:val="0"/>
          <w:sz w:val="32"/>
          <w:szCs w:val="32"/>
        </w:rPr>
        <w:t>6.3 对采购小组成员的纪律要求</w:t>
      </w:r>
      <w:bookmarkEnd w:id="118"/>
    </w:p>
    <w:p w14:paraId="52B136FF">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采购小组成员不得收受他人的财物或者其他好处，不得向他人透露对响应文件的评审和比较、候选成交供应商的推荐情况以及评审有关的其他情况。在采购活动中，采购小组成员应当客观、公正地履行职责，遵守职业道德，不得擅离职守、影响谈判工作正常进行，不得使用第三章“评审办法”没有规定的评审因素和标准进行评审。</w:t>
      </w:r>
    </w:p>
    <w:p w14:paraId="3F58C534">
      <w:pPr>
        <w:spacing w:after="0" w:line="560" w:lineRule="exact"/>
        <w:ind w:firstLine="640" w:firstLineChars="200"/>
        <w:jc w:val="both"/>
        <w:outlineLvl w:val="2"/>
        <w:rPr>
          <w:rFonts w:ascii="Times New Roman" w:hAnsi="Times New Roman" w:eastAsia="仿宋_GB2312" w:cs="Times New Roman"/>
          <w:snapToGrid w:val="0"/>
          <w:sz w:val="32"/>
          <w:szCs w:val="32"/>
        </w:rPr>
      </w:pPr>
      <w:bookmarkStart w:id="119" w:name="_Toc16030"/>
      <w:r>
        <w:rPr>
          <w:rFonts w:ascii="Times New Roman" w:hAnsi="Times New Roman" w:eastAsia="仿宋_GB2312" w:cs="Times New Roman"/>
          <w:snapToGrid w:val="0"/>
          <w:sz w:val="32"/>
          <w:szCs w:val="32"/>
        </w:rPr>
        <w:t>6.4 对与采购活动有关的工作人员的纪律要求</w:t>
      </w:r>
      <w:bookmarkEnd w:id="119"/>
    </w:p>
    <w:p w14:paraId="733F51E9">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与采购活动有关的工作人员不得收受他人的财物或者其他好处，不得向他人透露对响应文件的评审和比较、候选成交供应商的推荐情况以及谈判有关的其他情况。在采购活动中，与采购活动有关的工作人员不得擅离职守，影响谈判工作正常进行。</w:t>
      </w:r>
    </w:p>
    <w:p w14:paraId="3F78B486">
      <w:pPr>
        <w:spacing w:after="0" w:line="560" w:lineRule="exact"/>
        <w:ind w:firstLine="643" w:firstLineChars="200"/>
        <w:jc w:val="both"/>
        <w:outlineLvl w:val="1"/>
        <w:rPr>
          <w:rFonts w:ascii="Times New Roman" w:hAnsi="Times New Roman" w:eastAsia="仿宋_GB2312" w:cs="Times New Roman"/>
          <w:snapToGrid w:val="0"/>
          <w:sz w:val="32"/>
          <w:szCs w:val="32"/>
        </w:rPr>
      </w:pPr>
      <w:bookmarkStart w:id="120" w:name="_Toc24517"/>
      <w:r>
        <w:rPr>
          <w:rFonts w:ascii="Times New Roman" w:hAnsi="Times New Roman" w:eastAsia="仿宋_GB2312" w:cs="Times New Roman"/>
          <w:b/>
          <w:snapToGrid w:val="0"/>
          <w:sz w:val="32"/>
          <w:szCs w:val="32"/>
        </w:rPr>
        <w:t>7．需要补充的其他内容</w:t>
      </w:r>
      <w:bookmarkEnd w:id="120"/>
    </w:p>
    <w:p w14:paraId="221ED493">
      <w:pPr>
        <w:spacing w:after="0" w:line="560" w:lineRule="exact"/>
        <w:ind w:firstLine="640" w:firstLineChars="200"/>
        <w:jc w:val="both"/>
        <w:outlineLvl w:val="0"/>
        <w:rPr>
          <w:rFonts w:ascii="Times New Roman" w:hAnsi="Times New Roman" w:eastAsia="仿宋_GB2312" w:cs="Times New Roman"/>
          <w:snapToGrid w:val="0"/>
          <w:sz w:val="32"/>
          <w:szCs w:val="32"/>
        </w:rPr>
      </w:pPr>
      <w:bookmarkStart w:id="121" w:name="_Toc23430"/>
      <w:r>
        <w:rPr>
          <w:rFonts w:ascii="Times New Roman" w:hAnsi="Times New Roman" w:eastAsia="仿宋_GB2312" w:cs="Times New Roman"/>
          <w:snapToGrid w:val="0"/>
          <w:sz w:val="32"/>
          <w:szCs w:val="32"/>
        </w:rPr>
        <w:t>需要补充的其他内容：见供应商须知前附表。</w:t>
      </w:r>
      <w:r>
        <w:rPr>
          <w:rFonts w:ascii="Times New Roman" w:hAnsi="Times New Roman" w:eastAsia="仿宋_GB2312" w:cs="Times New Roman"/>
          <w:snapToGrid w:val="0"/>
          <w:sz w:val="32"/>
          <w:szCs w:val="32"/>
        </w:rPr>
        <w:br w:type="page"/>
      </w:r>
      <w:bookmarkEnd w:id="121"/>
    </w:p>
    <w:p w14:paraId="53700A67">
      <w:pPr>
        <w:pStyle w:val="3"/>
        <w:rPr>
          <w:rFonts w:ascii="Times New Roman" w:hAnsi="Times New Roman" w:eastAsia="黑体" w:cs="Times New Roman"/>
          <w:snapToGrid w:val="0"/>
          <w:color w:val="auto"/>
          <w:sz w:val="32"/>
          <w:szCs w:val="32"/>
        </w:rPr>
      </w:pPr>
      <w:bookmarkStart w:id="122" w:name="_Toc14868"/>
      <w:r>
        <w:rPr>
          <w:rFonts w:ascii="Times New Roman" w:hAnsi="Times New Roman" w:eastAsia="黑体" w:cs="Times New Roman"/>
          <w:snapToGrid w:val="0"/>
          <w:color w:val="auto"/>
          <w:sz w:val="32"/>
          <w:szCs w:val="32"/>
        </w:rPr>
        <w:t>附件1 问题澄清通知</w:t>
      </w:r>
      <w:bookmarkEnd w:id="122"/>
    </w:p>
    <w:p w14:paraId="34812936">
      <w:pPr>
        <w:rPr>
          <w:rFonts w:ascii="Times New Roman" w:hAnsi="Times New Roman" w:cs="Times New Roman"/>
          <w:snapToGrid w:val="0"/>
        </w:rPr>
      </w:pPr>
    </w:p>
    <w:p w14:paraId="15A9FEFA">
      <w:pPr>
        <w:rPr>
          <w:rFonts w:ascii="Times New Roman" w:hAnsi="Times New Roman" w:cs="Times New Roman"/>
          <w:snapToGrid w:val="0"/>
        </w:rPr>
      </w:pPr>
    </w:p>
    <w:p w14:paraId="56AB0371">
      <w:pPr>
        <w:widowControl w:val="0"/>
        <w:autoSpaceDE w:val="0"/>
        <w:autoSpaceDN w:val="0"/>
        <w:spacing w:line="560" w:lineRule="exact"/>
        <w:ind w:left="0" w:leftChars="0" w:firstLine="0" w:firstLineChars="0"/>
        <w:jc w:val="center"/>
        <w:outlineLvl w:val="2"/>
        <w:rPr>
          <w:rFonts w:hint="default" w:ascii="Times New Roman" w:hAnsi="Times New Roman" w:eastAsia="仿宋_GB2312" w:cs="Times New Roman"/>
          <w:b/>
          <w:bCs/>
          <w:snapToGrid w:val="0"/>
          <w:sz w:val="32"/>
          <w:szCs w:val="32"/>
          <w:lang w:val="en-US" w:eastAsia="zh-CN" w:bidi="ar-SA"/>
        </w:rPr>
      </w:pPr>
      <w:bookmarkStart w:id="123" w:name="_Toc24712"/>
      <w:bookmarkStart w:id="124" w:name="_Toc14964"/>
      <w:bookmarkStart w:id="125" w:name="_Toc6825"/>
      <w:r>
        <w:rPr>
          <w:rFonts w:hint="default" w:ascii="Times New Roman" w:hAnsi="Times New Roman" w:eastAsia="仿宋_GB2312" w:cs="Times New Roman"/>
          <w:b/>
          <w:bCs/>
          <w:snapToGrid w:val="0"/>
          <w:sz w:val="32"/>
          <w:szCs w:val="32"/>
          <w:lang w:val="en-US" w:eastAsia="zh-CN" w:bidi="ar-SA"/>
        </w:rPr>
        <w:t>问题澄清通知</w:t>
      </w:r>
      <w:bookmarkEnd w:id="123"/>
      <w:bookmarkEnd w:id="124"/>
      <w:bookmarkEnd w:id="125"/>
    </w:p>
    <w:p w14:paraId="4D14C82F">
      <w:pPr>
        <w:widowControl w:val="0"/>
        <w:autoSpaceDE w:val="0"/>
        <w:autoSpaceDN w:val="0"/>
        <w:adjustRightInd w:val="0"/>
        <w:snapToGrid w:val="0"/>
        <w:spacing w:after="0" w:line="560" w:lineRule="exact"/>
        <w:jc w:val="center"/>
        <w:rPr>
          <w:rFonts w:hint="default" w:ascii="Times New Roman" w:hAnsi="Times New Roman" w:eastAsia="仿宋" w:cs="Times New Roman"/>
          <w:b/>
          <w:bCs/>
          <w:snapToGrid w:val="0"/>
          <w:sz w:val="32"/>
          <w:szCs w:val="32"/>
        </w:rPr>
      </w:pPr>
      <w:r>
        <w:rPr>
          <w:rFonts w:hint="default" w:ascii="Times New Roman" w:hAnsi="Times New Roman" w:eastAsia="仿宋" w:cs="Times New Roman"/>
          <w:b/>
          <w:bCs/>
          <w:snapToGrid w:val="0"/>
          <w:sz w:val="32"/>
          <w:szCs w:val="32"/>
        </w:rPr>
        <w:t>（编号：</w:t>
      </w:r>
      <w:r>
        <w:rPr>
          <w:rFonts w:hint="default" w:ascii="Times New Roman" w:hAnsi="Times New Roman" w:eastAsia="仿宋" w:cs="Times New Roman"/>
          <w:b/>
          <w:bCs/>
          <w:snapToGrid w:val="0"/>
          <w:sz w:val="32"/>
          <w:szCs w:val="32"/>
          <w:u w:val="single"/>
        </w:rPr>
        <w:t xml:space="preserve">     </w:t>
      </w:r>
      <w:r>
        <w:rPr>
          <w:rFonts w:hint="default" w:ascii="Times New Roman" w:hAnsi="Times New Roman" w:eastAsia="仿宋" w:cs="Times New Roman"/>
          <w:b/>
          <w:bCs/>
          <w:snapToGrid w:val="0"/>
          <w:sz w:val="32"/>
          <w:szCs w:val="32"/>
        </w:rPr>
        <w:t>）</w:t>
      </w:r>
    </w:p>
    <w:p w14:paraId="01ED776D">
      <w:pPr>
        <w:rPr>
          <w:rFonts w:ascii="Times New Roman" w:hAnsi="Times New Roman" w:cs="Times New Roman"/>
          <w:snapToGrid w:val="0"/>
        </w:rPr>
      </w:pPr>
    </w:p>
    <w:p w14:paraId="3BF0F8D9">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u w:val="single"/>
        </w:rPr>
        <w:t>………………………….（</w:t>
      </w:r>
      <w:r>
        <w:rPr>
          <w:rFonts w:ascii="Times New Roman" w:hAnsi="Times New Roman" w:eastAsia="仿宋_GB2312" w:cs="Times New Roman"/>
          <w:snapToGrid w:val="0"/>
          <w:sz w:val="32"/>
          <w:szCs w:val="32"/>
        </w:rPr>
        <w:t>供应商名称）:</w:t>
      </w:r>
    </w:p>
    <w:p w14:paraId="392F6653">
      <w:pPr>
        <w:spacing w:after="0" w:line="560" w:lineRule="exact"/>
        <w:ind w:firstLine="640" w:firstLineChars="200"/>
        <w:jc w:val="both"/>
        <w:outlineLvl w:val="9"/>
        <w:rPr>
          <w:rFonts w:ascii="Times New Roman" w:hAnsi="Times New Roman" w:eastAsia="仿宋_GB2312" w:cs="Times New Roman"/>
          <w:snapToGrid w:val="0"/>
          <w:sz w:val="32"/>
          <w:szCs w:val="32"/>
        </w:rPr>
      </w:pPr>
    </w:p>
    <w:p w14:paraId="0DB54939">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采购小组对你方的响应文件进行了仔细审查，现需你方对下列问题以书面形式予以澄清、说明和补正：</w:t>
      </w:r>
    </w:p>
    <w:p w14:paraId="13030B55">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1.</w:t>
      </w:r>
    </w:p>
    <w:p w14:paraId="5052D010">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w:t>
      </w:r>
    </w:p>
    <w:p w14:paraId="414DCA8A">
      <w:pPr>
        <w:spacing w:after="0" w:line="560" w:lineRule="exact"/>
        <w:ind w:firstLine="640" w:firstLineChars="200"/>
        <w:jc w:val="both"/>
        <w:outlineLvl w:val="3"/>
        <w:rPr>
          <w:rFonts w:ascii="Times New Roman" w:hAnsi="Times New Roman" w:eastAsia="仿宋_GB2312" w:cs="Times New Roman"/>
          <w:snapToGrid w:val="0"/>
          <w:sz w:val="32"/>
          <w:szCs w:val="32"/>
          <w:shd w:val="clear" w:color="auto" w:fill="FFFF00"/>
        </w:rPr>
      </w:pPr>
      <w:r>
        <w:rPr>
          <w:rFonts w:ascii="Times New Roman" w:hAnsi="Times New Roman" w:eastAsia="仿宋_GB2312" w:cs="Times New Roman"/>
          <w:snapToGrid w:val="0"/>
          <w:sz w:val="32"/>
          <w:szCs w:val="32"/>
        </w:rPr>
        <w:t>……</w:t>
      </w:r>
    </w:p>
    <w:p w14:paraId="786F6180">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请将上述问题的澄清、说明和补正于</w:t>
      </w:r>
      <w:r>
        <w:rPr>
          <w:rFonts w:ascii="Times New Roman" w:hAnsi="Times New Roman" w:eastAsia="仿宋_GB2312" w:cs="Times New Roman"/>
          <w:snapToGrid w:val="0"/>
          <w:sz w:val="32"/>
          <w:szCs w:val="32"/>
          <w:u w:val="single"/>
        </w:rPr>
        <w:t xml:space="preserve">    年   月   日</w:t>
      </w:r>
      <w:r>
        <w:rPr>
          <w:rFonts w:ascii="Times New Roman" w:hAnsi="Times New Roman" w:eastAsia="仿宋_GB2312" w:cs="Times New Roman"/>
          <w:snapToGrid w:val="0"/>
          <w:sz w:val="32"/>
          <w:szCs w:val="32"/>
        </w:rPr>
        <w:t>时前递交至</w:t>
      </w:r>
      <w:r>
        <w:rPr>
          <w:rFonts w:ascii="Times New Roman" w:hAnsi="Times New Roman" w:eastAsia="仿宋_GB2312" w:cs="Times New Roman"/>
          <w:snapToGrid w:val="0"/>
          <w:sz w:val="32"/>
          <w:szCs w:val="32"/>
          <w:u w:val="single"/>
        </w:rPr>
        <w:t xml:space="preserve">                （详细地址）</w:t>
      </w:r>
      <w:r>
        <w:rPr>
          <w:rFonts w:ascii="Times New Roman" w:hAnsi="Times New Roman" w:eastAsia="仿宋_GB2312" w:cs="Times New Roman"/>
          <w:snapToGrid w:val="0"/>
          <w:sz w:val="32"/>
          <w:szCs w:val="32"/>
        </w:rPr>
        <w:t>或发电子邮件至</w:t>
      </w:r>
      <w:r>
        <w:rPr>
          <w:rFonts w:ascii="Times New Roman" w:hAnsi="Times New Roman" w:eastAsia="仿宋_GB2312" w:cs="Times New Roman"/>
          <w:snapToGrid w:val="0"/>
          <w:sz w:val="32"/>
          <w:szCs w:val="32"/>
          <w:u w:val="single"/>
        </w:rPr>
        <w:t xml:space="preserve">               （电子邮箱地址）</w:t>
      </w:r>
      <w:r>
        <w:rPr>
          <w:rFonts w:ascii="Times New Roman" w:hAnsi="Times New Roman" w:eastAsia="仿宋_GB2312" w:cs="Times New Roman"/>
          <w:snapToGrid w:val="0"/>
          <w:sz w:val="32"/>
          <w:szCs w:val="32"/>
        </w:rPr>
        <w:t>。采用电子邮件方式的，应在</w:t>
      </w:r>
      <w:r>
        <w:rPr>
          <w:rFonts w:ascii="Times New Roman" w:hAnsi="Times New Roman" w:eastAsia="仿宋_GB2312" w:cs="Times New Roman"/>
          <w:snapToGrid w:val="0"/>
          <w:sz w:val="32"/>
          <w:szCs w:val="32"/>
          <w:u w:val="single"/>
        </w:rPr>
        <w:t xml:space="preserve">     年   月   日   时</w:t>
      </w:r>
      <w:r>
        <w:rPr>
          <w:rFonts w:ascii="Times New Roman" w:hAnsi="Times New Roman" w:eastAsia="仿宋_GB2312" w:cs="Times New Roman"/>
          <w:snapToGrid w:val="0"/>
          <w:sz w:val="32"/>
          <w:szCs w:val="32"/>
        </w:rPr>
        <w:t>前将原件递交至                        。</w:t>
      </w:r>
    </w:p>
    <w:p w14:paraId="28162D3C">
      <w:pPr>
        <w:spacing w:after="0" w:line="560" w:lineRule="exact"/>
        <w:ind w:firstLine="640" w:firstLineChars="200"/>
        <w:jc w:val="both"/>
        <w:outlineLvl w:val="9"/>
        <w:rPr>
          <w:rFonts w:ascii="Times New Roman" w:hAnsi="Times New Roman" w:eastAsia="仿宋_GB2312" w:cs="Times New Roman"/>
          <w:snapToGrid w:val="0"/>
          <w:sz w:val="32"/>
          <w:szCs w:val="32"/>
        </w:rPr>
      </w:pPr>
    </w:p>
    <w:p w14:paraId="1A61F1A7">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 xml:space="preserve">采购小组组长：         （签字） </w:t>
      </w:r>
    </w:p>
    <w:p w14:paraId="0C9D5724">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或</w:t>
      </w:r>
    </w:p>
    <w:p w14:paraId="64DB6CD3">
      <w:pPr>
        <w:spacing w:after="0" w:line="560" w:lineRule="exact"/>
        <w:ind w:firstLine="640" w:firstLineChars="2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采购人：            （签字或盖单位公章）</w:t>
      </w:r>
    </w:p>
    <w:p w14:paraId="0AAB15DD">
      <w:pPr>
        <w:spacing w:after="0" w:line="560" w:lineRule="exact"/>
        <w:ind w:firstLine="5760" w:firstLineChars="1800"/>
        <w:jc w:val="both"/>
        <w:outlineLvl w:val="3"/>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………年…….月……日</w:t>
      </w:r>
      <w:bookmarkStart w:id="126" w:name="扫描0034"/>
      <w:bookmarkEnd w:id="126"/>
    </w:p>
    <w:p w14:paraId="545C45F3">
      <w:pPr>
        <w:rPr>
          <w:rFonts w:ascii="Times New Roman" w:hAnsi="Times New Roman" w:cs="Times New Roman"/>
          <w:snapToGrid w:val="0"/>
        </w:rPr>
      </w:pPr>
    </w:p>
    <w:p w14:paraId="37970B7D">
      <w:pPr>
        <w:pStyle w:val="3"/>
        <w:rPr>
          <w:rFonts w:ascii="Times New Roman" w:hAnsi="Times New Roman" w:eastAsia="黑体" w:cs="Times New Roman"/>
          <w:snapToGrid w:val="0"/>
          <w:color w:val="auto"/>
          <w:sz w:val="32"/>
          <w:szCs w:val="32"/>
        </w:rPr>
      </w:pPr>
      <w:bookmarkStart w:id="127" w:name="_Toc28448"/>
      <w:r>
        <w:rPr>
          <w:rFonts w:ascii="Times New Roman" w:hAnsi="Times New Roman" w:eastAsia="黑体" w:cs="Times New Roman"/>
          <w:snapToGrid w:val="0"/>
          <w:color w:val="auto"/>
          <w:sz w:val="32"/>
          <w:szCs w:val="32"/>
        </w:rPr>
        <w:t>附件</w:t>
      </w:r>
      <w:r>
        <w:rPr>
          <w:rFonts w:ascii="Times New Roman" w:hAnsi="Times New Roman" w:eastAsia="黑体" w:cs="Times New Roman"/>
          <w:b/>
          <w:snapToGrid w:val="0"/>
          <w:color w:val="auto"/>
          <w:sz w:val="32"/>
          <w:szCs w:val="32"/>
        </w:rPr>
        <w:t xml:space="preserve">2 </w:t>
      </w:r>
      <w:r>
        <w:rPr>
          <w:rFonts w:ascii="Times New Roman" w:hAnsi="Times New Roman" w:eastAsia="黑体" w:cs="Times New Roman"/>
          <w:snapToGrid w:val="0"/>
          <w:color w:val="auto"/>
          <w:sz w:val="32"/>
          <w:szCs w:val="32"/>
        </w:rPr>
        <w:t>问题的澄清</w:t>
      </w:r>
      <w:bookmarkEnd w:id="127"/>
    </w:p>
    <w:p w14:paraId="7F1541B7">
      <w:pPr>
        <w:rPr>
          <w:rFonts w:ascii="Times New Roman" w:hAnsi="Times New Roman" w:cs="Times New Roman"/>
          <w:snapToGrid w:val="0"/>
        </w:rPr>
      </w:pPr>
    </w:p>
    <w:p w14:paraId="103B3AF5">
      <w:pPr>
        <w:rPr>
          <w:rFonts w:ascii="Times New Roman" w:hAnsi="Times New Roman" w:cs="Times New Roman"/>
          <w:snapToGrid w:val="0"/>
        </w:rPr>
      </w:pPr>
    </w:p>
    <w:p w14:paraId="2E02C59C">
      <w:pPr>
        <w:widowControl w:val="0"/>
        <w:autoSpaceDE w:val="0"/>
        <w:autoSpaceDN w:val="0"/>
        <w:spacing w:line="560" w:lineRule="exact"/>
        <w:ind w:left="0" w:leftChars="0" w:firstLine="0" w:firstLineChars="0"/>
        <w:jc w:val="center"/>
        <w:outlineLvl w:val="2"/>
        <w:rPr>
          <w:rFonts w:hint="default" w:ascii="Times New Roman" w:hAnsi="Times New Roman" w:eastAsia="仿宋_GB2312" w:cs="Times New Roman"/>
          <w:b/>
          <w:bCs/>
          <w:snapToGrid w:val="0"/>
          <w:sz w:val="32"/>
          <w:szCs w:val="32"/>
          <w:lang w:val="en-US" w:eastAsia="zh-CN" w:bidi="ar-SA"/>
        </w:rPr>
      </w:pPr>
      <w:bookmarkStart w:id="128" w:name="_Toc17254"/>
      <w:bookmarkStart w:id="129" w:name="_Toc20650"/>
      <w:bookmarkStart w:id="130" w:name="_Toc3657"/>
      <w:r>
        <w:rPr>
          <w:rFonts w:hint="default" w:ascii="Times New Roman" w:hAnsi="Times New Roman" w:eastAsia="仿宋_GB2312" w:cs="Times New Roman"/>
          <w:b/>
          <w:bCs/>
          <w:snapToGrid w:val="0"/>
          <w:sz w:val="32"/>
          <w:szCs w:val="32"/>
          <w:lang w:val="en-US" w:eastAsia="zh-CN" w:bidi="ar-SA"/>
        </w:rPr>
        <w:t>问题的澄清</w:t>
      </w:r>
      <w:bookmarkEnd w:id="128"/>
      <w:bookmarkEnd w:id="129"/>
      <w:bookmarkEnd w:id="130"/>
    </w:p>
    <w:p w14:paraId="2A4C7C49">
      <w:pPr>
        <w:jc w:val="center"/>
        <w:rPr>
          <w:rFonts w:ascii="Times New Roman" w:hAnsi="Times New Roman" w:cs="Times New Roman"/>
          <w:snapToGrid w:val="0"/>
        </w:rPr>
      </w:pPr>
      <w:r>
        <w:rPr>
          <w:rFonts w:hint="default" w:ascii="Times New Roman" w:hAnsi="Times New Roman" w:eastAsia="仿宋" w:cs="Times New Roman"/>
          <w:b/>
          <w:bCs/>
          <w:snapToGrid w:val="0"/>
          <w:sz w:val="32"/>
          <w:szCs w:val="32"/>
        </w:rPr>
        <w:t>（编号:     ）</w:t>
      </w:r>
    </w:p>
    <w:p w14:paraId="59F67D31">
      <w:pPr>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采购小组：</w:t>
      </w:r>
    </w:p>
    <w:p w14:paraId="3698D413">
      <w:pPr>
        <w:rPr>
          <w:rFonts w:ascii="Times New Roman" w:hAnsi="Times New Roman" w:eastAsia="仿宋_GB2312" w:cs="Times New Roman"/>
          <w:snapToGrid w:val="0"/>
          <w:sz w:val="32"/>
          <w:szCs w:val="32"/>
        </w:rPr>
      </w:pPr>
    </w:p>
    <w:p w14:paraId="7AA724A1">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问题澄清通知（编号：）已收悉，现澄清、说明和补正如下：</w:t>
      </w:r>
    </w:p>
    <w:p w14:paraId="1B5BD31D">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1.</w:t>
      </w:r>
    </w:p>
    <w:p w14:paraId="4C0829D0">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w:t>
      </w:r>
    </w:p>
    <w:p w14:paraId="64B18742">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p>
    <w:p w14:paraId="0FAB3086">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上述问题澄清、说明和补正，构成我方响应文件的组成部分。</w:t>
      </w:r>
    </w:p>
    <w:p w14:paraId="3C1F8A05">
      <w:pPr>
        <w:spacing w:after="0" w:line="560" w:lineRule="exact"/>
        <w:jc w:val="both"/>
        <w:rPr>
          <w:rFonts w:ascii="Times New Roman" w:hAnsi="Times New Roman" w:eastAsia="仿宋_GB2312" w:cs="Times New Roman"/>
          <w:snapToGrid w:val="0"/>
          <w:sz w:val="32"/>
          <w:szCs w:val="32"/>
        </w:rPr>
      </w:pPr>
    </w:p>
    <w:p w14:paraId="3ADFD887">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供应商</w:t>
      </w:r>
      <w:r>
        <w:rPr>
          <w:rFonts w:ascii="Times New Roman" w:hAnsi="Times New Roman" w:eastAsia="仿宋_GB2312" w:cs="Times New Roman"/>
          <w:snapToGrid w:val="0"/>
          <w:sz w:val="32"/>
          <w:szCs w:val="32"/>
          <w:u w:val="single"/>
        </w:rPr>
        <w:t>：                 （盖单位公章）</w:t>
      </w:r>
      <w:r>
        <w:rPr>
          <w:rFonts w:ascii="Times New Roman" w:hAnsi="Times New Roman" w:eastAsia="仿宋_GB2312" w:cs="Times New Roman"/>
          <w:snapToGrid w:val="0"/>
          <w:sz w:val="32"/>
          <w:szCs w:val="32"/>
        </w:rPr>
        <w:t xml:space="preserve"> </w:t>
      </w:r>
    </w:p>
    <w:p w14:paraId="28FC015C">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或</w:t>
      </w:r>
    </w:p>
    <w:p w14:paraId="3FEC6727">
      <w:pPr>
        <w:spacing w:after="0" w:line="560" w:lineRule="exact"/>
        <w:ind w:firstLine="640" w:firstLineChars="200"/>
        <w:jc w:val="both"/>
        <w:rPr>
          <w:rFonts w:ascii="Times New Roman" w:hAnsi="Times New Roman" w:eastAsia="仿宋_GB2312" w:cs="Times New Roman"/>
          <w:snapToGrid w:val="0"/>
          <w:sz w:val="32"/>
          <w:szCs w:val="32"/>
          <w:u w:val="single"/>
        </w:rPr>
      </w:pPr>
      <w:r>
        <w:rPr>
          <w:rFonts w:ascii="Times New Roman" w:hAnsi="Times New Roman" w:eastAsia="仿宋_GB2312" w:cs="Times New Roman"/>
          <w:snapToGrid w:val="0"/>
          <w:sz w:val="32"/>
          <w:szCs w:val="32"/>
        </w:rPr>
        <w:t>法定代表人（单位负责人）或其授权的代理人：</w:t>
      </w:r>
      <w:r>
        <w:rPr>
          <w:rFonts w:ascii="Times New Roman" w:hAnsi="Times New Roman" w:eastAsia="仿宋_GB2312" w:cs="Times New Roman"/>
          <w:snapToGrid w:val="0"/>
          <w:sz w:val="32"/>
          <w:szCs w:val="32"/>
          <w:u w:val="single"/>
        </w:rPr>
        <w:t xml:space="preserve">      （签字）</w:t>
      </w:r>
    </w:p>
    <w:p w14:paraId="5459B3C3">
      <w:pPr>
        <w:spacing w:after="0" w:line="560" w:lineRule="exact"/>
        <w:jc w:val="both"/>
        <w:rPr>
          <w:rFonts w:ascii="Times New Roman" w:hAnsi="Times New Roman" w:eastAsia="仿宋_GB2312" w:cs="Times New Roman"/>
          <w:snapToGrid w:val="0"/>
          <w:sz w:val="32"/>
          <w:szCs w:val="32"/>
        </w:rPr>
      </w:pPr>
      <w:bookmarkStart w:id="131" w:name="扫描0035"/>
      <w:bookmarkEnd w:id="131"/>
    </w:p>
    <w:p w14:paraId="7A469DAA">
      <w:pPr>
        <w:spacing w:after="0" w:line="560" w:lineRule="exact"/>
        <w:jc w:val="both"/>
        <w:rPr>
          <w:rFonts w:ascii="Times New Roman" w:hAnsi="Times New Roman" w:eastAsia="仿宋_GB2312" w:cs="Times New Roman"/>
          <w:snapToGrid w:val="0"/>
          <w:sz w:val="32"/>
          <w:szCs w:val="32"/>
        </w:rPr>
      </w:pPr>
    </w:p>
    <w:p w14:paraId="0953F76E">
      <w:pPr>
        <w:spacing w:after="0" w:line="560" w:lineRule="exact"/>
        <w:ind w:firstLine="6720" w:firstLineChars="21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 xml:space="preserve">  年   月   日</w:t>
      </w:r>
      <w:r>
        <w:rPr>
          <w:rFonts w:ascii="Times New Roman" w:hAnsi="Times New Roman" w:eastAsia="仿宋_GB2312" w:cs="Times New Roman"/>
          <w:snapToGrid w:val="0"/>
          <w:sz w:val="32"/>
          <w:szCs w:val="32"/>
        </w:rPr>
        <w:br w:type="page"/>
      </w:r>
    </w:p>
    <w:p w14:paraId="454BBB15">
      <w:pPr>
        <w:pStyle w:val="3"/>
        <w:rPr>
          <w:rFonts w:ascii="Times New Roman" w:hAnsi="Times New Roman" w:eastAsia="黑体" w:cs="Times New Roman"/>
          <w:snapToGrid w:val="0"/>
          <w:color w:val="auto"/>
          <w:sz w:val="32"/>
          <w:szCs w:val="32"/>
        </w:rPr>
      </w:pPr>
      <w:bookmarkStart w:id="132" w:name="_Toc7570"/>
      <w:r>
        <w:rPr>
          <w:rFonts w:ascii="Times New Roman" w:hAnsi="Times New Roman" w:eastAsia="黑体" w:cs="Times New Roman"/>
          <w:snapToGrid w:val="0"/>
          <w:color w:val="auto"/>
          <w:sz w:val="32"/>
          <w:szCs w:val="32"/>
        </w:rPr>
        <w:t>附件3 成交通知书</w:t>
      </w:r>
      <w:bookmarkEnd w:id="132"/>
    </w:p>
    <w:p w14:paraId="119851E9">
      <w:pPr>
        <w:rPr>
          <w:rFonts w:ascii="Times New Roman" w:hAnsi="Times New Roman" w:cs="Times New Roman"/>
          <w:snapToGrid w:val="0"/>
        </w:rPr>
      </w:pPr>
    </w:p>
    <w:p w14:paraId="5018ABD5">
      <w:pPr>
        <w:rPr>
          <w:rFonts w:ascii="Times New Roman" w:hAnsi="Times New Roman" w:cs="Times New Roman"/>
          <w:snapToGrid w:val="0"/>
        </w:rPr>
      </w:pPr>
    </w:p>
    <w:p w14:paraId="3E63DF8B">
      <w:pPr>
        <w:widowControl w:val="0"/>
        <w:autoSpaceDE w:val="0"/>
        <w:autoSpaceDN w:val="0"/>
        <w:spacing w:line="560" w:lineRule="exact"/>
        <w:ind w:left="0" w:leftChars="0" w:firstLine="0" w:firstLineChars="0"/>
        <w:jc w:val="center"/>
        <w:outlineLvl w:val="2"/>
        <w:rPr>
          <w:rFonts w:hint="default" w:ascii="Times New Roman" w:hAnsi="Times New Roman" w:eastAsia="仿宋_GB2312" w:cs="Times New Roman"/>
          <w:b/>
          <w:bCs/>
          <w:snapToGrid w:val="0"/>
          <w:sz w:val="32"/>
          <w:szCs w:val="32"/>
          <w:lang w:val="en-US" w:eastAsia="zh-CN" w:bidi="ar-SA"/>
        </w:rPr>
      </w:pPr>
      <w:bookmarkStart w:id="133" w:name="_Toc8724"/>
      <w:bookmarkStart w:id="134" w:name="_Toc27796"/>
      <w:bookmarkStart w:id="135" w:name="_Toc1659"/>
      <w:r>
        <w:rPr>
          <w:rFonts w:hint="default" w:ascii="Times New Roman" w:hAnsi="Times New Roman" w:eastAsia="仿宋_GB2312" w:cs="Times New Roman"/>
          <w:b/>
          <w:bCs/>
          <w:snapToGrid w:val="0"/>
          <w:sz w:val="32"/>
          <w:szCs w:val="32"/>
          <w:lang w:val="en-US" w:eastAsia="zh-CN" w:bidi="ar-SA"/>
        </w:rPr>
        <w:t>成交通知书</w:t>
      </w:r>
      <w:bookmarkEnd w:id="133"/>
      <w:bookmarkEnd w:id="134"/>
      <w:bookmarkEnd w:id="135"/>
    </w:p>
    <w:p w14:paraId="693150E0">
      <w:pPr>
        <w:rPr>
          <w:rFonts w:ascii="Times New Roman" w:hAnsi="Times New Roman" w:cs="Times New Roman"/>
          <w:snapToGrid w:val="0"/>
        </w:rPr>
      </w:pPr>
    </w:p>
    <w:p w14:paraId="138223E6">
      <w:pPr>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u w:val="single"/>
        </w:rPr>
        <w:t>………………………….（</w:t>
      </w:r>
      <w:r>
        <w:rPr>
          <w:rFonts w:ascii="Times New Roman" w:hAnsi="Times New Roman" w:eastAsia="仿宋_GB2312" w:cs="Times New Roman"/>
          <w:snapToGrid w:val="0"/>
          <w:sz w:val="32"/>
          <w:szCs w:val="32"/>
        </w:rPr>
        <w:t>成交供应商名称）:</w:t>
      </w:r>
    </w:p>
    <w:p w14:paraId="2604BDD8">
      <w:pPr>
        <w:rPr>
          <w:rFonts w:ascii="Times New Roman" w:hAnsi="Times New Roman" w:eastAsia="仿宋_GB2312" w:cs="Times New Roman"/>
          <w:snapToGrid w:val="0"/>
          <w:sz w:val="32"/>
          <w:szCs w:val="32"/>
        </w:rPr>
      </w:pPr>
    </w:p>
    <w:p w14:paraId="6164D533">
      <w:pPr>
        <w:spacing w:after="0" w:line="240" w:lineRule="auto"/>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你方所递交的</w:t>
      </w:r>
      <w:r>
        <w:rPr>
          <w:rFonts w:ascii="Times New Roman" w:hAnsi="Times New Roman" w:eastAsia="仿宋_GB2312" w:cs="Times New Roman"/>
          <w:snapToGrid w:val="0"/>
          <w:sz w:val="32"/>
          <w:szCs w:val="32"/>
          <w:u w:val="single"/>
        </w:rPr>
        <w:t xml:space="preserve">                       （项目名称）</w:t>
      </w:r>
      <w:r>
        <w:rPr>
          <w:rFonts w:ascii="Times New Roman" w:hAnsi="Times New Roman" w:eastAsia="仿宋_GB2312" w:cs="Times New Roman"/>
          <w:snapToGrid w:val="0"/>
          <w:sz w:val="32"/>
          <w:szCs w:val="32"/>
        </w:rPr>
        <w:t>的响应文件已被我方接受，被确定为成交供应商。</w:t>
      </w:r>
    </w:p>
    <w:p w14:paraId="69498037">
      <w:pPr>
        <w:spacing w:after="0" w:line="240" w:lineRule="auto"/>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 xml:space="preserve">成交价：                               </w:t>
      </w:r>
    </w:p>
    <w:p w14:paraId="7AA98C2D">
      <w:pPr>
        <w:spacing w:after="0" w:line="240" w:lineRule="auto"/>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请你方在接到本通知书后的    日内到                          （指定地点）与我方签订采购合同，并按采购文件第二章“供应商须知”第7.6款规定向我方递交履约保证金。</w:t>
      </w:r>
    </w:p>
    <w:p w14:paraId="17C8C2FA">
      <w:pPr>
        <w:spacing w:after="0" w:line="240" w:lineRule="auto"/>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特此通知。</w:t>
      </w:r>
    </w:p>
    <w:p w14:paraId="0B025ADA">
      <w:pPr>
        <w:spacing w:after="0" w:line="240" w:lineRule="auto"/>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以采购人采购系统中的“中标通知书”为准</w:t>
      </w:r>
    </w:p>
    <w:p w14:paraId="36FEC936">
      <w:pPr>
        <w:spacing w:after="0" w:line="240" w:lineRule="auto"/>
        <w:ind w:firstLine="640" w:firstLineChars="200"/>
        <w:jc w:val="both"/>
        <w:rPr>
          <w:rFonts w:ascii="Times New Roman" w:hAnsi="Times New Roman" w:eastAsia="仿宋_GB2312" w:cs="Times New Roman"/>
          <w:snapToGrid w:val="0"/>
          <w:sz w:val="32"/>
          <w:szCs w:val="32"/>
        </w:rPr>
      </w:pPr>
    </w:p>
    <w:p w14:paraId="04C1E974">
      <w:pPr>
        <w:spacing w:after="0" w:line="240" w:lineRule="auto"/>
        <w:ind w:firstLine="4800" w:firstLineChars="15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采购人</w:t>
      </w:r>
      <w:r>
        <w:rPr>
          <w:rFonts w:ascii="Times New Roman" w:hAnsi="Times New Roman" w:eastAsia="仿宋_GB2312" w:cs="Times New Roman"/>
          <w:snapToGrid w:val="0"/>
          <w:sz w:val="32"/>
          <w:szCs w:val="32"/>
          <w:u w:val="single"/>
        </w:rPr>
        <w:t>：       （盖单位公章）</w:t>
      </w:r>
    </w:p>
    <w:p w14:paraId="562A4794">
      <w:pPr>
        <w:rPr>
          <w:rFonts w:ascii="Times New Roman" w:hAnsi="Times New Roman" w:eastAsia="仿宋_GB2312" w:cs="Times New Roman"/>
          <w:sz w:val="32"/>
          <w:szCs w:val="32"/>
        </w:rPr>
      </w:pPr>
    </w:p>
    <w:p w14:paraId="4629916A">
      <w:pPr>
        <w:ind w:left="6510" w:leftChars="3100" w:firstLine="1920" w:firstLineChars="600"/>
        <w:rPr>
          <w:rFonts w:ascii="Times New Roman" w:hAnsi="Times New Roman" w:eastAsia="仿宋_GB2312" w:cs="Times New Roman"/>
          <w:snapToGrid w:val="0"/>
          <w:sz w:val="32"/>
          <w:szCs w:val="32"/>
        </w:rPr>
      </w:pPr>
      <w:bookmarkStart w:id="136" w:name="扫描0036"/>
      <w:bookmarkEnd w:id="136"/>
      <w:r>
        <w:rPr>
          <w:rFonts w:ascii="Times New Roman" w:hAnsi="Times New Roman" w:eastAsia="仿宋_GB2312" w:cs="Times New Roman"/>
          <w:snapToGrid w:val="0"/>
          <w:sz w:val="32"/>
          <w:szCs w:val="32"/>
        </w:rPr>
        <w:t xml:space="preserve">     年   月   日</w:t>
      </w:r>
    </w:p>
    <w:p w14:paraId="19C998E0">
      <w:pPr>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br w:type="page"/>
      </w:r>
    </w:p>
    <w:p w14:paraId="251BF5C4">
      <w:pPr>
        <w:pStyle w:val="2"/>
        <w:pBdr>
          <w:bottom w:val="none" w:color="auto" w:sz="0" w:space="0"/>
        </w:pBdr>
        <w:ind w:firstLine="883"/>
        <w:jc w:val="center"/>
        <w:outlineLvl w:val="9"/>
        <w:rPr>
          <w:rFonts w:ascii="Times New Roman" w:hAnsi="Times New Roman" w:eastAsia="方正小标宋简体" w:cs="Times New Roman"/>
          <w:snapToGrid w:val="0"/>
          <w:color w:val="auto"/>
          <w:sz w:val="44"/>
          <w:szCs w:val="44"/>
        </w:rPr>
      </w:pPr>
      <w:bookmarkStart w:id="137" w:name="扫描0037"/>
      <w:bookmarkEnd w:id="137"/>
    </w:p>
    <w:p w14:paraId="0AAD6AF3">
      <w:pPr>
        <w:pStyle w:val="2"/>
        <w:pBdr>
          <w:bottom w:val="none" w:color="auto" w:sz="0" w:space="0"/>
        </w:pBdr>
        <w:ind w:firstLine="883"/>
        <w:jc w:val="center"/>
        <w:outlineLvl w:val="9"/>
        <w:rPr>
          <w:rFonts w:ascii="Times New Roman" w:hAnsi="Times New Roman" w:eastAsia="方正小标宋简体" w:cs="Times New Roman"/>
          <w:snapToGrid w:val="0"/>
          <w:color w:val="auto"/>
          <w:sz w:val="44"/>
          <w:szCs w:val="44"/>
        </w:rPr>
      </w:pPr>
    </w:p>
    <w:p w14:paraId="66C25294">
      <w:pPr>
        <w:pStyle w:val="2"/>
        <w:pBdr>
          <w:bottom w:val="none" w:color="auto" w:sz="0" w:space="0"/>
        </w:pBdr>
        <w:ind w:firstLine="883"/>
        <w:jc w:val="center"/>
        <w:outlineLvl w:val="9"/>
        <w:rPr>
          <w:rFonts w:ascii="Times New Roman" w:hAnsi="Times New Roman" w:eastAsia="方正小标宋简体" w:cs="Times New Roman"/>
          <w:snapToGrid w:val="0"/>
          <w:color w:val="auto"/>
          <w:sz w:val="44"/>
          <w:szCs w:val="44"/>
        </w:rPr>
      </w:pPr>
    </w:p>
    <w:p w14:paraId="2F1853D4">
      <w:pPr>
        <w:pStyle w:val="2"/>
        <w:pBdr>
          <w:bottom w:val="none" w:color="auto" w:sz="0" w:space="0"/>
        </w:pBdr>
        <w:ind w:firstLine="883"/>
        <w:jc w:val="center"/>
        <w:outlineLvl w:val="9"/>
        <w:rPr>
          <w:rFonts w:ascii="Times New Roman" w:hAnsi="Times New Roman" w:eastAsia="方正小标宋简体" w:cs="Times New Roman"/>
          <w:snapToGrid w:val="0"/>
          <w:color w:val="auto"/>
          <w:sz w:val="44"/>
          <w:szCs w:val="44"/>
        </w:rPr>
      </w:pPr>
    </w:p>
    <w:p w14:paraId="1FA345AC">
      <w:pPr>
        <w:pStyle w:val="2"/>
        <w:pBdr>
          <w:bottom w:val="none" w:color="auto" w:sz="0" w:space="0"/>
        </w:pBdr>
        <w:ind w:firstLine="883"/>
        <w:jc w:val="center"/>
        <w:rPr>
          <w:rFonts w:ascii="Times New Roman" w:hAnsi="Times New Roman" w:eastAsia="方正小标宋简体" w:cs="Times New Roman"/>
          <w:snapToGrid w:val="0"/>
          <w:color w:val="auto"/>
          <w:sz w:val="44"/>
          <w:szCs w:val="44"/>
        </w:rPr>
      </w:pPr>
      <w:bookmarkStart w:id="138" w:name="_Toc32693"/>
      <w:bookmarkStart w:id="139" w:name="_Toc99394541"/>
      <w:bookmarkStart w:id="140" w:name="_Toc21353"/>
      <w:r>
        <w:rPr>
          <w:rFonts w:hint="eastAsia" w:ascii="黑体" w:hAnsi="黑体" w:eastAsia="黑体" w:cs="黑体"/>
          <w:b w:val="0"/>
          <w:bCs w:val="0"/>
          <w:snapToGrid w:val="0"/>
          <w:color w:val="auto"/>
          <w:sz w:val="32"/>
          <w:szCs w:val="32"/>
          <w:lang w:eastAsia="zh-CN"/>
        </w:rPr>
        <w:t>第三</w:t>
      </w:r>
      <w:r>
        <w:rPr>
          <w:rFonts w:hint="eastAsia" w:ascii="黑体" w:hAnsi="黑体" w:eastAsia="黑体" w:cs="黑体"/>
          <w:b w:val="0"/>
          <w:bCs w:val="0"/>
          <w:snapToGrid w:val="0"/>
          <w:color w:val="auto"/>
          <w:sz w:val="32"/>
          <w:szCs w:val="32"/>
          <w:lang w:val="en-US" w:eastAsia="zh-CN"/>
        </w:rPr>
        <w:t xml:space="preserve"> </w:t>
      </w:r>
      <w:r>
        <w:rPr>
          <w:rFonts w:hint="eastAsia" w:ascii="黑体" w:hAnsi="黑体" w:eastAsia="黑体" w:cs="黑体"/>
          <w:b w:val="0"/>
          <w:bCs w:val="0"/>
          <w:snapToGrid w:val="0"/>
          <w:color w:val="auto"/>
          <w:sz w:val="32"/>
          <w:szCs w:val="32"/>
          <w:lang w:eastAsia="zh-CN"/>
        </w:rPr>
        <w:t>章评审办法</w:t>
      </w:r>
      <w:bookmarkEnd w:id="138"/>
      <w:bookmarkEnd w:id="139"/>
      <w:bookmarkEnd w:id="140"/>
    </w:p>
    <w:p w14:paraId="09AEF383">
      <w:pPr>
        <w:rPr>
          <w:rFonts w:ascii="Times New Roman" w:hAnsi="Times New Roman" w:cs="Times New Roman"/>
          <w:snapToGrid w:val="0"/>
        </w:rPr>
      </w:pPr>
      <w:bookmarkStart w:id="141" w:name="扫描0038"/>
      <w:bookmarkEnd w:id="141"/>
      <w:r>
        <w:rPr>
          <w:rFonts w:ascii="Times New Roman" w:hAnsi="Times New Roman" w:cs="Times New Roman"/>
          <w:snapToGrid w:val="0"/>
        </w:rPr>
        <w:br w:type="page"/>
      </w:r>
    </w:p>
    <w:p w14:paraId="014CF980">
      <w:pPr>
        <w:pStyle w:val="3"/>
        <w:ind w:firstLine="800"/>
        <w:jc w:val="center"/>
        <w:rPr>
          <w:rFonts w:ascii="Times New Roman" w:hAnsi="Times New Roman" w:eastAsia="黑体" w:cs="Times New Roman"/>
          <w:snapToGrid w:val="0"/>
          <w:color w:val="auto"/>
          <w:sz w:val="32"/>
          <w:szCs w:val="32"/>
        </w:rPr>
      </w:pPr>
      <w:bookmarkStart w:id="142" w:name="_Toc16652"/>
      <w:r>
        <w:rPr>
          <w:rFonts w:ascii="Times New Roman" w:hAnsi="Times New Roman" w:eastAsia="黑体" w:cs="Times New Roman"/>
          <w:snapToGrid w:val="0"/>
          <w:color w:val="auto"/>
          <w:sz w:val="32"/>
          <w:szCs w:val="32"/>
        </w:rPr>
        <w:t>评审办法前附表</w:t>
      </w:r>
      <w:bookmarkEnd w:id="142"/>
    </w:p>
    <w:tbl>
      <w:tblPr>
        <w:tblStyle w:val="33"/>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7"/>
        <w:gridCol w:w="1018"/>
        <w:gridCol w:w="2250"/>
        <w:gridCol w:w="903"/>
        <w:gridCol w:w="4277"/>
      </w:tblGrid>
      <w:tr w14:paraId="647D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748" w:type="dxa"/>
            <w:gridSpan w:val="3"/>
            <w:shd w:val="clear" w:color="auto" w:fill="auto"/>
            <w:tcMar>
              <w:left w:w="57" w:type="dxa"/>
              <w:right w:w="57" w:type="dxa"/>
            </w:tcMar>
            <w:vAlign w:val="center"/>
          </w:tcPr>
          <w:p w14:paraId="718B46FB">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条款号及名称</w:t>
            </w:r>
          </w:p>
        </w:tc>
        <w:tc>
          <w:tcPr>
            <w:tcW w:w="2250" w:type="dxa"/>
            <w:shd w:val="clear" w:color="auto" w:fill="auto"/>
            <w:tcMar>
              <w:left w:w="57" w:type="dxa"/>
              <w:right w:w="57" w:type="dxa"/>
            </w:tcMar>
            <w:vAlign w:val="center"/>
          </w:tcPr>
          <w:p w14:paraId="164FE6B7">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评审因素</w:t>
            </w:r>
          </w:p>
        </w:tc>
        <w:tc>
          <w:tcPr>
            <w:tcW w:w="5180" w:type="dxa"/>
            <w:gridSpan w:val="2"/>
            <w:shd w:val="clear" w:color="auto" w:fill="auto"/>
            <w:tcMar>
              <w:left w:w="57" w:type="dxa"/>
              <w:right w:w="57" w:type="dxa"/>
            </w:tcMar>
            <w:vAlign w:val="center"/>
          </w:tcPr>
          <w:p w14:paraId="4253AEED">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评审标准</w:t>
            </w:r>
          </w:p>
        </w:tc>
      </w:tr>
      <w:tr w14:paraId="72D0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shd w:val="clear" w:color="auto" w:fill="auto"/>
            <w:tcMar>
              <w:left w:w="57" w:type="dxa"/>
              <w:right w:w="57" w:type="dxa"/>
            </w:tcMar>
            <w:vAlign w:val="center"/>
          </w:tcPr>
          <w:p w14:paraId="647BCF7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1</w:t>
            </w:r>
          </w:p>
        </w:tc>
        <w:tc>
          <w:tcPr>
            <w:tcW w:w="1018" w:type="dxa"/>
            <w:shd w:val="clear" w:color="auto" w:fill="auto"/>
            <w:tcMar>
              <w:left w:w="57" w:type="dxa"/>
              <w:right w:w="57" w:type="dxa"/>
            </w:tcMar>
            <w:vAlign w:val="center"/>
          </w:tcPr>
          <w:p w14:paraId="6FDCFC09">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评审方法</w:t>
            </w:r>
          </w:p>
        </w:tc>
        <w:tc>
          <w:tcPr>
            <w:tcW w:w="2250" w:type="dxa"/>
            <w:shd w:val="clear" w:color="auto" w:fill="auto"/>
            <w:tcMar>
              <w:left w:w="57" w:type="dxa"/>
              <w:right w:w="57" w:type="dxa"/>
            </w:tcMar>
            <w:vAlign w:val="center"/>
          </w:tcPr>
          <w:p w14:paraId="0F160196">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评审方法</w:t>
            </w:r>
          </w:p>
        </w:tc>
        <w:tc>
          <w:tcPr>
            <w:tcW w:w="5180" w:type="dxa"/>
            <w:gridSpan w:val="2"/>
            <w:shd w:val="clear" w:color="auto" w:fill="auto"/>
            <w:tcMar>
              <w:left w:w="57" w:type="dxa"/>
              <w:right w:w="57" w:type="dxa"/>
            </w:tcMar>
            <w:vAlign w:val="center"/>
          </w:tcPr>
          <w:p w14:paraId="15231580">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综合评分法</w:t>
            </w:r>
          </w:p>
        </w:tc>
      </w:tr>
      <w:tr w14:paraId="7CE4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restart"/>
            <w:shd w:val="clear" w:color="auto" w:fill="auto"/>
            <w:tcMar>
              <w:left w:w="57" w:type="dxa"/>
              <w:right w:w="57" w:type="dxa"/>
            </w:tcMar>
            <w:vAlign w:val="center"/>
          </w:tcPr>
          <w:p w14:paraId="70811D99">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2.1.1</w:t>
            </w:r>
          </w:p>
        </w:tc>
        <w:tc>
          <w:tcPr>
            <w:tcW w:w="1018" w:type="dxa"/>
            <w:vMerge w:val="restart"/>
            <w:shd w:val="clear" w:color="auto" w:fill="auto"/>
            <w:tcMar>
              <w:left w:w="57" w:type="dxa"/>
              <w:right w:w="57" w:type="dxa"/>
            </w:tcMar>
            <w:vAlign w:val="center"/>
          </w:tcPr>
          <w:p w14:paraId="68300B1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形式评审标准</w:t>
            </w:r>
          </w:p>
        </w:tc>
        <w:tc>
          <w:tcPr>
            <w:tcW w:w="2250" w:type="dxa"/>
            <w:shd w:val="clear" w:color="auto" w:fill="auto"/>
            <w:tcMar>
              <w:left w:w="57" w:type="dxa"/>
              <w:right w:w="57" w:type="dxa"/>
            </w:tcMar>
            <w:vAlign w:val="center"/>
          </w:tcPr>
          <w:p w14:paraId="6A24DB9A">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供应商名称</w:t>
            </w:r>
          </w:p>
        </w:tc>
        <w:tc>
          <w:tcPr>
            <w:tcW w:w="5180" w:type="dxa"/>
            <w:gridSpan w:val="2"/>
            <w:shd w:val="clear" w:color="auto" w:fill="auto"/>
            <w:tcMar>
              <w:left w:w="57" w:type="dxa"/>
              <w:right w:w="57" w:type="dxa"/>
            </w:tcMar>
            <w:vAlign w:val="center"/>
          </w:tcPr>
          <w:p w14:paraId="6A606299">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与市场监管部门或其他行政机关颁发的可以合法开展业务的执照或证书一致</w:t>
            </w:r>
          </w:p>
        </w:tc>
      </w:tr>
      <w:tr w14:paraId="00B1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continue"/>
            <w:shd w:val="clear" w:color="auto" w:fill="auto"/>
            <w:tcMar>
              <w:left w:w="57" w:type="dxa"/>
              <w:right w:w="57" w:type="dxa"/>
            </w:tcMar>
            <w:vAlign w:val="center"/>
          </w:tcPr>
          <w:p w14:paraId="76521B4E">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48CB274D">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5075D42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响应文件签字盖章</w:t>
            </w:r>
          </w:p>
        </w:tc>
        <w:tc>
          <w:tcPr>
            <w:tcW w:w="5180" w:type="dxa"/>
            <w:gridSpan w:val="2"/>
            <w:shd w:val="clear" w:color="auto" w:fill="auto"/>
            <w:tcMar>
              <w:left w:w="57" w:type="dxa"/>
              <w:right w:w="57" w:type="dxa"/>
            </w:tcMar>
            <w:vAlign w:val="center"/>
          </w:tcPr>
          <w:p w14:paraId="48946F79">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符合第二章第3.7.2项及第3.7.3项的规定</w:t>
            </w:r>
          </w:p>
        </w:tc>
      </w:tr>
      <w:tr w14:paraId="193C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continue"/>
            <w:shd w:val="clear" w:color="auto" w:fill="auto"/>
            <w:tcMar>
              <w:left w:w="57" w:type="dxa"/>
              <w:right w:w="57" w:type="dxa"/>
            </w:tcMar>
            <w:vAlign w:val="center"/>
          </w:tcPr>
          <w:p w14:paraId="6B38F902">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0C6560E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405F13BA">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联合体协议书</w:t>
            </w:r>
          </w:p>
        </w:tc>
        <w:tc>
          <w:tcPr>
            <w:tcW w:w="5180" w:type="dxa"/>
            <w:gridSpan w:val="2"/>
            <w:shd w:val="clear" w:color="auto" w:fill="auto"/>
            <w:tcMar>
              <w:left w:w="57" w:type="dxa"/>
              <w:right w:w="57" w:type="dxa"/>
            </w:tcMar>
            <w:vAlign w:val="center"/>
          </w:tcPr>
          <w:p w14:paraId="2386F56D">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递交联合体协议书，并明确联合体牵头人</w:t>
            </w:r>
          </w:p>
        </w:tc>
      </w:tr>
      <w:tr w14:paraId="23F0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continue"/>
            <w:shd w:val="clear" w:color="auto" w:fill="auto"/>
            <w:tcMar>
              <w:left w:w="57" w:type="dxa"/>
              <w:right w:w="57" w:type="dxa"/>
            </w:tcMar>
            <w:vAlign w:val="center"/>
          </w:tcPr>
          <w:p w14:paraId="0BBFE28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0EA1A52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1CAC59B6">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响应函中实质性内容</w:t>
            </w:r>
          </w:p>
        </w:tc>
        <w:tc>
          <w:tcPr>
            <w:tcW w:w="5180" w:type="dxa"/>
            <w:gridSpan w:val="2"/>
            <w:shd w:val="clear" w:color="auto" w:fill="auto"/>
            <w:tcMar>
              <w:left w:w="57" w:type="dxa"/>
              <w:right w:w="57" w:type="dxa"/>
            </w:tcMar>
            <w:vAlign w:val="center"/>
          </w:tcPr>
          <w:p w14:paraId="50D6B8F6">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 xml:space="preserve">               </w:t>
            </w:r>
          </w:p>
        </w:tc>
      </w:tr>
      <w:tr w14:paraId="5AAC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continue"/>
            <w:shd w:val="clear" w:color="auto" w:fill="auto"/>
            <w:tcMar>
              <w:left w:w="57" w:type="dxa"/>
              <w:right w:w="57" w:type="dxa"/>
            </w:tcMar>
            <w:vAlign w:val="center"/>
          </w:tcPr>
          <w:p w14:paraId="0F4D8DF9">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32517FA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0882BF4F">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w:t>
            </w:r>
          </w:p>
        </w:tc>
        <w:tc>
          <w:tcPr>
            <w:tcW w:w="5180" w:type="dxa"/>
            <w:gridSpan w:val="2"/>
            <w:shd w:val="clear" w:color="auto" w:fill="auto"/>
            <w:tcMar>
              <w:left w:w="57" w:type="dxa"/>
              <w:right w:w="57" w:type="dxa"/>
            </w:tcMar>
            <w:vAlign w:val="center"/>
          </w:tcPr>
          <w:p w14:paraId="4621B7C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w:t>
            </w:r>
          </w:p>
        </w:tc>
      </w:tr>
      <w:tr w14:paraId="20E6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restart"/>
            <w:shd w:val="clear" w:color="auto" w:fill="auto"/>
            <w:tcMar>
              <w:left w:w="57" w:type="dxa"/>
              <w:right w:w="57" w:type="dxa"/>
            </w:tcMar>
            <w:vAlign w:val="center"/>
          </w:tcPr>
          <w:p w14:paraId="1F4C6D0D">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2.1.2</w:t>
            </w:r>
          </w:p>
        </w:tc>
        <w:tc>
          <w:tcPr>
            <w:tcW w:w="1018" w:type="dxa"/>
            <w:vMerge w:val="restart"/>
            <w:shd w:val="clear" w:color="auto" w:fill="auto"/>
            <w:tcMar>
              <w:left w:w="57" w:type="dxa"/>
              <w:right w:w="57" w:type="dxa"/>
            </w:tcMar>
            <w:vAlign w:val="center"/>
          </w:tcPr>
          <w:p w14:paraId="079A6A3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资格评审标准</w:t>
            </w:r>
          </w:p>
        </w:tc>
        <w:tc>
          <w:tcPr>
            <w:tcW w:w="2250" w:type="dxa"/>
            <w:shd w:val="clear" w:color="auto" w:fill="auto"/>
            <w:tcMar>
              <w:left w:w="57" w:type="dxa"/>
              <w:right w:w="57" w:type="dxa"/>
            </w:tcMar>
            <w:vAlign w:val="center"/>
          </w:tcPr>
          <w:p w14:paraId="71C32F02">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依法设立</w:t>
            </w:r>
          </w:p>
        </w:tc>
        <w:tc>
          <w:tcPr>
            <w:tcW w:w="5180" w:type="dxa"/>
            <w:gridSpan w:val="2"/>
            <w:shd w:val="clear" w:color="auto" w:fill="auto"/>
            <w:tcMar>
              <w:left w:w="57" w:type="dxa"/>
              <w:right w:w="57" w:type="dxa"/>
            </w:tcMar>
            <w:vAlign w:val="center"/>
          </w:tcPr>
          <w:p w14:paraId="771E6D7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符合第一章第3.1款及供应商须知前附表第3.5(1)款规定</w:t>
            </w:r>
          </w:p>
        </w:tc>
      </w:tr>
      <w:tr w14:paraId="2062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continue"/>
            <w:shd w:val="clear" w:color="auto" w:fill="auto"/>
            <w:tcMar>
              <w:left w:w="57" w:type="dxa"/>
              <w:right w:w="57" w:type="dxa"/>
            </w:tcMar>
            <w:vAlign w:val="center"/>
          </w:tcPr>
          <w:p w14:paraId="60139AF9">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43A89160">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6AAA383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资质要求</w:t>
            </w:r>
          </w:p>
        </w:tc>
        <w:tc>
          <w:tcPr>
            <w:tcW w:w="5180" w:type="dxa"/>
            <w:gridSpan w:val="2"/>
            <w:shd w:val="clear" w:color="auto" w:fill="auto"/>
            <w:tcMar>
              <w:left w:w="57" w:type="dxa"/>
              <w:right w:w="57" w:type="dxa"/>
            </w:tcMar>
            <w:vAlign w:val="center"/>
          </w:tcPr>
          <w:p w14:paraId="48CF97A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符合第一章第3.1款及供应商须知前附表第3.5(2)款规定</w:t>
            </w:r>
          </w:p>
        </w:tc>
      </w:tr>
      <w:tr w14:paraId="125B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continue"/>
            <w:shd w:val="clear" w:color="auto" w:fill="auto"/>
            <w:tcMar>
              <w:left w:w="57" w:type="dxa"/>
              <w:right w:w="57" w:type="dxa"/>
            </w:tcMar>
            <w:vAlign w:val="center"/>
          </w:tcPr>
          <w:p w14:paraId="10DEF53D">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5E5D85C8">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50F11E37">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财务要求</w:t>
            </w:r>
          </w:p>
        </w:tc>
        <w:tc>
          <w:tcPr>
            <w:tcW w:w="5180" w:type="dxa"/>
            <w:gridSpan w:val="2"/>
            <w:shd w:val="clear" w:color="auto" w:fill="auto"/>
            <w:tcMar>
              <w:left w:w="57" w:type="dxa"/>
              <w:right w:w="57" w:type="dxa"/>
            </w:tcMar>
            <w:vAlign w:val="center"/>
          </w:tcPr>
          <w:p w14:paraId="0CEE8C5B">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符合第一章第3.1款及供应商须知前附表第3.5(3)款规定</w:t>
            </w:r>
          </w:p>
        </w:tc>
      </w:tr>
      <w:tr w14:paraId="3270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continue"/>
            <w:shd w:val="clear" w:color="auto" w:fill="auto"/>
            <w:tcMar>
              <w:left w:w="57" w:type="dxa"/>
              <w:right w:w="57" w:type="dxa"/>
            </w:tcMar>
            <w:vAlign w:val="center"/>
          </w:tcPr>
          <w:p w14:paraId="140AAC1F">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69055BB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488F32DE">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业绩要求</w:t>
            </w:r>
          </w:p>
        </w:tc>
        <w:tc>
          <w:tcPr>
            <w:tcW w:w="5180" w:type="dxa"/>
            <w:gridSpan w:val="2"/>
            <w:shd w:val="clear" w:color="auto" w:fill="auto"/>
            <w:tcMar>
              <w:left w:w="57" w:type="dxa"/>
              <w:right w:w="57" w:type="dxa"/>
            </w:tcMar>
            <w:vAlign w:val="center"/>
          </w:tcPr>
          <w:p w14:paraId="1339F82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符合第一章第3.1款及供应商须知前附表第3.5(4)款规定</w:t>
            </w:r>
          </w:p>
        </w:tc>
      </w:tr>
      <w:tr w14:paraId="5DC97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continue"/>
            <w:shd w:val="clear" w:color="auto" w:fill="auto"/>
            <w:tcMar>
              <w:left w:w="57" w:type="dxa"/>
              <w:right w:w="57" w:type="dxa"/>
            </w:tcMar>
            <w:vAlign w:val="center"/>
          </w:tcPr>
          <w:p w14:paraId="3E579C7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325DB59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3AB3E43D">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信誉要求</w:t>
            </w:r>
          </w:p>
        </w:tc>
        <w:tc>
          <w:tcPr>
            <w:tcW w:w="5180" w:type="dxa"/>
            <w:gridSpan w:val="2"/>
            <w:shd w:val="clear" w:color="auto" w:fill="auto"/>
            <w:tcMar>
              <w:left w:w="57" w:type="dxa"/>
              <w:right w:w="57" w:type="dxa"/>
            </w:tcMar>
            <w:vAlign w:val="center"/>
          </w:tcPr>
          <w:p w14:paraId="3FD1CF3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符合第一章第3.1款及供应商须知前附表第3.5(5)款规定</w:t>
            </w:r>
          </w:p>
        </w:tc>
      </w:tr>
      <w:tr w14:paraId="0C16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continue"/>
            <w:shd w:val="clear" w:color="auto" w:fill="auto"/>
            <w:tcMar>
              <w:left w:w="57" w:type="dxa"/>
              <w:right w:w="57" w:type="dxa"/>
            </w:tcMar>
            <w:vAlign w:val="center"/>
          </w:tcPr>
          <w:p w14:paraId="1612C1FB">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019BA467">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29E59DBF">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人员要求</w:t>
            </w:r>
          </w:p>
        </w:tc>
        <w:tc>
          <w:tcPr>
            <w:tcW w:w="5180" w:type="dxa"/>
            <w:gridSpan w:val="2"/>
            <w:shd w:val="clear" w:color="auto" w:fill="auto"/>
            <w:tcMar>
              <w:left w:w="57" w:type="dxa"/>
              <w:right w:w="57" w:type="dxa"/>
            </w:tcMar>
            <w:vAlign w:val="center"/>
          </w:tcPr>
          <w:p w14:paraId="55223857">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符合第一章第3.1款及供应商须知前附表第3.5(6)款规定</w:t>
            </w:r>
          </w:p>
        </w:tc>
      </w:tr>
      <w:tr w14:paraId="2789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continue"/>
            <w:shd w:val="clear" w:color="auto" w:fill="auto"/>
            <w:tcMar>
              <w:left w:w="57" w:type="dxa"/>
              <w:right w:w="57" w:type="dxa"/>
            </w:tcMar>
            <w:vAlign w:val="center"/>
          </w:tcPr>
          <w:p w14:paraId="18AFFFE2">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2B691A32">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6838518D">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其他要求</w:t>
            </w:r>
          </w:p>
        </w:tc>
        <w:tc>
          <w:tcPr>
            <w:tcW w:w="5180" w:type="dxa"/>
            <w:gridSpan w:val="2"/>
            <w:shd w:val="clear" w:color="auto" w:fill="auto"/>
            <w:tcMar>
              <w:left w:w="57" w:type="dxa"/>
              <w:right w:w="57" w:type="dxa"/>
            </w:tcMar>
            <w:vAlign w:val="center"/>
          </w:tcPr>
          <w:p w14:paraId="2427F4D8">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符合第一章第3.1款及供应商须知前附表第3.5(7)款规定</w:t>
            </w:r>
          </w:p>
        </w:tc>
      </w:tr>
      <w:tr w14:paraId="7762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continue"/>
            <w:shd w:val="clear" w:color="auto" w:fill="auto"/>
            <w:tcMar>
              <w:left w:w="57" w:type="dxa"/>
              <w:right w:w="57" w:type="dxa"/>
            </w:tcMar>
            <w:vAlign w:val="center"/>
          </w:tcPr>
          <w:p w14:paraId="6E03EBF6">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253CC4D0">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5E181428">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不存在第一章第3.2款情形</w:t>
            </w:r>
          </w:p>
        </w:tc>
        <w:tc>
          <w:tcPr>
            <w:tcW w:w="5180" w:type="dxa"/>
            <w:gridSpan w:val="2"/>
            <w:shd w:val="clear" w:color="auto" w:fill="auto"/>
            <w:tcMar>
              <w:left w:w="57" w:type="dxa"/>
              <w:right w:w="57" w:type="dxa"/>
            </w:tcMar>
            <w:vAlign w:val="center"/>
          </w:tcPr>
          <w:p w14:paraId="051AEEA2">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符合第一章第3.2款及供应商须知前附表第3.5(8)款规定</w:t>
            </w:r>
          </w:p>
        </w:tc>
      </w:tr>
      <w:tr w14:paraId="3409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continue"/>
            <w:shd w:val="clear" w:color="auto" w:fill="auto"/>
            <w:tcMar>
              <w:left w:w="57" w:type="dxa"/>
              <w:right w:w="57" w:type="dxa"/>
            </w:tcMar>
            <w:vAlign w:val="center"/>
          </w:tcPr>
          <w:p w14:paraId="0C74A9F0">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67D6F6A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20D07DBE">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联合体供应商</w:t>
            </w:r>
          </w:p>
        </w:tc>
        <w:tc>
          <w:tcPr>
            <w:tcW w:w="5180" w:type="dxa"/>
            <w:gridSpan w:val="2"/>
            <w:shd w:val="clear" w:color="auto" w:fill="auto"/>
            <w:tcMar>
              <w:left w:w="57" w:type="dxa"/>
              <w:right w:w="57" w:type="dxa"/>
            </w:tcMar>
            <w:vAlign w:val="center"/>
          </w:tcPr>
          <w:p w14:paraId="76679C5A">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符合第一章第3.3款及供应商须知前附表第3.5(9)款规定</w:t>
            </w:r>
          </w:p>
        </w:tc>
      </w:tr>
      <w:tr w14:paraId="63F6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0" w:type="dxa"/>
            <w:gridSpan w:val="2"/>
            <w:vMerge w:val="continue"/>
            <w:shd w:val="clear" w:color="auto" w:fill="auto"/>
            <w:tcMar>
              <w:left w:w="57" w:type="dxa"/>
              <w:right w:w="57" w:type="dxa"/>
            </w:tcMar>
            <w:vAlign w:val="center"/>
          </w:tcPr>
          <w:p w14:paraId="43E6940D">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0E34B530">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24EF4547">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w:t>
            </w:r>
          </w:p>
        </w:tc>
        <w:tc>
          <w:tcPr>
            <w:tcW w:w="5180" w:type="dxa"/>
            <w:gridSpan w:val="2"/>
            <w:shd w:val="clear" w:color="auto" w:fill="auto"/>
            <w:tcMar>
              <w:left w:w="57" w:type="dxa"/>
              <w:right w:w="57" w:type="dxa"/>
            </w:tcMar>
            <w:vAlign w:val="center"/>
          </w:tcPr>
          <w:p w14:paraId="0395867F">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w:t>
            </w:r>
          </w:p>
        </w:tc>
      </w:tr>
      <w:tr w14:paraId="1ED1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748" w:type="dxa"/>
            <w:gridSpan w:val="3"/>
            <w:shd w:val="clear" w:color="auto" w:fill="auto"/>
            <w:tcMar>
              <w:left w:w="57" w:type="dxa"/>
              <w:right w:w="57" w:type="dxa"/>
            </w:tcMar>
            <w:vAlign w:val="center"/>
          </w:tcPr>
          <w:p w14:paraId="70F2714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条款号及名称</w:t>
            </w:r>
          </w:p>
        </w:tc>
        <w:tc>
          <w:tcPr>
            <w:tcW w:w="2250" w:type="dxa"/>
            <w:shd w:val="clear" w:color="auto" w:fill="auto"/>
            <w:tcMar>
              <w:left w:w="57" w:type="dxa"/>
              <w:right w:w="57" w:type="dxa"/>
            </w:tcMar>
            <w:vAlign w:val="center"/>
          </w:tcPr>
          <w:p w14:paraId="6A9512F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评审因素</w:t>
            </w:r>
          </w:p>
        </w:tc>
        <w:tc>
          <w:tcPr>
            <w:tcW w:w="5180" w:type="dxa"/>
            <w:gridSpan w:val="2"/>
            <w:shd w:val="clear" w:color="auto" w:fill="auto"/>
            <w:tcMar>
              <w:left w:w="57" w:type="dxa"/>
              <w:right w:w="57" w:type="dxa"/>
            </w:tcMar>
            <w:vAlign w:val="center"/>
          </w:tcPr>
          <w:p w14:paraId="1412F762">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评审标准</w:t>
            </w:r>
          </w:p>
        </w:tc>
      </w:tr>
      <w:tr w14:paraId="4FB1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30" w:type="dxa"/>
            <w:gridSpan w:val="2"/>
            <w:vMerge w:val="restart"/>
            <w:shd w:val="clear" w:color="auto" w:fill="auto"/>
            <w:tcMar>
              <w:left w:w="57" w:type="dxa"/>
              <w:right w:w="57" w:type="dxa"/>
            </w:tcMar>
            <w:vAlign w:val="center"/>
          </w:tcPr>
          <w:p w14:paraId="6911E68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2.1.3</w:t>
            </w:r>
          </w:p>
        </w:tc>
        <w:tc>
          <w:tcPr>
            <w:tcW w:w="1018" w:type="dxa"/>
            <w:vMerge w:val="restart"/>
            <w:shd w:val="clear" w:color="auto" w:fill="auto"/>
            <w:tcMar>
              <w:left w:w="57" w:type="dxa"/>
              <w:right w:w="57" w:type="dxa"/>
            </w:tcMar>
            <w:vAlign w:val="center"/>
          </w:tcPr>
          <w:p w14:paraId="0C09850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响应性评审标准</w:t>
            </w:r>
          </w:p>
        </w:tc>
        <w:tc>
          <w:tcPr>
            <w:tcW w:w="2250" w:type="dxa"/>
            <w:shd w:val="clear" w:color="auto" w:fill="auto"/>
            <w:tcMar>
              <w:left w:w="57" w:type="dxa"/>
              <w:right w:w="57" w:type="dxa"/>
            </w:tcMar>
            <w:vAlign w:val="center"/>
          </w:tcPr>
          <w:p w14:paraId="00B1FACB">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报价</w:t>
            </w:r>
          </w:p>
        </w:tc>
        <w:tc>
          <w:tcPr>
            <w:tcW w:w="5180" w:type="dxa"/>
            <w:gridSpan w:val="2"/>
            <w:shd w:val="clear" w:color="auto" w:fill="auto"/>
            <w:tcMar>
              <w:left w:w="57" w:type="dxa"/>
              <w:right w:w="57" w:type="dxa"/>
            </w:tcMar>
            <w:vAlign w:val="center"/>
          </w:tcPr>
          <w:p w14:paraId="1499F02E">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符合第二章第3.2款规定</w:t>
            </w:r>
          </w:p>
        </w:tc>
      </w:tr>
      <w:tr w14:paraId="6B19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30" w:type="dxa"/>
            <w:gridSpan w:val="2"/>
            <w:vMerge w:val="continue"/>
            <w:shd w:val="clear" w:color="auto" w:fill="auto"/>
            <w:tcMar>
              <w:left w:w="57" w:type="dxa"/>
              <w:right w:w="57" w:type="dxa"/>
            </w:tcMar>
            <w:vAlign w:val="center"/>
          </w:tcPr>
          <w:p w14:paraId="470F6A1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2B67D84B">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2E0429C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响应文件有效期</w:t>
            </w:r>
          </w:p>
        </w:tc>
        <w:tc>
          <w:tcPr>
            <w:tcW w:w="5180" w:type="dxa"/>
            <w:gridSpan w:val="2"/>
            <w:shd w:val="clear" w:color="auto" w:fill="auto"/>
            <w:tcMar>
              <w:left w:w="57" w:type="dxa"/>
              <w:right w:w="57" w:type="dxa"/>
            </w:tcMar>
            <w:vAlign w:val="center"/>
          </w:tcPr>
          <w:p w14:paraId="5E841ED2">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符合第二章第3.3.1项规定</w:t>
            </w:r>
          </w:p>
        </w:tc>
      </w:tr>
      <w:tr w14:paraId="09B5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30" w:type="dxa"/>
            <w:gridSpan w:val="2"/>
            <w:vMerge w:val="continue"/>
            <w:shd w:val="clear" w:color="auto" w:fill="auto"/>
            <w:tcMar>
              <w:left w:w="57" w:type="dxa"/>
              <w:right w:w="57" w:type="dxa"/>
            </w:tcMar>
            <w:vAlign w:val="center"/>
          </w:tcPr>
          <w:p w14:paraId="2056647E">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30B1C8A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2225BDC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响应保证金</w:t>
            </w:r>
          </w:p>
        </w:tc>
        <w:tc>
          <w:tcPr>
            <w:tcW w:w="5180" w:type="dxa"/>
            <w:gridSpan w:val="2"/>
            <w:shd w:val="clear" w:color="auto" w:fill="auto"/>
            <w:tcMar>
              <w:left w:w="57" w:type="dxa"/>
              <w:right w:w="57" w:type="dxa"/>
            </w:tcMar>
            <w:vAlign w:val="center"/>
          </w:tcPr>
          <w:p w14:paraId="448F3C1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符合第二章第3.4.1项规定</w:t>
            </w:r>
          </w:p>
        </w:tc>
      </w:tr>
      <w:tr w14:paraId="4A15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30" w:type="dxa"/>
            <w:gridSpan w:val="2"/>
            <w:vMerge w:val="continue"/>
            <w:shd w:val="clear" w:color="auto" w:fill="auto"/>
            <w:tcMar>
              <w:left w:w="57" w:type="dxa"/>
              <w:right w:w="57" w:type="dxa"/>
            </w:tcMar>
            <w:vAlign w:val="center"/>
          </w:tcPr>
          <w:p w14:paraId="15AC2E2A">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5C40A677">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11BB155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货物清单</w:t>
            </w:r>
          </w:p>
        </w:tc>
        <w:tc>
          <w:tcPr>
            <w:tcW w:w="5180" w:type="dxa"/>
            <w:gridSpan w:val="2"/>
            <w:shd w:val="clear" w:color="auto" w:fill="auto"/>
            <w:tcMar>
              <w:left w:w="57" w:type="dxa"/>
              <w:right w:w="57" w:type="dxa"/>
            </w:tcMar>
            <w:vAlign w:val="center"/>
          </w:tcPr>
          <w:p w14:paraId="735B164C">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符合第二章第3.6款规定</w:t>
            </w:r>
          </w:p>
        </w:tc>
      </w:tr>
      <w:tr w14:paraId="794C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30" w:type="dxa"/>
            <w:gridSpan w:val="2"/>
            <w:vMerge w:val="continue"/>
            <w:shd w:val="clear" w:color="auto" w:fill="auto"/>
            <w:tcMar>
              <w:left w:w="57" w:type="dxa"/>
              <w:right w:w="57" w:type="dxa"/>
            </w:tcMar>
            <w:vAlign w:val="center"/>
          </w:tcPr>
          <w:p w14:paraId="1AAC84A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35520298">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724C4C02">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质量标准</w:t>
            </w:r>
          </w:p>
        </w:tc>
        <w:tc>
          <w:tcPr>
            <w:tcW w:w="5180" w:type="dxa"/>
            <w:gridSpan w:val="2"/>
            <w:shd w:val="clear" w:color="auto" w:fill="auto"/>
            <w:tcMar>
              <w:left w:w="57" w:type="dxa"/>
              <w:right w:w="57" w:type="dxa"/>
            </w:tcMar>
            <w:vAlign w:val="center"/>
          </w:tcPr>
          <w:p w14:paraId="33D466BE">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符合第一章第2条规定</w:t>
            </w:r>
          </w:p>
        </w:tc>
      </w:tr>
      <w:tr w14:paraId="1FBC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30" w:type="dxa"/>
            <w:gridSpan w:val="2"/>
            <w:vMerge w:val="continue"/>
            <w:shd w:val="clear" w:color="auto" w:fill="auto"/>
            <w:tcMar>
              <w:left w:w="57" w:type="dxa"/>
              <w:right w:w="57" w:type="dxa"/>
            </w:tcMar>
            <w:vAlign w:val="center"/>
          </w:tcPr>
          <w:p w14:paraId="62BCF50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5544D102">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18379ED8">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交货期</w:t>
            </w:r>
          </w:p>
        </w:tc>
        <w:tc>
          <w:tcPr>
            <w:tcW w:w="5180" w:type="dxa"/>
            <w:gridSpan w:val="2"/>
            <w:shd w:val="clear" w:color="auto" w:fill="auto"/>
            <w:tcMar>
              <w:left w:w="57" w:type="dxa"/>
              <w:right w:w="57" w:type="dxa"/>
            </w:tcMar>
            <w:vAlign w:val="center"/>
          </w:tcPr>
          <w:p w14:paraId="10DB90B6">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符合第一章第2条规定</w:t>
            </w:r>
          </w:p>
        </w:tc>
      </w:tr>
      <w:tr w14:paraId="43A4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30" w:type="dxa"/>
            <w:gridSpan w:val="2"/>
            <w:vMerge w:val="continue"/>
            <w:shd w:val="clear" w:color="auto" w:fill="auto"/>
            <w:tcMar>
              <w:left w:w="57" w:type="dxa"/>
              <w:right w:w="57" w:type="dxa"/>
            </w:tcMar>
            <w:vAlign w:val="center"/>
          </w:tcPr>
          <w:p w14:paraId="13530DB9">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29972D57">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35F0ADE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合同条款</w:t>
            </w:r>
          </w:p>
        </w:tc>
        <w:tc>
          <w:tcPr>
            <w:tcW w:w="5180" w:type="dxa"/>
            <w:gridSpan w:val="2"/>
            <w:shd w:val="clear" w:color="auto" w:fill="auto"/>
            <w:tcMar>
              <w:left w:w="57" w:type="dxa"/>
              <w:right w:w="57" w:type="dxa"/>
            </w:tcMar>
            <w:vAlign w:val="center"/>
          </w:tcPr>
          <w:p w14:paraId="6576C3E7">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符合第二章第1.10.1项规定</w:t>
            </w:r>
          </w:p>
        </w:tc>
      </w:tr>
      <w:tr w14:paraId="4F9C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30" w:type="dxa"/>
            <w:gridSpan w:val="2"/>
            <w:vMerge w:val="continue"/>
            <w:shd w:val="clear" w:color="auto" w:fill="auto"/>
            <w:tcMar>
              <w:left w:w="57" w:type="dxa"/>
              <w:right w:w="57" w:type="dxa"/>
            </w:tcMar>
            <w:vAlign w:val="center"/>
          </w:tcPr>
          <w:p w14:paraId="4402FFB6">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07F4DCAD">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6C18A7F8">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对非关键条款的偏差</w:t>
            </w:r>
          </w:p>
        </w:tc>
        <w:tc>
          <w:tcPr>
            <w:tcW w:w="5180" w:type="dxa"/>
            <w:gridSpan w:val="2"/>
            <w:shd w:val="clear" w:color="auto" w:fill="auto"/>
            <w:tcMar>
              <w:left w:w="57" w:type="dxa"/>
              <w:right w:w="57" w:type="dxa"/>
            </w:tcMar>
            <w:vAlign w:val="center"/>
          </w:tcPr>
          <w:p w14:paraId="560DDB2C">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偏差范围和偏差项数符合第二章第1.10.2项的规定</w:t>
            </w:r>
          </w:p>
        </w:tc>
      </w:tr>
      <w:tr w14:paraId="154D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30" w:type="dxa"/>
            <w:gridSpan w:val="2"/>
            <w:vMerge w:val="continue"/>
            <w:shd w:val="clear" w:color="auto" w:fill="auto"/>
            <w:tcMar>
              <w:left w:w="57" w:type="dxa"/>
              <w:right w:w="57" w:type="dxa"/>
            </w:tcMar>
            <w:vAlign w:val="center"/>
          </w:tcPr>
          <w:p w14:paraId="6DC90A09">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18" w:type="dxa"/>
            <w:vMerge w:val="continue"/>
            <w:shd w:val="clear" w:color="auto" w:fill="auto"/>
            <w:tcMar>
              <w:left w:w="57" w:type="dxa"/>
              <w:right w:w="57" w:type="dxa"/>
            </w:tcMar>
            <w:vAlign w:val="center"/>
          </w:tcPr>
          <w:p w14:paraId="3E46070B">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36473732">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w:t>
            </w:r>
          </w:p>
        </w:tc>
        <w:tc>
          <w:tcPr>
            <w:tcW w:w="5180" w:type="dxa"/>
            <w:gridSpan w:val="2"/>
            <w:shd w:val="clear" w:color="auto" w:fill="auto"/>
            <w:tcMar>
              <w:left w:w="57" w:type="dxa"/>
              <w:right w:w="57" w:type="dxa"/>
            </w:tcMar>
            <w:vAlign w:val="center"/>
          </w:tcPr>
          <w:p w14:paraId="3F3B899A">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w:t>
            </w:r>
          </w:p>
        </w:tc>
      </w:tr>
      <w:tr w14:paraId="158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48" w:type="dxa"/>
            <w:gridSpan w:val="3"/>
            <w:shd w:val="clear" w:color="auto" w:fill="auto"/>
            <w:tcMar>
              <w:left w:w="57" w:type="dxa"/>
              <w:right w:w="57" w:type="dxa"/>
            </w:tcMar>
            <w:vAlign w:val="center"/>
          </w:tcPr>
          <w:p w14:paraId="12B663BD">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3.1.1</w:t>
            </w:r>
          </w:p>
        </w:tc>
        <w:tc>
          <w:tcPr>
            <w:tcW w:w="2250" w:type="dxa"/>
            <w:shd w:val="clear" w:color="auto" w:fill="auto"/>
            <w:tcMar>
              <w:left w:w="57" w:type="dxa"/>
              <w:right w:w="57" w:type="dxa"/>
            </w:tcMar>
            <w:vAlign w:val="center"/>
          </w:tcPr>
          <w:p w14:paraId="536E5F4E">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评审价格</w:t>
            </w:r>
          </w:p>
        </w:tc>
        <w:tc>
          <w:tcPr>
            <w:tcW w:w="5180" w:type="dxa"/>
            <w:gridSpan w:val="2"/>
            <w:shd w:val="clear" w:color="auto" w:fill="auto"/>
            <w:tcMar>
              <w:left w:w="57" w:type="dxa"/>
              <w:right w:w="57" w:type="dxa"/>
            </w:tcMar>
            <w:vAlign w:val="center"/>
          </w:tcPr>
          <w:p w14:paraId="4A8DC7D2">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r>
      <w:tr w14:paraId="3EFC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48" w:type="dxa"/>
            <w:gridSpan w:val="3"/>
            <w:shd w:val="clear" w:color="auto" w:fill="auto"/>
            <w:tcMar>
              <w:left w:w="57" w:type="dxa"/>
              <w:right w:w="57" w:type="dxa"/>
            </w:tcMar>
            <w:vAlign w:val="center"/>
          </w:tcPr>
          <w:p w14:paraId="2CC41ECF">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条款号</w:t>
            </w:r>
          </w:p>
        </w:tc>
        <w:tc>
          <w:tcPr>
            <w:tcW w:w="2250" w:type="dxa"/>
            <w:shd w:val="clear" w:color="auto" w:fill="auto"/>
            <w:tcMar>
              <w:left w:w="57" w:type="dxa"/>
              <w:right w:w="57" w:type="dxa"/>
            </w:tcMar>
            <w:vAlign w:val="center"/>
          </w:tcPr>
          <w:p w14:paraId="0A4DFF5F">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条款内容</w:t>
            </w:r>
          </w:p>
        </w:tc>
        <w:tc>
          <w:tcPr>
            <w:tcW w:w="5180" w:type="dxa"/>
            <w:gridSpan w:val="2"/>
            <w:shd w:val="clear" w:color="auto" w:fill="auto"/>
            <w:tcMar>
              <w:left w:w="57" w:type="dxa"/>
              <w:right w:w="57" w:type="dxa"/>
            </w:tcMar>
            <w:vAlign w:val="center"/>
          </w:tcPr>
          <w:p w14:paraId="06D28066">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编列内容</w:t>
            </w:r>
          </w:p>
        </w:tc>
      </w:tr>
      <w:tr w14:paraId="2B81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178" w:type="dxa"/>
            <w:gridSpan w:val="6"/>
            <w:shd w:val="clear" w:color="auto" w:fill="auto"/>
            <w:tcMar>
              <w:left w:w="57" w:type="dxa"/>
              <w:right w:w="57" w:type="dxa"/>
            </w:tcMar>
            <w:vAlign w:val="center"/>
          </w:tcPr>
          <w:p w14:paraId="1380F1E0">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3.2 综合评分和排序(综合评分法)</w:t>
            </w:r>
          </w:p>
        </w:tc>
      </w:tr>
      <w:tr w14:paraId="01A3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748" w:type="dxa"/>
            <w:gridSpan w:val="3"/>
            <w:shd w:val="clear" w:color="auto" w:fill="auto"/>
            <w:tcMar>
              <w:left w:w="57" w:type="dxa"/>
              <w:right w:w="57" w:type="dxa"/>
            </w:tcMar>
            <w:vAlign w:val="center"/>
          </w:tcPr>
          <w:p w14:paraId="210670D9">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3.2.1</w:t>
            </w:r>
          </w:p>
        </w:tc>
        <w:tc>
          <w:tcPr>
            <w:tcW w:w="2250" w:type="dxa"/>
            <w:shd w:val="clear" w:color="auto" w:fill="auto"/>
            <w:tcMar>
              <w:left w:w="57" w:type="dxa"/>
              <w:right w:w="57" w:type="dxa"/>
            </w:tcMar>
            <w:vAlign w:val="center"/>
          </w:tcPr>
          <w:p w14:paraId="2976FA7A">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分值构成</w:t>
            </w:r>
          </w:p>
          <w:p w14:paraId="20ECD10D">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(总分100分)</w:t>
            </w:r>
          </w:p>
        </w:tc>
        <w:tc>
          <w:tcPr>
            <w:tcW w:w="5180" w:type="dxa"/>
            <w:gridSpan w:val="2"/>
            <w:shd w:val="clear" w:color="auto" w:fill="auto"/>
            <w:tcMar>
              <w:left w:w="57" w:type="dxa"/>
              <w:right w:w="57" w:type="dxa"/>
            </w:tcMar>
            <w:vAlign w:val="center"/>
          </w:tcPr>
          <w:p w14:paraId="2A8D7CE0">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资质及商务部分： 15 分</w:t>
            </w:r>
          </w:p>
          <w:p w14:paraId="5DBBF8C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技术部分：25 分</w:t>
            </w:r>
          </w:p>
          <w:p w14:paraId="28114C3F">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报价： 60 分</w:t>
            </w:r>
          </w:p>
        </w:tc>
      </w:tr>
      <w:tr w14:paraId="1660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748" w:type="dxa"/>
            <w:gridSpan w:val="3"/>
            <w:shd w:val="clear" w:color="auto" w:fill="auto"/>
            <w:tcMar>
              <w:left w:w="57" w:type="dxa"/>
              <w:right w:w="57" w:type="dxa"/>
            </w:tcMar>
            <w:vAlign w:val="center"/>
          </w:tcPr>
          <w:p w14:paraId="2E28640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3.2.2(2)</w:t>
            </w:r>
          </w:p>
        </w:tc>
        <w:tc>
          <w:tcPr>
            <w:tcW w:w="2250" w:type="dxa"/>
            <w:shd w:val="clear" w:color="auto" w:fill="auto"/>
            <w:tcMar>
              <w:left w:w="57" w:type="dxa"/>
              <w:right w:w="57" w:type="dxa"/>
            </w:tcMar>
            <w:vAlign w:val="center"/>
          </w:tcPr>
          <w:p w14:paraId="4C7B806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评审基准价计算方法</w:t>
            </w:r>
          </w:p>
        </w:tc>
        <w:tc>
          <w:tcPr>
            <w:tcW w:w="5180" w:type="dxa"/>
            <w:gridSpan w:val="2"/>
            <w:shd w:val="clear" w:color="auto" w:fill="auto"/>
            <w:tcMar>
              <w:left w:w="57" w:type="dxa"/>
              <w:right w:w="57" w:type="dxa"/>
            </w:tcMar>
            <w:vAlign w:val="center"/>
          </w:tcPr>
          <w:p w14:paraId="368057F2">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按照以下方法计算评审基准价：</w:t>
            </w:r>
          </w:p>
          <w:p w14:paraId="426D36CF">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评审基准价的计算：以不含税价计算</w:t>
            </w:r>
          </w:p>
          <w:p w14:paraId="6ED7A2AF">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bookmarkStart w:id="143" w:name="_Hlk91582190"/>
            <w:r>
              <w:rPr>
                <w:rFonts w:hint="eastAsia" w:ascii="仿宋_GB2312" w:hAnsi="仿宋_GB2312" w:eastAsia="仿宋_GB2312" w:cs="仿宋_GB2312"/>
                <w:snapToGrid w:val="0"/>
                <w:color w:val="auto"/>
                <w:sz w:val="24"/>
                <w:szCs w:val="24"/>
                <w:lang w:eastAsia="zh-CN"/>
              </w:rPr>
              <w:sym w:font="Wingdings 2" w:char="00A3"/>
            </w:r>
            <w:r>
              <w:rPr>
                <w:rFonts w:hint="eastAsia" w:ascii="仿宋_GB2312" w:hAnsi="仿宋_GB2312" w:eastAsia="仿宋_GB2312" w:cs="仿宋_GB2312"/>
                <w:snapToGrid w:val="0"/>
                <w:color w:val="auto"/>
                <w:sz w:val="24"/>
                <w:szCs w:val="24"/>
                <w:lang w:eastAsia="zh-CN"/>
              </w:rPr>
              <w:t>按有效报价的算术平均值为评审基准价：</w:t>
            </w:r>
          </w:p>
          <w:p w14:paraId="65ED7400">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有效响应人家数为N，0＜N≤5时，所有有效报价的算术平均值为评审基准价；5＜N≤10时，所有有效报价去掉1个最高报价和1个最低报价后的算术平均值为评审基准价；10＜N≤20时，所有有效报价去掉2个最高报价和2个最低报价后的算术平均值为评标基准价；N＞20时，所有有效报价去掉3个最高报价和3个最低报价后的算术平均值为评标基准价。</w:t>
            </w:r>
          </w:p>
          <w:p w14:paraId="29BA8D1B">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☑按最低有效报价作为评审基准价。</w:t>
            </w:r>
          </w:p>
          <w:p w14:paraId="532B1D1A">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无效报价、响应被否决的供应商，其报价不参与评审基准价的计算。</w:t>
            </w:r>
            <w:bookmarkEnd w:id="143"/>
          </w:p>
        </w:tc>
      </w:tr>
      <w:tr w14:paraId="4552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748" w:type="dxa"/>
            <w:gridSpan w:val="3"/>
            <w:shd w:val="clear" w:color="auto" w:fill="auto"/>
            <w:tcMar>
              <w:left w:w="57" w:type="dxa"/>
              <w:right w:w="57" w:type="dxa"/>
            </w:tcMar>
            <w:vAlign w:val="center"/>
          </w:tcPr>
          <w:p w14:paraId="6867176A">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条款号及名称</w:t>
            </w:r>
          </w:p>
        </w:tc>
        <w:tc>
          <w:tcPr>
            <w:tcW w:w="2250" w:type="dxa"/>
            <w:shd w:val="clear" w:color="auto" w:fill="auto"/>
            <w:tcMar>
              <w:left w:w="57" w:type="dxa"/>
              <w:right w:w="57" w:type="dxa"/>
            </w:tcMar>
            <w:vAlign w:val="center"/>
          </w:tcPr>
          <w:p w14:paraId="7E834EB7">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评分因素</w:t>
            </w:r>
          </w:p>
        </w:tc>
        <w:tc>
          <w:tcPr>
            <w:tcW w:w="5180" w:type="dxa"/>
            <w:gridSpan w:val="2"/>
            <w:shd w:val="clear" w:color="auto" w:fill="auto"/>
            <w:tcMar>
              <w:left w:w="57" w:type="dxa"/>
              <w:right w:w="57" w:type="dxa"/>
            </w:tcMar>
            <w:vAlign w:val="center"/>
          </w:tcPr>
          <w:p w14:paraId="53A870A2">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评分标准</w:t>
            </w:r>
          </w:p>
        </w:tc>
      </w:tr>
      <w:tr w14:paraId="7AA5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13" w:type="dxa"/>
            <w:vMerge w:val="restart"/>
            <w:shd w:val="clear" w:color="auto" w:fill="auto"/>
            <w:tcMar>
              <w:left w:w="57" w:type="dxa"/>
              <w:right w:w="57" w:type="dxa"/>
            </w:tcMar>
            <w:vAlign w:val="center"/>
          </w:tcPr>
          <w:p w14:paraId="3F9079E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3.2.3</w:t>
            </w:r>
          </w:p>
          <w:p w14:paraId="1F92A8DF">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(1)</w:t>
            </w:r>
          </w:p>
        </w:tc>
        <w:tc>
          <w:tcPr>
            <w:tcW w:w="1035" w:type="dxa"/>
            <w:gridSpan w:val="2"/>
            <w:vMerge w:val="restart"/>
            <w:shd w:val="clear" w:color="auto" w:fill="auto"/>
            <w:vAlign w:val="center"/>
          </w:tcPr>
          <w:p w14:paraId="5731D46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资质及商务评分标准</w:t>
            </w:r>
          </w:p>
        </w:tc>
        <w:tc>
          <w:tcPr>
            <w:tcW w:w="2250" w:type="dxa"/>
            <w:vMerge w:val="restart"/>
            <w:shd w:val="clear" w:color="auto" w:fill="auto"/>
            <w:tcMar>
              <w:left w:w="57" w:type="dxa"/>
              <w:right w:w="57" w:type="dxa"/>
            </w:tcMar>
            <w:vAlign w:val="center"/>
          </w:tcPr>
          <w:p w14:paraId="6F4C151B">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供应商近5年</w:t>
            </w:r>
            <w:r>
              <w:rPr>
                <w:rFonts w:hint="eastAsia" w:ascii="仿宋_GB2312" w:hAnsi="仿宋_GB2312" w:eastAsia="仿宋_GB2312" w:cs="仿宋_GB2312"/>
                <w:snapToGrid w:val="0"/>
                <w:color w:val="auto"/>
                <w:sz w:val="24"/>
                <w:szCs w:val="24"/>
                <w:u w:val="single"/>
                <w:lang w:eastAsia="zh-CN"/>
              </w:rPr>
              <w:t xml:space="preserve">（ 2019   年  </w:t>
            </w:r>
            <w:r>
              <w:rPr>
                <w:rFonts w:hint="eastAsia" w:ascii="仿宋_GB2312" w:hAnsi="仿宋_GB2312" w:eastAsia="仿宋_GB2312" w:cs="仿宋_GB2312"/>
                <w:snapToGrid w:val="0"/>
                <w:color w:val="auto"/>
                <w:sz w:val="24"/>
                <w:szCs w:val="24"/>
                <w:u w:val="single"/>
                <w:lang w:val="en-US" w:eastAsia="zh-CN"/>
              </w:rPr>
              <w:t>6</w:t>
            </w:r>
            <w:r>
              <w:rPr>
                <w:rFonts w:hint="eastAsia" w:ascii="仿宋_GB2312" w:hAnsi="仿宋_GB2312" w:eastAsia="仿宋_GB2312" w:cs="仿宋_GB2312"/>
                <w:snapToGrid w:val="0"/>
                <w:color w:val="auto"/>
                <w:sz w:val="24"/>
                <w:szCs w:val="24"/>
                <w:u w:val="single"/>
                <w:lang w:eastAsia="zh-CN"/>
              </w:rPr>
              <w:t>月  1 日</w:t>
            </w:r>
            <w:r>
              <w:rPr>
                <w:rFonts w:hint="eastAsia" w:ascii="仿宋_GB2312" w:hAnsi="仿宋_GB2312" w:eastAsia="仿宋_GB2312" w:cs="仿宋_GB2312"/>
                <w:snapToGrid w:val="0"/>
                <w:color w:val="auto"/>
                <w:sz w:val="24"/>
                <w:szCs w:val="24"/>
                <w:lang w:eastAsia="zh-CN"/>
              </w:rPr>
              <w:t>至今，以合同签订时间为准）    类似业绩和获奖荣誉（7分）</w:t>
            </w:r>
          </w:p>
        </w:tc>
        <w:tc>
          <w:tcPr>
            <w:tcW w:w="903" w:type="dxa"/>
            <w:shd w:val="clear" w:color="auto" w:fill="auto"/>
            <w:tcMar>
              <w:left w:w="57" w:type="dxa"/>
              <w:right w:w="57" w:type="dxa"/>
            </w:tcMar>
            <w:vAlign w:val="center"/>
          </w:tcPr>
          <w:p w14:paraId="7A86EFE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center"/>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5</w:t>
            </w:r>
          </w:p>
        </w:tc>
        <w:tc>
          <w:tcPr>
            <w:tcW w:w="4277" w:type="dxa"/>
            <w:shd w:val="clear" w:color="auto" w:fill="auto"/>
            <w:vAlign w:val="center"/>
          </w:tcPr>
          <w:p w14:paraId="42F6BA89">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 xml:space="preserve">近5年内具有同类型产品供货业绩（类似业绩的标准： </w:t>
            </w:r>
            <w:r>
              <w:rPr>
                <w:rFonts w:hint="eastAsia" w:ascii="仿宋_GB2312" w:hAnsi="仿宋_GB2312" w:eastAsia="仿宋_GB2312" w:cs="仿宋_GB2312"/>
                <w:snapToGrid w:val="0"/>
                <w:color w:val="FF0000"/>
                <w:sz w:val="24"/>
                <w:szCs w:val="24"/>
                <w:u w:val="single"/>
                <w:lang w:eastAsia="zh-CN"/>
              </w:rPr>
              <w:t xml:space="preserve"> 指锅炉设备供货修理或改造安装）</w:t>
            </w:r>
            <w:r>
              <w:rPr>
                <w:rFonts w:hint="eastAsia" w:ascii="仿宋_GB2312" w:hAnsi="仿宋_GB2312" w:eastAsia="仿宋_GB2312" w:cs="仿宋_GB2312"/>
                <w:snapToGrid w:val="0"/>
                <w:color w:val="FF0000"/>
                <w:sz w:val="24"/>
                <w:szCs w:val="24"/>
                <w:lang w:eastAsia="zh-CN"/>
              </w:rPr>
              <w:t>，</w:t>
            </w:r>
            <w:r>
              <w:rPr>
                <w:rFonts w:hint="eastAsia" w:ascii="仿宋_GB2312" w:hAnsi="仿宋_GB2312" w:eastAsia="仿宋_GB2312" w:cs="仿宋_GB2312"/>
                <w:snapToGrid w:val="0"/>
                <w:color w:val="auto"/>
                <w:sz w:val="24"/>
                <w:szCs w:val="24"/>
                <w:lang w:eastAsia="zh-CN"/>
              </w:rPr>
              <w:t>有1项加1分，最多加至5分</w:t>
            </w:r>
          </w:p>
        </w:tc>
      </w:tr>
      <w:tr w14:paraId="3BEA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713" w:type="dxa"/>
            <w:vMerge w:val="continue"/>
            <w:shd w:val="clear" w:color="auto" w:fill="auto"/>
            <w:tcMar>
              <w:left w:w="57" w:type="dxa"/>
              <w:right w:w="57" w:type="dxa"/>
            </w:tcMar>
            <w:vAlign w:val="center"/>
          </w:tcPr>
          <w:p w14:paraId="42CBCD28">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35" w:type="dxa"/>
            <w:gridSpan w:val="2"/>
            <w:vMerge w:val="continue"/>
            <w:shd w:val="clear" w:color="auto" w:fill="auto"/>
            <w:vAlign w:val="center"/>
          </w:tcPr>
          <w:p w14:paraId="03D5B5C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vMerge w:val="continue"/>
            <w:shd w:val="clear" w:color="auto" w:fill="auto"/>
            <w:tcMar>
              <w:left w:w="57" w:type="dxa"/>
              <w:right w:w="57" w:type="dxa"/>
            </w:tcMar>
            <w:vAlign w:val="center"/>
          </w:tcPr>
          <w:p w14:paraId="0D37D1A8">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903" w:type="dxa"/>
            <w:shd w:val="clear" w:color="auto" w:fill="auto"/>
            <w:tcMar>
              <w:left w:w="57" w:type="dxa"/>
              <w:right w:w="57" w:type="dxa"/>
            </w:tcMar>
            <w:vAlign w:val="center"/>
          </w:tcPr>
          <w:p w14:paraId="61602D39">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center"/>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2</w:t>
            </w:r>
          </w:p>
        </w:tc>
        <w:tc>
          <w:tcPr>
            <w:tcW w:w="4277" w:type="dxa"/>
            <w:shd w:val="clear" w:color="auto" w:fill="auto"/>
            <w:vAlign w:val="center"/>
          </w:tcPr>
          <w:p w14:paraId="74C69557">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企业荣誉：近5年内获得（省级（含）以上政府或行业颁发    ）荣誉，有1项加1分，最多加至2分；</w:t>
            </w:r>
          </w:p>
        </w:tc>
      </w:tr>
      <w:tr w14:paraId="1235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713" w:type="dxa"/>
            <w:vMerge w:val="continue"/>
            <w:shd w:val="clear" w:color="auto" w:fill="auto"/>
            <w:tcMar>
              <w:left w:w="57" w:type="dxa"/>
              <w:right w:w="57" w:type="dxa"/>
            </w:tcMar>
            <w:vAlign w:val="center"/>
          </w:tcPr>
          <w:p w14:paraId="3C99D23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35" w:type="dxa"/>
            <w:gridSpan w:val="2"/>
            <w:vMerge w:val="continue"/>
            <w:shd w:val="clear" w:color="auto" w:fill="auto"/>
            <w:vAlign w:val="center"/>
          </w:tcPr>
          <w:p w14:paraId="27304E5D">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vMerge w:val="restart"/>
            <w:shd w:val="clear" w:color="auto" w:fill="auto"/>
            <w:tcMar>
              <w:left w:w="57" w:type="dxa"/>
              <w:right w:w="57" w:type="dxa"/>
            </w:tcMar>
            <w:vAlign w:val="center"/>
          </w:tcPr>
          <w:p w14:paraId="4F7E084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资信和交货期（8分）</w:t>
            </w:r>
          </w:p>
        </w:tc>
        <w:tc>
          <w:tcPr>
            <w:tcW w:w="903" w:type="dxa"/>
            <w:shd w:val="clear" w:color="auto" w:fill="auto"/>
            <w:tcMar>
              <w:left w:w="57" w:type="dxa"/>
              <w:right w:w="57" w:type="dxa"/>
            </w:tcMar>
            <w:vAlign w:val="center"/>
          </w:tcPr>
          <w:p w14:paraId="47E9523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center"/>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3</w:t>
            </w:r>
          </w:p>
        </w:tc>
        <w:tc>
          <w:tcPr>
            <w:tcW w:w="4277" w:type="dxa"/>
            <w:shd w:val="clear" w:color="auto" w:fill="auto"/>
            <w:vAlign w:val="center"/>
          </w:tcPr>
          <w:p w14:paraId="6412829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有完整合理的供货、安装、配套设施施工、调试和验收等整个项目的进度计划得2分，在招标文件要求的基础上，每提前5天交货的，加0.5分，最高加分不超过1分。</w:t>
            </w:r>
          </w:p>
        </w:tc>
      </w:tr>
      <w:tr w14:paraId="55B1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3" w:type="dxa"/>
            <w:vMerge w:val="continue"/>
            <w:shd w:val="clear" w:color="auto" w:fill="auto"/>
            <w:tcMar>
              <w:left w:w="57" w:type="dxa"/>
              <w:right w:w="57" w:type="dxa"/>
            </w:tcMar>
            <w:vAlign w:val="center"/>
          </w:tcPr>
          <w:p w14:paraId="4B3697BA">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35" w:type="dxa"/>
            <w:gridSpan w:val="2"/>
            <w:vMerge w:val="continue"/>
            <w:shd w:val="clear" w:color="auto" w:fill="auto"/>
            <w:vAlign w:val="center"/>
          </w:tcPr>
          <w:p w14:paraId="37907E1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vMerge w:val="continue"/>
            <w:shd w:val="clear" w:color="auto" w:fill="auto"/>
            <w:tcMar>
              <w:left w:w="57" w:type="dxa"/>
              <w:right w:w="57" w:type="dxa"/>
            </w:tcMar>
            <w:vAlign w:val="center"/>
          </w:tcPr>
          <w:p w14:paraId="278EEA4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903" w:type="dxa"/>
            <w:shd w:val="clear" w:color="auto" w:fill="auto"/>
            <w:tcMar>
              <w:left w:w="57" w:type="dxa"/>
              <w:right w:w="57" w:type="dxa"/>
            </w:tcMar>
            <w:vAlign w:val="center"/>
          </w:tcPr>
          <w:p w14:paraId="47844430">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center"/>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2</w:t>
            </w:r>
          </w:p>
        </w:tc>
        <w:tc>
          <w:tcPr>
            <w:tcW w:w="4277" w:type="dxa"/>
            <w:shd w:val="clear" w:color="auto" w:fill="auto"/>
            <w:vAlign w:val="center"/>
          </w:tcPr>
          <w:p w14:paraId="3542221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资信证明（满分2分）</w:t>
            </w:r>
          </w:p>
          <w:p w14:paraId="1FE4AD50">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（1）投标人出具的资信证明，评价为良好及以上或无不良记录的加0.5分；</w:t>
            </w:r>
          </w:p>
          <w:p w14:paraId="6269FCCC">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（2）投标人每提供1份用户出具的项目效果评价合格证明材料的加0.25分，最多加0.5分；</w:t>
            </w:r>
          </w:p>
          <w:p w14:paraId="42A4A580">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（3）通过ISO或国际同等系列质量管理体系认证的，加0.5分；</w:t>
            </w:r>
          </w:p>
          <w:p w14:paraId="562A641A">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（4）通过ISO环境管理体系、职业健康安全管理体系认证的，每一项加0.25分，最多加0.5分。</w:t>
            </w:r>
          </w:p>
        </w:tc>
      </w:tr>
      <w:tr w14:paraId="70C7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3" w:type="dxa"/>
            <w:vMerge w:val="continue"/>
            <w:shd w:val="clear" w:color="auto" w:fill="auto"/>
            <w:tcMar>
              <w:left w:w="57" w:type="dxa"/>
              <w:right w:w="57" w:type="dxa"/>
            </w:tcMar>
            <w:vAlign w:val="center"/>
          </w:tcPr>
          <w:p w14:paraId="1C3AA880">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35" w:type="dxa"/>
            <w:gridSpan w:val="2"/>
            <w:vMerge w:val="continue"/>
            <w:shd w:val="clear" w:color="auto" w:fill="auto"/>
            <w:vAlign w:val="center"/>
          </w:tcPr>
          <w:p w14:paraId="62C45DEE">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vMerge w:val="continue"/>
            <w:shd w:val="clear" w:color="auto" w:fill="auto"/>
            <w:tcMar>
              <w:left w:w="57" w:type="dxa"/>
              <w:right w:w="57" w:type="dxa"/>
            </w:tcMar>
            <w:vAlign w:val="center"/>
          </w:tcPr>
          <w:p w14:paraId="47D41D99">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903" w:type="dxa"/>
            <w:shd w:val="clear" w:color="auto" w:fill="auto"/>
            <w:tcMar>
              <w:left w:w="57" w:type="dxa"/>
              <w:right w:w="57" w:type="dxa"/>
            </w:tcMar>
            <w:vAlign w:val="center"/>
          </w:tcPr>
          <w:p w14:paraId="5CD5B42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center"/>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3</w:t>
            </w:r>
          </w:p>
        </w:tc>
        <w:tc>
          <w:tcPr>
            <w:tcW w:w="4277" w:type="dxa"/>
            <w:shd w:val="clear" w:color="auto" w:fill="auto"/>
            <w:vAlign w:val="center"/>
          </w:tcPr>
          <w:p w14:paraId="37CE9F67">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售后服务方案  （满分3分）</w:t>
            </w:r>
          </w:p>
          <w:p w14:paraId="42667226">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一档（2.1-3分），二档（1.1-2分），三档（0-1分），由评委在打分前根据投标人售后服方案的优劣，集体讨论确定投标人售后服务方案的档次，并由评委在相应的档次内独立打分。</w:t>
            </w:r>
          </w:p>
        </w:tc>
      </w:tr>
      <w:tr w14:paraId="692A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9178" w:type="dxa"/>
            <w:gridSpan w:val="6"/>
            <w:shd w:val="clear" w:color="auto" w:fill="auto"/>
            <w:tcMar>
              <w:left w:w="57" w:type="dxa"/>
              <w:right w:w="57" w:type="dxa"/>
            </w:tcMar>
            <w:vAlign w:val="center"/>
          </w:tcPr>
          <w:p w14:paraId="457CC427">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r>
      <w:tr w14:paraId="7432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13" w:type="dxa"/>
            <w:vMerge w:val="restart"/>
            <w:shd w:val="clear" w:color="auto" w:fill="auto"/>
            <w:tcMar>
              <w:left w:w="57" w:type="dxa"/>
              <w:right w:w="57" w:type="dxa"/>
            </w:tcMar>
            <w:vAlign w:val="center"/>
          </w:tcPr>
          <w:p w14:paraId="0843849C">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3.2.3</w:t>
            </w:r>
          </w:p>
          <w:p w14:paraId="31F69C0B">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(2)</w:t>
            </w:r>
          </w:p>
        </w:tc>
        <w:tc>
          <w:tcPr>
            <w:tcW w:w="1035" w:type="dxa"/>
            <w:gridSpan w:val="2"/>
            <w:vMerge w:val="restart"/>
            <w:shd w:val="clear" w:color="auto" w:fill="auto"/>
            <w:vAlign w:val="center"/>
          </w:tcPr>
          <w:p w14:paraId="03A153BB">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技术评分标准</w:t>
            </w:r>
          </w:p>
        </w:tc>
        <w:tc>
          <w:tcPr>
            <w:tcW w:w="2250" w:type="dxa"/>
            <w:shd w:val="clear" w:color="auto" w:fill="auto"/>
            <w:tcMar>
              <w:left w:w="57" w:type="dxa"/>
              <w:right w:w="57" w:type="dxa"/>
            </w:tcMar>
            <w:vAlign w:val="center"/>
          </w:tcPr>
          <w:p w14:paraId="26C2E9AC">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技术参数评价（15分）</w:t>
            </w:r>
          </w:p>
        </w:tc>
        <w:tc>
          <w:tcPr>
            <w:tcW w:w="903" w:type="dxa"/>
            <w:shd w:val="clear" w:color="auto" w:fill="auto"/>
            <w:tcMar>
              <w:left w:w="57" w:type="dxa"/>
              <w:right w:w="57" w:type="dxa"/>
            </w:tcMar>
            <w:vAlign w:val="center"/>
          </w:tcPr>
          <w:p w14:paraId="74DEE4EF">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center"/>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15</w:t>
            </w:r>
          </w:p>
        </w:tc>
        <w:tc>
          <w:tcPr>
            <w:tcW w:w="4277" w:type="dxa"/>
            <w:shd w:val="clear" w:color="auto" w:fill="auto"/>
            <w:vAlign w:val="center"/>
          </w:tcPr>
          <w:p w14:paraId="5D1A28E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满足设备总体技术参数要求，技术偏离表负偏离个数＜3</w:t>
            </w:r>
          </w:p>
          <w:p w14:paraId="3B1B01E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有详细技术优势说明，技术具有独特性。评委根据投标文件独立评分，一档：技术优势说明详细，技术具有独特性10.1-15分，二挡：技术优势说明不够详细，技术具有一定的独特性5.1-10分；三挡：技术优势说明不详细或无说明，技术无独特性0-5分</w:t>
            </w:r>
          </w:p>
        </w:tc>
      </w:tr>
      <w:tr w14:paraId="73A5E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13" w:type="dxa"/>
            <w:vMerge w:val="continue"/>
            <w:shd w:val="clear" w:color="auto" w:fill="auto"/>
            <w:tcMar>
              <w:left w:w="57" w:type="dxa"/>
              <w:right w:w="57" w:type="dxa"/>
            </w:tcMar>
            <w:vAlign w:val="center"/>
          </w:tcPr>
          <w:p w14:paraId="0803964A">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1035" w:type="dxa"/>
            <w:gridSpan w:val="2"/>
            <w:vMerge w:val="continue"/>
            <w:shd w:val="clear" w:color="auto" w:fill="auto"/>
            <w:vAlign w:val="center"/>
          </w:tcPr>
          <w:p w14:paraId="395F019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tc>
        <w:tc>
          <w:tcPr>
            <w:tcW w:w="2250" w:type="dxa"/>
            <w:shd w:val="clear" w:color="auto" w:fill="auto"/>
            <w:tcMar>
              <w:left w:w="57" w:type="dxa"/>
              <w:right w:w="57" w:type="dxa"/>
            </w:tcMar>
            <w:vAlign w:val="center"/>
          </w:tcPr>
          <w:p w14:paraId="307EE30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技术方案评价（10分）</w:t>
            </w:r>
          </w:p>
        </w:tc>
        <w:tc>
          <w:tcPr>
            <w:tcW w:w="903" w:type="dxa"/>
            <w:shd w:val="clear" w:color="auto" w:fill="auto"/>
            <w:tcMar>
              <w:left w:w="57" w:type="dxa"/>
              <w:right w:w="57" w:type="dxa"/>
            </w:tcMar>
            <w:vAlign w:val="center"/>
          </w:tcPr>
          <w:p w14:paraId="7CCA9F2F">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center"/>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10</w:t>
            </w:r>
          </w:p>
        </w:tc>
        <w:tc>
          <w:tcPr>
            <w:tcW w:w="4277" w:type="dxa"/>
            <w:shd w:val="clear" w:color="auto" w:fill="auto"/>
            <w:vAlign w:val="center"/>
          </w:tcPr>
          <w:p w14:paraId="4308E39E">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有详细完整的设备布置设计方案、安全防护方案，评委独立评分，一档：有详细完整的设备布置施工方案、安全防护方案，且与现场契合度较高6.1-10分，二挡：有方案但不够详细、完整2.1-6分，三挡：方案与现场实际不符0-2分</w:t>
            </w:r>
          </w:p>
        </w:tc>
      </w:tr>
      <w:tr w14:paraId="2E1B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713" w:type="dxa"/>
            <w:shd w:val="clear" w:color="auto" w:fill="auto"/>
            <w:tcMar>
              <w:left w:w="57" w:type="dxa"/>
              <w:right w:w="57" w:type="dxa"/>
            </w:tcMar>
            <w:vAlign w:val="center"/>
          </w:tcPr>
          <w:p w14:paraId="1949224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3.2.3</w:t>
            </w:r>
          </w:p>
          <w:p w14:paraId="5672DE05">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(3)</w:t>
            </w:r>
          </w:p>
        </w:tc>
        <w:tc>
          <w:tcPr>
            <w:tcW w:w="1035" w:type="dxa"/>
            <w:gridSpan w:val="2"/>
            <w:shd w:val="clear" w:color="auto" w:fill="auto"/>
            <w:vAlign w:val="center"/>
          </w:tcPr>
          <w:p w14:paraId="62737DC3">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报价评分标准</w:t>
            </w:r>
          </w:p>
        </w:tc>
        <w:tc>
          <w:tcPr>
            <w:tcW w:w="7430" w:type="dxa"/>
            <w:gridSpan w:val="3"/>
            <w:shd w:val="clear" w:color="auto" w:fill="auto"/>
            <w:tcMar>
              <w:left w:w="57" w:type="dxa"/>
              <w:right w:w="57" w:type="dxa"/>
            </w:tcMar>
            <w:vAlign w:val="center"/>
          </w:tcPr>
          <w:p w14:paraId="22562D0D">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p>
          <w:p w14:paraId="7DDCB948">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☑以最低有效报价为基准值，基准值为满分60分，有效报价每高于基准价1%的减1分，扣减至45分为止。</w:t>
            </w:r>
          </w:p>
          <w:p w14:paraId="25AB7316">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中间值线性插入，小数点后保留2位，四舍五入。</w:t>
            </w:r>
          </w:p>
        </w:tc>
      </w:tr>
      <w:tr w14:paraId="07A6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3" w:type="dxa"/>
            <w:shd w:val="clear" w:color="auto" w:fill="auto"/>
            <w:tcMar>
              <w:left w:w="57" w:type="dxa"/>
              <w:right w:w="57" w:type="dxa"/>
            </w:tcMar>
            <w:vAlign w:val="center"/>
          </w:tcPr>
          <w:p w14:paraId="58DD86B6">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3.2.3</w:t>
            </w:r>
          </w:p>
          <w:p w14:paraId="4DEBAD78">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(4)</w:t>
            </w:r>
          </w:p>
        </w:tc>
        <w:tc>
          <w:tcPr>
            <w:tcW w:w="1035" w:type="dxa"/>
            <w:gridSpan w:val="2"/>
            <w:shd w:val="clear" w:color="auto" w:fill="auto"/>
            <w:vAlign w:val="center"/>
          </w:tcPr>
          <w:p w14:paraId="3276482C">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其他因素评分标准</w:t>
            </w:r>
          </w:p>
        </w:tc>
        <w:tc>
          <w:tcPr>
            <w:tcW w:w="2250" w:type="dxa"/>
            <w:shd w:val="clear" w:color="auto" w:fill="auto"/>
            <w:tcMar>
              <w:left w:w="57" w:type="dxa"/>
              <w:right w:w="57" w:type="dxa"/>
            </w:tcMar>
            <w:vAlign w:val="center"/>
          </w:tcPr>
          <w:p w14:paraId="6813C02A">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w:t>
            </w:r>
          </w:p>
        </w:tc>
        <w:tc>
          <w:tcPr>
            <w:tcW w:w="5180" w:type="dxa"/>
            <w:gridSpan w:val="2"/>
            <w:shd w:val="clear" w:color="auto" w:fill="auto"/>
            <w:tcMar>
              <w:left w:w="57" w:type="dxa"/>
              <w:right w:w="57" w:type="dxa"/>
            </w:tcMar>
            <w:vAlign w:val="center"/>
          </w:tcPr>
          <w:p w14:paraId="498B5A1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w:t>
            </w:r>
          </w:p>
        </w:tc>
      </w:tr>
      <w:tr w14:paraId="08B8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48" w:type="dxa"/>
            <w:gridSpan w:val="3"/>
            <w:shd w:val="clear" w:color="auto" w:fill="auto"/>
            <w:tcMar>
              <w:left w:w="57" w:type="dxa"/>
              <w:right w:w="57" w:type="dxa"/>
            </w:tcMar>
            <w:vAlign w:val="center"/>
          </w:tcPr>
          <w:p w14:paraId="5B6A7CE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条款号</w:t>
            </w:r>
          </w:p>
        </w:tc>
        <w:tc>
          <w:tcPr>
            <w:tcW w:w="2250" w:type="dxa"/>
            <w:shd w:val="clear" w:color="auto" w:fill="auto"/>
            <w:tcMar>
              <w:left w:w="57" w:type="dxa"/>
              <w:right w:w="57" w:type="dxa"/>
            </w:tcMar>
            <w:vAlign w:val="center"/>
          </w:tcPr>
          <w:p w14:paraId="1E4A9CDE">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条款内容</w:t>
            </w:r>
          </w:p>
        </w:tc>
        <w:tc>
          <w:tcPr>
            <w:tcW w:w="5180" w:type="dxa"/>
            <w:gridSpan w:val="2"/>
            <w:shd w:val="clear" w:color="auto" w:fill="auto"/>
            <w:tcMar>
              <w:left w:w="57" w:type="dxa"/>
              <w:right w:w="57" w:type="dxa"/>
            </w:tcMar>
            <w:vAlign w:val="center"/>
          </w:tcPr>
          <w:p w14:paraId="100D0FD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编列内容</w:t>
            </w:r>
          </w:p>
        </w:tc>
      </w:tr>
      <w:tr w14:paraId="6730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748" w:type="dxa"/>
            <w:gridSpan w:val="3"/>
            <w:shd w:val="clear" w:color="auto" w:fill="auto"/>
            <w:tcMar>
              <w:left w:w="57" w:type="dxa"/>
              <w:right w:w="57" w:type="dxa"/>
            </w:tcMar>
            <w:vAlign w:val="center"/>
          </w:tcPr>
          <w:p w14:paraId="600A53E4">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3.2.6</w:t>
            </w:r>
          </w:p>
        </w:tc>
        <w:tc>
          <w:tcPr>
            <w:tcW w:w="2250" w:type="dxa"/>
            <w:shd w:val="clear" w:color="auto" w:fill="auto"/>
            <w:tcMar>
              <w:left w:w="57" w:type="dxa"/>
              <w:right w:w="57" w:type="dxa"/>
            </w:tcMar>
            <w:vAlign w:val="center"/>
          </w:tcPr>
          <w:p w14:paraId="2BB0B627">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供应商并列时确定供应商优先顺序的规则</w:t>
            </w:r>
          </w:p>
        </w:tc>
        <w:tc>
          <w:tcPr>
            <w:tcW w:w="5180" w:type="dxa"/>
            <w:gridSpan w:val="2"/>
            <w:shd w:val="clear" w:color="auto" w:fill="auto"/>
            <w:tcMar>
              <w:left w:w="57" w:type="dxa"/>
              <w:right w:w="57" w:type="dxa"/>
            </w:tcMar>
            <w:vAlign w:val="center"/>
          </w:tcPr>
          <w:p w14:paraId="2AF411C1">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eastAsia" w:ascii="仿宋_GB2312" w:hAnsi="仿宋_GB2312" w:eastAsia="仿宋_GB2312" w:cs="仿宋_GB2312"/>
                <w:snapToGrid w:val="0"/>
                <w:color w:val="auto"/>
                <w:sz w:val="24"/>
                <w:szCs w:val="24"/>
                <w:lang w:eastAsia="zh-CN"/>
              </w:rPr>
            </w:pPr>
            <w:r>
              <w:rPr>
                <w:rFonts w:hint="eastAsia" w:ascii="仿宋_GB2312" w:hAnsi="仿宋_GB2312" w:eastAsia="仿宋_GB2312" w:cs="仿宋_GB2312"/>
                <w:snapToGrid w:val="0"/>
                <w:color w:val="auto"/>
                <w:sz w:val="24"/>
                <w:szCs w:val="24"/>
                <w:lang w:eastAsia="zh-CN"/>
              </w:rPr>
              <w:t>由采购小组投票决定</w:t>
            </w:r>
          </w:p>
        </w:tc>
      </w:tr>
    </w:tbl>
    <w:p w14:paraId="3FA90520">
      <w:pPr>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jc w:val="both"/>
        <w:textAlignment w:val="auto"/>
        <w:rPr>
          <w:rFonts w:hint="default" w:ascii="Times New Roman" w:hAnsi="Times New Roman" w:eastAsia="仿宋_GB2312" w:cs="Times New Roman"/>
          <w:snapToGrid w:val="0"/>
          <w:color w:val="auto"/>
          <w:sz w:val="24"/>
          <w:szCs w:val="24"/>
          <w:lang w:eastAsia="zh-CN"/>
        </w:rPr>
      </w:pPr>
      <w:bookmarkStart w:id="144" w:name="扫描0039"/>
      <w:bookmarkEnd w:id="144"/>
    </w:p>
    <w:p w14:paraId="26E2411B">
      <w:pPr>
        <w:pageBreakBefore w:val="0"/>
        <w:kinsoku/>
        <w:overflowPunct/>
        <w:topLinePunct w:val="0"/>
        <w:bidi w:val="0"/>
        <w:spacing w:line="560" w:lineRule="exact"/>
        <w:ind w:left="0" w:leftChars="0" w:right="0" w:firstLine="640" w:firstLineChars="200"/>
        <w:rPr>
          <w:rFonts w:hint="eastAsia" w:ascii="仿宋_GB2312" w:hAnsi="仿宋_GB2312" w:eastAsia="仿宋_GB2312" w:cs="仿宋_GB2312"/>
          <w:b w:val="0"/>
          <w:bCs/>
          <w:color w:val="FF0000"/>
          <w:sz w:val="32"/>
          <w:szCs w:val="32"/>
          <w:highlight w:val="none"/>
          <w:u w:val="single"/>
          <w:lang w:eastAsia="zh-CN"/>
        </w:rPr>
      </w:pPr>
      <w:bookmarkStart w:id="145" w:name="_bookmark10"/>
      <w:bookmarkEnd w:id="145"/>
      <w:r>
        <w:rPr>
          <w:rFonts w:hint="eastAsia" w:ascii="仿宋_GB2312" w:hAnsi="仿宋_GB2312" w:eastAsia="仿宋_GB2312" w:cs="仿宋_GB2312"/>
          <w:b w:val="0"/>
          <w:bCs/>
          <w:color w:val="auto"/>
          <w:sz w:val="32"/>
          <w:szCs w:val="32"/>
          <w:highlight w:val="none"/>
          <w:lang w:eastAsia="zh-CN"/>
        </w:rPr>
        <w:t>注：1、同类业绩是指指</w:t>
      </w:r>
      <w:r>
        <w:rPr>
          <w:rFonts w:hint="eastAsia" w:ascii="仿宋_GB2312" w:hAnsi="仿宋_GB2312" w:eastAsia="仿宋_GB2312" w:cs="仿宋_GB2312"/>
          <w:b w:val="0"/>
          <w:bCs/>
          <w:color w:val="FF0000"/>
          <w:sz w:val="32"/>
          <w:szCs w:val="32"/>
          <w:highlight w:val="none"/>
          <w:u w:val="single"/>
          <w:lang w:eastAsia="zh-CN"/>
        </w:rPr>
        <w:t>锅炉设备供货修理或改造安装）  。</w:t>
      </w:r>
    </w:p>
    <w:p w14:paraId="5837E071">
      <w:pPr>
        <w:pageBreakBefore w:val="0"/>
        <w:kinsoku/>
        <w:overflowPunct/>
        <w:topLinePunct w:val="0"/>
        <w:bidi w:val="0"/>
        <w:spacing w:line="560" w:lineRule="exact"/>
        <w:ind w:left="0" w:leftChars="0" w:right="0" w:firstLine="1238" w:firstLineChars="387"/>
        <w:rPr>
          <w:rFonts w:hint="eastAsia" w:ascii="仿宋_GB2312" w:hAnsi="仿宋_GB2312" w:eastAsia="仿宋_GB2312" w:cs="仿宋_GB2312"/>
          <w:b w:val="0"/>
          <w:bCs/>
          <w:color w:val="auto"/>
          <w:sz w:val="32"/>
          <w:szCs w:val="32"/>
          <w:highlight w:val="none"/>
          <w:lang w:eastAsia="zh-CN"/>
        </w:rPr>
        <w:sectPr>
          <w:footerReference r:id="rId6" w:type="first"/>
          <w:footerReference r:id="rId5" w:type="default"/>
          <w:pgSz w:w="11911" w:h="16838"/>
          <w:pgMar w:top="2098" w:right="1587" w:bottom="1440" w:left="1587" w:header="720" w:footer="720" w:gutter="0"/>
          <w:pgNumType w:fmt="decimal"/>
          <w:cols w:space="0" w:num="1"/>
          <w:rtlGutter w:val="0"/>
          <w:docGrid w:linePitch="299" w:charSpace="0"/>
        </w:sectPr>
      </w:pPr>
      <w:r>
        <w:rPr>
          <w:rFonts w:hint="eastAsia" w:ascii="仿宋_GB2312" w:hAnsi="仿宋_GB2312" w:eastAsia="仿宋_GB2312" w:cs="仿宋_GB2312"/>
          <w:b w:val="0"/>
          <w:bCs/>
          <w:color w:val="auto"/>
          <w:sz w:val="32"/>
          <w:szCs w:val="32"/>
          <w:highlight w:val="none"/>
          <w:lang w:eastAsia="zh-CN"/>
        </w:rPr>
        <w:t>2、业绩需提供合同或中标通知书等有效证据。</w:t>
      </w:r>
    </w:p>
    <w:p w14:paraId="0106E440">
      <w:pPr>
        <w:pStyle w:val="3"/>
        <w:spacing w:before="0" w:line="560" w:lineRule="exact"/>
        <w:ind w:firstLine="643" w:firstLineChars="200"/>
        <w:jc w:val="both"/>
        <w:rPr>
          <w:rFonts w:ascii="Times New Roman" w:hAnsi="Times New Roman" w:eastAsia="仿宋_GB2312" w:cs="Times New Roman"/>
          <w:b/>
          <w:snapToGrid w:val="0"/>
          <w:color w:val="auto"/>
          <w:sz w:val="32"/>
          <w:szCs w:val="32"/>
        </w:rPr>
      </w:pPr>
      <w:bookmarkStart w:id="146" w:name="_Toc30893"/>
      <w:r>
        <w:rPr>
          <w:rFonts w:ascii="Times New Roman" w:hAnsi="Times New Roman" w:eastAsia="仿宋_GB2312" w:cs="Times New Roman"/>
          <w:b/>
          <w:snapToGrid w:val="0"/>
          <w:color w:val="auto"/>
          <w:sz w:val="32"/>
          <w:szCs w:val="32"/>
        </w:rPr>
        <w:t>1.评审方法（综合评分法）</w:t>
      </w:r>
      <w:bookmarkEnd w:id="146"/>
    </w:p>
    <w:p w14:paraId="0BAF91C9">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本次评审采用综合评分法。采购小组对满足采购文件实质性要求的响应文件，按照本章第3.2款规定的评分标准进行打分，并按得分由高到低的顺序推荐候选成交供应商。</w:t>
      </w:r>
      <w:bookmarkStart w:id="147" w:name="_bookmark11"/>
      <w:bookmarkEnd w:id="147"/>
    </w:p>
    <w:p w14:paraId="26982EB3">
      <w:pPr>
        <w:pStyle w:val="3"/>
        <w:spacing w:before="0" w:line="560" w:lineRule="exact"/>
        <w:ind w:firstLine="643" w:firstLineChars="200"/>
        <w:jc w:val="both"/>
        <w:rPr>
          <w:rFonts w:ascii="Times New Roman" w:hAnsi="Times New Roman" w:eastAsia="仿宋_GB2312" w:cs="Times New Roman"/>
          <w:b/>
          <w:snapToGrid w:val="0"/>
          <w:color w:val="auto"/>
          <w:sz w:val="32"/>
          <w:szCs w:val="32"/>
        </w:rPr>
      </w:pPr>
      <w:bookmarkStart w:id="148" w:name="_Toc32737"/>
      <w:r>
        <w:rPr>
          <w:rFonts w:ascii="Times New Roman" w:hAnsi="Times New Roman" w:eastAsia="仿宋_GB2312" w:cs="Times New Roman"/>
          <w:b/>
          <w:snapToGrid w:val="0"/>
          <w:color w:val="auto"/>
          <w:sz w:val="32"/>
          <w:szCs w:val="32"/>
        </w:rPr>
        <w:t>2.初步评审标准和程序</w:t>
      </w:r>
      <w:bookmarkEnd w:id="148"/>
    </w:p>
    <w:p w14:paraId="3CA8286B">
      <w:pPr>
        <w:pStyle w:val="3"/>
        <w:spacing w:before="0" w:line="560" w:lineRule="exact"/>
        <w:ind w:firstLine="643" w:firstLineChars="200"/>
        <w:jc w:val="both"/>
        <w:outlineLvl w:val="2"/>
        <w:rPr>
          <w:rFonts w:ascii="Times New Roman" w:hAnsi="Times New Roman" w:eastAsia="仿宋_GB2312" w:cs="Times New Roman"/>
          <w:snapToGrid w:val="0"/>
          <w:color w:val="auto"/>
          <w:sz w:val="32"/>
          <w:szCs w:val="32"/>
        </w:rPr>
      </w:pPr>
      <w:bookmarkStart w:id="149" w:name="_Toc4335"/>
      <w:r>
        <w:rPr>
          <w:rFonts w:ascii="Times New Roman" w:hAnsi="Times New Roman" w:eastAsia="仿宋_GB2312" w:cs="Times New Roman"/>
          <w:b/>
          <w:snapToGrid w:val="0"/>
          <w:color w:val="auto"/>
          <w:sz w:val="32"/>
          <w:szCs w:val="32"/>
        </w:rPr>
        <w:t>2.1 初步评审标准</w:t>
      </w:r>
      <w:bookmarkEnd w:id="149"/>
    </w:p>
    <w:p w14:paraId="5A9D2816">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2.1.1形式评审标准：见评审办法前附表。</w:t>
      </w:r>
    </w:p>
    <w:p w14:paraId="0D4CB14D">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2.1.2资格评审标准：见评审办法前附表。</w:t>
      </w:r>
    </w:p>
    <w:p w14:paraId="7F48459E">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2.1.3响应性评审标准：见评审办法前附表。</w:t>
      </w:r>
    </w:p>
    <w:p w14:paraId="69A1C810">
      <w:pPr>
        <w:pStyle w:val="3"/>
        <w:spacing w:before="0" w:line="560" w:lineRule="exact"/>
        <w:ind w:firstLine="643" w:firstLineChars="200"/>
        <w:jc w:val="both"/>
        <w:outlineLvl w:val="2"/>
        <w:rPr>
          <w:rFonts w:ascii="Times New Roman" w:hAnsi="Times New Roman" w:eastAsia="仿宋_GB2312" w:cs="Times New Roman"/>
          <w:snapToGrid w:val="0"/>
          <w:color w:val="auto"/>
          <w:sz w:val="32"/>
          <w:szCs w:val="32"/>
        </w:rPr>
      </w:pPr>
      <w:bookmarkStart w:id="150" w:name="_Toc5879"/>
      <w:r>
        <w:rPr>
          <w:rFonts w:ascii="Times New Roman" w:hAnsi="Times New Roman" w:eastAsia="仿宋_GB2312" w:cs="Times New Roman"/>
          <w:b/>
          <w:snapToGrid w:val="0"/>
          <w:color w:val="auto"/>
          <w:sz w:val="32"/>
          <w:szCs w:val="32"/>
        </w:rPr>
        <w:t>2.2 初步评审程序</w:t>
      </w:r>
      <w:bookmarkEnd w:id="150"/>
    </w:p>
    <w:p w14:paraId="1500551E">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2.2.1采购小组依据本章第2.1款规定的标准对供应商递交的响应文件进行初步评审，判断响应文件的形式是否符合要求、供应商是否符合资格条件、响应文件是否实质性响应采购文件的要求。只有以上评审合格的响应文件才可通过初步评审。</w:t>
      </w:r>
    </w:p>
    <w:p w14:paraId="22838ABE">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2.2.2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14:paraId="1C8B77E5">
      <w:pPr>
        <w:spacing w:after="0" w:line="560" w:lineRule="exact"/>
        <w:ind w:firstLine="640" w:firstLineChars="200"/>
        <w:jc w:val="both"/>
        <w:rPr>
          <w:rFonts w:ascii="Times New Roman" w:hAnsi="Times New Roman" w:eastAsia="仿宋_GB2312" w:cs="Times New Roman"/>
          <w:snapToGrid w:val="0"/>
          <w:sz w:val="32"/>
          <w:szCs w:val="32"/>
        </w:rPr>
      </w:pPr>
      <w:bookmarkStart w:id="151" w:name="_Hlk99362884"/>
      <w:r>
        <w:rPr>
          <w:rFonts w:ascii="Times New Roman" w:hAnsi="Times New Roman" w:eastAsia="仿宋_GB2312" w:cs="Times New Roman"/>
          <w:snapToGrid w:val="0"/>
          <w:sz w:val="32"/>
          <w:szCs w:val="32"/>
        </w:rPr>
        <w:t>2.2.3经供应商澄清、说明和补正后仍不满足初步评审要求的响应文件（即响应文件不满足本章第2.1款规定的任一项标准），其响应文件将被视为无效，采购小组应告知有关供应商。</w:t>
      </w:r>
    </w:p>
    <w:p w14:paraId="345BC9B0">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2.2.4供应商有串通（符合第2.2.8、2.2.9、2.2.10项情况）、以各种方式弄虚作假、行贿（如一切商业贿赂行为，以及对从事采购与招投标活动的各类相关人员进行利益输送，或其它可能影响公正执行工作的行为）、不遵守国家法律法规或地方性规章制度，在采购与招投标过程中恶意诽谤、诬告陷害其它竞争对手的不良行为等违法行为的，其响应文件将被视为无效，其响应保证金将被没收。同时将处以成交与中标项目金额千分之五以上千分之十以下的罚款，对串通投标单位直接负责的主管人员和其他直接责任人员处单位罚款数额百分之五以上百分之十以下的罚款。并且该供应商将被列入采购人供应商黑名单（供应商“黑名单”每年发布一次，并在 EPS 系统中公示），进行供应商淘汰，永久禁止与采购人及下属单位开展业务；</w:t>
      </w:r>
    </w:p>
    <w:p w14:paraId="308D5C54">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2.2.5供应商成交后无正当理由拒不签约或拒不履行合同的，至少进行采购人分子公司供应关系关闭，也可进行采购人各一级经营单位，华商中心供应关系关闭或***品类供应关系关闭，关闭期一年；</w:t>
      </w:r>
    </w:p>
    <w:p w14:paraId="61AD563F">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2.2.6接到成交通知后，因供应商原因未能按时签约，经两次催促后，在规定时间内仍未签约的，可进行采购人单条供应关系关闭或采购人分子公司供应关系关闭，关闭期半年。</w:t>
      </w:r>
    </w:p>
    <w:p w14:paraId="2FC952D9">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2.2.7上述行为情节严重的，采购人将移交公安经侦部门进行刑事调查。</w:t>
      </w:r>
    </w:p>
    <w:p w14:paraId="303F7B80">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2.2.8有下列情形之一的，属于供应商相互串通响应报价：</w:t>
      </w:r>
    </w:p>
    <w:p w14:paraId="66289489">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1</w:t>
      </w:r>
      <w:r>
        <w:rPr>
          <w:rFonts w:ascii="Times New Roman" w:hAnsi="Times New Roman" w:eastAsia="仿宋_GB2312" w:cs="Times New Roman"/>
          <w:snapToGrid w:val="0"/>
          <w:sz w:val="32"/>
          <w:szCs w:val="32"/>
        </w:rPr>
        <w:t>）供应商之间协商响应报价等响应文件的实质性内容；</w:t>
      </w:r>
    </w:p>
    <w:p w14:paraId="39BC9BE8">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2</w:t>
      </w:r>
      <w:r>
        <w:rPr>
          <w:rFonts w:ascii="Times New Roman" w:hAnsi="Times New Roman" w:eastAsia="仿宋_GB2312" w:cs="Times New Roman"/>
          <w:snapToGrid w:val="0"/>
          <w:sz w:val="32"/>
          <w:szCs w:val="32"/>
        </w:rPr>
        <w:t>）供应商之间约定成交供应商；</w:t>
      </w:r>
    </w:p>
    <w:p w14:paraId="13D4D21A">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3</w:t>
      </w:r>
      <w:r>
        <w:rPr>
          <w:rFonts w:ascii="Times New Roman" w:hAnsi="Times New Roman" w:eastAsia="仿宋_GB2312" w:cs="Times New Roman"/>
          <w:snapToGrid w:val="0"/>
          <w:sz w:val="32"/>
          <w:szCs w:val="32"/>
        </w:rPr>
        <w:t>）供应商之间约定部分供应商放弃响应报价或者成交；</w:t>
      </w:r>
    </w:p>
    <w:p w14:paraId="11045711">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4</w:t>
      </w:r>
      <w:r>
        <w:rPr>
          <w:rFonts w:ascii="Times New Roman" w:hAnsi="Times New Roman" w:eastAsia="仿宋_GB2312" w:cs="Times New Roman"/>
          <w:snapToGrid w:val="0"/>
          <w:sz w:val="32"/>
          <w:szCs w:val="32"/>
        </w:rPr>
        <w:t>）属于同一集团、协会、商会等组织成员的供应商按照该组织要求协同响应报价；</w:t>
      </w:r>
    </w:p>
    <w:p w14:paraId="0FB508F9">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5</w:t>
      </w:r>
      <w:r>
        <w:rPr>
          <w:rFonts w:ascii="Times New Roman" w:hAnsi="Times New Roman" w:eastAsia="仿宋_GB2312" w:cs="Times New Roman"/>
          <w:snapToGrid w:val="0"/>
          <w:sz w:val="32"/>
          <w:szCs w:val="32"/>
        </w:rPr>
        <w:t>）供应商之间为谋取成交或者排斥特定供应商而采取的其他联合行动。</w:t>
      </w:r>
    </w:p>
    <w:p w14:paraId="103D0C57">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2.2.9有下列情形之一的，视为供应商相互串通响应报价：</w:t>
      </w:r>
    </w:p>
    <w:p w14:paraId="7D14F657">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1</w:t>
      </w:r>
      <w:r>
        <w:rPr>
          <w:rFonts w:ascii="Times New Roman" w:hAnsi="Times New Roman" w:eastAsia="仿宋_GB2312" w:cs="Times New Roman"/>
          <w:snapToGrid w:val="0"/>
          <w:sz w:val="32"/>
          <w:szCs w:val="32"/>
        </w:rPr>
        <w:t>）不同供应商的响应文件由同一单位或者个人编制；</w:t>
      </w:r>
    </w:p>
    <w:p w14:paraId="1504AFBD">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2</w:t>
      </w:r>
      <w:r>
        <w:rPr>
          <w:rFonts w:ascii="Times New Roman" w:hAnsi="Times New Roman" w:eastAsia="仿宋_GB2312" w:cs="Times New Roman"/>
          <w:snapToGrid w:val="0"/>
          <w:sz w:val="32"/>
          <w:szCs w:val="32"/>
        </w:rPr>
        <w:t>）不同供应商委托同一单位或者个人办理响应报价事宜；</w:t>
      </w:r>
    </w:p>
    <w:p w14:paraId="56ACD7A6">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3</w:t>
      </w:r>
      <w:r>
        <w:rPr>
          <w:rFonts w:ascii="Times New Roman" w:hAnsi="Times New Roman" w:eastAsia="仿宋_GB2312" w:cs="Times New Roman"/>
          <w:snapToGrid w:val="0"/>
          <w:sz w:val="32"/>
          <w:szCs w:val="32"/>
        </w:rPr>
        <w:t>）不同供应商的响应文件载明的项目管理成员为同一人；</w:t>
      </w:r>
    </w:p>
    <w:p w14:paraId="3344FF14">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4</w:t>
      </w:r>
      <w:r>
        <w:rPr>
          <w:rFonts w:ascii="Times New Roman" w:hAnsi="Times New Roman" w:eastAsia="仿宋_GB2312" w:cs="Times New Roman"/>
          <w:snapToGrid w:val="0"/>
          <w:sz w:val="32"/>
          <w:szCs w:val="32"/>
        </w:rPr>
        <w:t>）不同供应商的响应文件异常一致或者响应报价呈规律性差异；</w:t>
      </w:r>
    </w:p>
    <w:p w14:paraId="6F02A132">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5</w:t>
      </w:r>
      <w:r>
        <w:rPr>
          <w:rFonts w:ascii="Times New Roman" w:hAnsi="Times New Roman" w:eastAsia="仿宋_GB2312" w:cs="Times New Roman"/>
          <w:snapToGrid w:val="0"/>
          <w:sz w:val="32"/>
          <w:szCs w:val="32"/>
        </w:rPr>
        <w:t>）不同供应商的响应文件相互混装；</w:t>
      </w:r>
    </w:p>
    <w:p w14:paraId="36F73428">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6</w:t>
      </w:r>
      <w:r>
        <w:rPr>
          <w:rFonts w:ascii="Times New Roman" w:hAnsi="Times New Roman" w:eastAsia="仿宋_GB2312" w:cs="Times New Roman"/>
          <w:snapToGrid w:val="0"/>
          <w:sz w:val="32"/>
          <w:szCs w:val="32"/>
        </w:rPr>
        <w:t>）不同供应商的响应保证金从同一单位或者个人的账户转出。</w:t>
      </w:r>
    </w:p>
    <w:p w14:paraId="14372AC7">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2.2.10有下列情形之一的，属于采购人与供应商串通响应报价：</w:t>
      </w:r>
    </w:p>
    <w:p w14:paraId="4C2C35BC">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1</w:t>
      </w:r>
      <w:r>
        <w:rPr>
          <w:rFonts w:ascii="Times New Roman" w:hAnsi="Times New Roman" w:eastAsia="仿宋_GB2312" w:cs="Times New Roman"/>
          <w:snapToGrid w:val="0"/>
          <w:sz w:val="32"/>
          <w:szCs w:val="32"/>
        </w:rPr>
        <w:t>）采购人在规定的集中开启响应文件时间前开启响应文件并将有关信息泄露给其他供应商;</w:t>
      </w:r>
    </w:p>
    <w:p w14:paraId="46D28FFF">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2</w:t>
      </w:r>
      <w:r>
        <w:rPr>
          <w:rFonts w:ascii="Times New Roman" w:hAnsi="Times New Roman" w:eastAsia="仿宋_GB2312" w:cs="Times New Roman"/>
          <w:snapToGrid w:val="0"/>
          <w:sz w:val="32"/>
          <w:szCs w:val="32"/>
        </w:rPr>
        <w:t>）采购人直接或者间接向供应商泄露标底、评审委员会成员等信息；</w:t>
      </w:r>
    </w:p>
    <w:p w14:paraId="465D3CF4">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3</w:t>
      </w:r>
      <w:r>
        <w:rPr>
          <w:rFonts w:ascii="Times New Roman" w:hAnsi="Times New Roman" w:eastAsia="仿宋_GB2312" w:cs="Times New Roman"/>
          <w:snapToGrid w:val="0"/>
          <w:sz w:val="32"/>
          <w:szCs w:val="32"/>
        </w:rPr>
        <w:t>）采购人明示或者暗示供应商压低或者抬高响应报价；</w:t>
      </w:r>
    </w:p>
    <w:p w14:paraId="6BCB6423">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4</w:t>
      </w:r>
      <w:r>
        <w:rPr>
          <w:rFonts w:ascii="Times New Roman" w:hAnsi="Times New Roman" w:eastAsia="仿宋_GB2312" w:cs="Times New Roman"/>
          <w:snapToGrid w:val="0"/>
          <w:sz w:val="32"/>
          <w:szCs w:val="32"/>
        </w:rPr>
        <w:t>）采购人授意供应商撤换、修改响应文件；</w:t>
      </w:r>
    </w:p>
    <w:p w14:paraId="2BE289E4">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5</w:t>
      </w:r>
      <w:r>
        <w:rPr>
          <w:rFonts w:ascii="Times New Roman" w:hAnsi="Times New Roman" w:eastAsia="仿宋_GB2312" w:cs="Times New Roman"/>
          <w:snapToGrid w:val="0"/>
          <w:sz w:val="32"/>
          <w:szCs w:val="32"/>
        </w:rPr>
        <w:t>）采购人明示或者暗示供应商为特定供应商获得成交提供方便；</w:t>
      </w:r>
    </w:p>
    <w:p w14:paraId="193C6A91">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lang w:val="en-US" w:eastAsia="zh-CN"/>
        </w:rPr>
        <w:t>6</w:t>
      </w:r>
      <w:r>
        <w:rPr>
          <w:rFonts w:ascii="Times New Roman" w:hAnsi="Times New Roman" w:eastAsia="仿宋_GB2312" w:cs="Times New Roman"/>
          <w:snapToGrid w:val="0"/>
          <w:sz w:val="32"/>
          <w:szCs w:val="32"/>
        </w:rPr>
        <w:t>）采购人与供应商为谋求特定供应商获得成交而采取的其他串通行为。</w:t>
      </w:r>
      <w:bookmarkEnd w:id="151"/>
    </w:p>
    <w:p w14:paraId="1875492D">
      <w:pPr>
        <w:pStyle w:val="3"/>
        <w:spacing w:before="0" w:line="560" w:lineRule="exact"/>
        <w:ind w:firstLine="643" w:firstLineChars="200"/>
        <w:jc w:val="both"/>
        <w:rPr>
          <w:rFonts w:ascii="Times New Roman" w:hAnsi="Times New Roman" w:eastAsia="仿宋_GB2312" w:cs="Times New Roman"/>
          <w:snapToGrid w:val="0"/>
          <w:color w:val="auto"/>
          <w:sz w:val="32"/>
          <w:szCs w:val="32"/>
        </w:rPr>
      </w:pPr>
      <w:bookmarkStart w:id="152" w:name="_Toc4534"/>
      <w:r>
        <w:rPr>
          <w:rFonts w:ascii="Times New Roman" w:hAnsi="Times New Roman" w:eastAsia="仿宋_GB2312" w:cs="Times New Roman"/>
          <w:b/>
          <w:snapToGrid w:val="0"/>
          <w:color w:val="auto"/>
          <w:sz w:val="32"/>
          <w:szCs w:val="32"/>
        </w:rPr>
        <w:t>3.详细评审标准和程序</w:t>
      </w:r>
      <w:bookmarkEnd w:id="152"/>
    </w:p>
    <w:p w14:paraId="52577D29">
      <w:pPr>
        <w:pStyle w:val="3"/>
        <w:spacing w:before="0" w:line="560" w:lineRule="exact"/>
        <w:ind w:firstLine="643" w:firstLineChars="200"/>
        <w:jc w:val="both"/>
        <w:outlineLvl w:val="2"/>
        <w:rPr>
          <w:rFonts w:ascii="Times New Roman" w:hAnsi="Times New Roman" w:eastAsia="仿宋_GB2312" w:cs="Times New Roman"/>
          <w:snapToGrid w:val="0"/>
          <w:color w:val="auto"/>
          <w:sz w:val="32"/>
          <w:szCs w:val="32"/>
        </w:rPr>
      </w:pPr>
      <w:bookmarkStart w:id="153" w:name="_Toc4518"/>
      <w:r>
        <w:rPr>
          <w:rFonts w:ascii="Times New Roman" w:hAnsi="Times New Roman" w:eastAsia="仿宋_GB2312" w:cs="Times New Roman"/>
          <w:b/>
          <w:snapToGrid w:val="0"/>
          <w:color w:val="auto"/>
          <w:sz w:val="32"/>
          <w:szCs w:val="32"/>
        </w:rPr>
        <w:t>3.1 评审价格确定</w:t>
      </w:r>
      <w:bookmarkEnd w:id="153"/>
    </w:p>
    <w:p w14:paraId="492BB547">
      <w:pPr>
        <w:spacing w:after="0" w:line="560" w:lineRule="exact"/>
        <w:ind w:firstLine="640" w:firstLineChars="200"/>
        <w:jc w:val="both"/>
        <w:rPr>
          <w:rFonts w:ascii="Times New Roman" w:hAnsi="Times New Roman" w:eastAsia="仿宋_GB2312" w:cs="Times New Roman"/>
          <w:snapToGrid w:val="0"/>
          <w:sz w:val="32"/>
          <w:szCs w:val="32"/>
        </w:rPr>
      </w:pPr>
      <w:bookmarkStart w:id="154" w:name="_Hlk99362896"/>
      <w:r>
        <w:rPr>
          <w:rFonts w:ascii="Times New Roman" w:hAnsi="Times New Roman" w:eastAsia="仿宋_GB2312" w:cs="Times New Roman"/>
          <w:snapToGrid w:val="0"/>
          <w:sz w:val="32"/>
          <w:szCs w:val="32"/>
        </w:rPr>
        <w:t>3.1.1除评审办法前附表另有规定外，评审价格以最终报价的大写不含税价格为准。</w:t>
      </w:r>
    </w:p>
    <w:p w14:paraId="6512A5C7">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3.1.2评审价格超过最高限价（如有）的，其响应文件将被视为无效。</w:t>
      </w:r>
    </w:p>
    <w:p w14:paraId="7F4394E5">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3.1.3采购小组经过对供应商的报价进行比较或基于专业经验认为某一供应商的报价过低，可能对其履约造成影响时，应当要求该供应商作出书面说明并提供相应的证明材料。供应商不能合理说明或者不能提供相应证明材料的，其响应文件将被视为无效。</w:t>
      </w:r>
    </w:p>
    <w:p w14:paraId="000CA5AB">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3.1.4最终报价有算术错误或其他错误的，采购小组按以下原则进行修正，并要求供应商对修正后的价格进行书面澄清确认。供应商拒不澄清确认的，其响应文件将被视为无效：</w:t>
      </w:r>
    </w:p>
    <w:p w14:paraId="48C400B9">
      <w:pPr>
        <w:pStyle w:val="14"/>
        <w:jc w:val="both"/>
        <w:rPr>
          <w:rFonts w:ascii="Times New Roman" w:hAnsi="Times New Roman" w:cs="Times New Roman"/>
          <w:snapToGrid w:val="0"/>
        </w:rPr>
      </w:pPr>
      <w:r>
        <w:rPr>
          <w:rFonts w:ascii="Times New Roman" w:hAnsi="Times New Roman" w:cs="Times New Roman"/>
          <w:snapToGrid w:val="0"/>
        </w:rPr>
        <w:t>（1）大写金额与小写金额不一致的，以大写金额为准；</w:t>
      </w:r>
    </w:p>
    <w:p w14:paraId="0C333C06">
      <w:pPr>
        <w:pStyle w:val="14"/>
        <w:jc w:val="both"/>
        <w:rPr>
          <w:rFonts w:ascii="Times New Roman" w:hAnsi="Times New Roman" w:cs="Times New Roman"/>
          <w:snapToGrid w:val="0"/>
        </w:rPr>
      </w:pPr>
      <w:r>
        <w:rPr>
          <w:rFonts w:ascii="Times New Roman" w:hAnsi="Times New Roman" w:cs="Times New Roman"/>
          <w:snapToGrid w:val="0"/>
        </w:rPr>
        <w:t>（2）总价金额与单价金额不一致的，以单价金额为准，但单价金额小数点有明显错误的除外；</w:t>
      </w:r>
    </w:p>
    <w:p w14:paraId="1C596CE4">
      <w:pPr>
        <w:pStyle w:val="14"/>
        <w:jc w:val="both"/>
        <w:rPr>
          <w:rFonts w:ascii="Times New Roman" w:hAnsi="Times New Roman" w:cs="Times New Roman"/>
          <w:snapToGrid w:val="0"/>
        </w:rPr>
      </w:pPr>
      <w:r>
        <w:rPr>
          <w:rFonts w:ascii="Times New Roman" w:hAnsi="Times New Roman" w:cs="Times New Roman"/>
          <w:snapToGrid w:val="0"/>
        </w:rPr>
        <w:t>（3）报价表中合计报价与分项报价的合价不一致的，以各分项报价的合价累计数为准；</w:t>
      </w:r>
    </w:p>
    <w:p w14:paraId="4871AE82">
      <w:pPr>
        <w:pStyle w:val="14"/>
        <w:jc w:val="both"/>
        <w:rPr>
          <w:rFonts w:ascii="Times New Roman" w:hAnsi="Times New Roman" w:cs="Times New Roman"/>
          <w:snapToGrid w:val="0"/>
        </w:rPr>
      </w:pPr>
      <w:r>
        <w:rPr>
          <w:rFonts w:ascii="Times New Roman" w:hAnsi="Times New Roman" w:cs="Times New Roman"/>
          <w:snapToGrid w:val="0"/>
        </w:rPr>
        <w:t>（4）如果分项报价中存在缺漏项，且缺漏项内容不属于实质性偏差的，则视为缺漏项内容的价格已包含在其他分项报价之中。</w:t>
      </w:r>
    </w:p>
    <w:p w14:paraId="32DDE942">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最终报价的算术错误修正不改变评审依据的最终总报价。当修正后的总报价高于原最终报价时，视同供应商最终报价错误产生少漏计费用，签订合同时由供应商承担,如采购小组认为供应商无法承受少漏计费用，可以将最终报价作为异常低价处理；当</w:t>
      </w:r>
      <w:bookmarkStart w:id="155" w:name="_bookmark13"/>
      <w:bookmarkEnd w:id="155"/>
      <w:r>
        <w:rPr>
          <w:rFonts w:ascii="Times New Roman" w:hAnsi="Times New Roman" w:eastAsia="仿宋_GB2312" w:cs="Times New Roman"/>
          <w:snapToGrid w:val="0"/>
          <w:sz w:val="32"/>
          <w:szCs w:val="32"/>
        </w:rPr>
        <w:t>修正后的总报价低于原最终报价时，签订合同时以修正后的报价为准。</w:t>
      </w:r>
    </w:p>
    <w:bookmarkEnd w:id="154"/>
    <w:p w14:paraId="79058D63">
      <w:pPr>
        <w:pStyle w:val="3"/>
        <w:spacing w:before="0" w:line="560" w:lineRule="exact"/>
        <w:ind w:firstLine="643" w:firstLineChars="200"/>
        <w:jc w:val="both"/>
        <w:outlineLvl w:val="2"/>
        <w:rPr>
          <w:rFonts w:ascii="Times New Roman" w:hAnsi="Times New Roman" w:eastAsia="仿宋_GB2312" w:cs="Times New Roman"/>
          <w:snapToGrid w:val="0"/>
          <w:color w:val="auto"/>
          <w:sz w:val="32"/>
          <w:szCs w:val="32"/>
        </w:rPr>
      </w:pPr>
      <w:bookmarkStart w:id="156" w:name="_Toc15675"/>
      <w:r>
        <w:rPr>
          <w:rFonts w:ascii="Times New Roman" w:hAnsi="Times New Roman" w:eastAsia="仿宋_GB2312" w:cs="Times New Roman"/>
          <w:b/>
          <w:snapToGrid w:val="0"/>
          <w:color w:val="auto"/>
          <w:sz w:val="32"/>
          <w:szCs w:val="32"/>
        </w:rPr>
        <w:t>3.2 综合评分和排序(综合评分法)</w:t>
      </w:r>
      <w:bookmarkEnd w:id="156"/>
    </w:p>
    <w:p w14:paraId="30582271">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3.2.1分值构成</w:t>
      </w:r>
    </w:p>
    <w:p w14:paraId="3C8686BD">
      <w:pPr>
        <w:pStyle w:val="14"/>
        <w:jc w:val="both"/>
        <w:rPr>
          <w:rFonts w:ascii="Times New Roman" w:hAnsi="Times New Roman" w:cs="Times New Roman"/>
          <w:snapToGrid w:val="0"/>
        </w:rPr>
      </w:pPr>
      <w:r>
        <w:rPr>
          <w:rFonts w:ascii="Times New Roman" w:hAnsi="Times New Roman" w:cs="Times New Roman"/>
          <w:snapToGrid w:val="0"/>
        </w:rPr>
        <w:t>（1）商务部分：见评审办法前附表；</w:t>
      </w:r>
    </w:p>
    <w:p w14:paraId="69634241">
      <w:pPr>
        <w:pStyle w:val="14"/>
        <w:jc w:val="both"/>
        <w:rPr>
          <w:rFonts w:ascii="Times New Roman" w:hAnsi="Times New Roman" w:cs="Times New Roman"/>
          <w:snapToGrid w:val="0"/>
        </w:rPr>
      </w:pPr>
      <w:r>
        <w:rPr>
          <w:rFonts w:ascii="Times New Roman" w:hAnsi="Times New Roman" w:cs="Times New Roman"/>
          <w:snapToGrid w:val="0"/>
        </w:rPr>
        <w:t>（2）技术部分：见评审办法前附表；</w:t>
      </w:r>
    </w:p>
    <w:p w14:paraId="405D7D34">
      <w:pPr>
        <w:pStyle w:val="14"/>
        <w:jc w:val="both"/>
        <w:rPr>
          <w:rFonts w:ascii="Times New Roman" w:hAnsi="Times New Roman" w:cs="Times New Roman"/>
          <w:snapToGrid w:val="0"/>
        </w:rPr>
      </w:pPr>
      <w:r>
        <w:rPr>
          <w:rFonts w:ascii="Times New Roman" w:hAnsi="Times New Roman" w:cs="Times New Roman"/>
          <w:snapToGrid w:val="0"/>
        </w:rPr>
        <w:t>（3）报价：见评审办法前附表；</w:t>
      </w:r>
    </w:p>
    <w:p w14:paraId="19088C59">
      <w:pPr>
        <w:pStyle w:val="14"/>
        <w:jc w:val="both"/>
        <w:rPr>
          <w:rFonts w:ascii="Times New Roman" w:hAnsi="Times New Roman" w:cs="Times New Roman"/>
          <w:snapToGrid w:val="0"/>
        </w:rPr>
      </w:pPr>
      <w:r>
        <w:rPr>
          <w:rFonts w:ascii="Times New Roman" w:hAnsi="Times New Roman" w:cs="Times New Roman"/>
          <w:snapToGrid w:val="0"/>
        </w:rPr>
        <w:t>（4）其他评分因素：见评审办法前附表。</w:t>
      </w:r>
    </w:p>
    <w:p w14:paraId="5059F285">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3.2.2评审基准价计算</w:t>
      </w:r>
    </w:p>
    <w:p w14:paraId="3FBD4D27">
      <w:pPr>
        <w:pStyle w:val="14"/>
        <w:jc w:val="both"/>
        <w:rPr>
          <w:rFonts w:ascii="Times New Roman" w:hAnsi="Times New Roman" w:cs="Times New Roman"/>
          <w:snapToGrid w:val="0"/>
        </w:rPr>
      </w:pPr>
      <w:r>
        <w:rPr>
          <w:rFonts w:ascii="Times New Roman" w:hAnsi="Times New Roman" w:cs="Times New Roman"/>
          <w:snapToGrid w:val="0"/>
        </w:rPr>
        <w:t>（1）评审价格：评审价格为按照本章第3.1.1项规定确定的价格。</w:t>
      </w:r>
    </w:p>
    <w:p w14:paraId="7A290801">
      <w:pPr>
        <w:pStyle w:val="14"/>
        <w:jc w:val="both"/>
        <w:rPr>
          <w:rFonts w:ascii="Times New Roman" w:hAnsi="Times New Roman" w:cs="Times New Roman"/>
          <w:snapToGrid w:val="0"/>
        </w:rPr>
      </w:pPr>
      <w:r>
        <w:rPr>
          <w:rFonts w:ascii="Times New Roman" w:hAnsi="Times New Roman" w:cs="Times New Roman"/>
          <w:snapToGrid w:val="0"/>
        </w:rPr>
        <w:t>（2）评审基准价计算方法：</w:t>
      </w:r>
    </w:p>
    <w:p w14:paraId="3DF42528">
      <w:pPr>
        <w:pStyle w:val="14"/>
        <w:jc w:val="both"/>
        <w:rPr>
          <w:rFonts w:ascii="Times New Roman" w:hAnsi="Times New Roman" w:cs="Times New Roman"/>
          <w:snapToGrid w:val="0"/>
        </w:rPr>
      </w:pPr>
      <w:bookmarkStart w:id="157" w:name="_Hlk99362905"/>
      <w:r>
        <w:rPr>
          <w:rFonts w:ascii="Times New Roman" w:hAnsi="Times New Roman" w:cs="Times New Roman"/>
          <w:snapToGrid w:val="0"/>
        </w:rPr>
        <w:sym w:font="Wingdings 2" w:char="00A3"/>
      </w:r>
      <w:r>
        <w:rPr>
          <w:rFonts w:ascii="Times New Roman" w:hAnsi="Times New Roman" w:cs="Times New Roman"/>
          <w:snapToGrid w:val="0"/>
        </w:rPr>
        <w:t>按有效报价的算术平均值为评审基准价：</w:t>
      </w:r>
    </w:p>
    <w:p w14:paraId="09F4FD35">
      <w:pPr>
        <w:pStyle w:val="14"/>
        <w:jc w:val="both"/>
        <w:rPr>
          <w:rFonts w:ascii="Times New Roman" w:hAnsi="Times New Roman" w:cs="Times New Roman"/>
          <w:snapToGrid w:val="0"/>
        </w:rPr>
      </w:pPr>
      <w:r>
        <w:rPr>
          <w:rFonts w:ascii="Times New Roman" w:hAnsi="Times New Roman" w:cs="Times New Roman"/>
          <w:snapToGrid w:val="0"/>
        </w:rPr>
        <w:t>有效响应人家数为N，0＜N≤5时，所有有效报价的算术平均值为评审基准价；5＜N≤10时，所有有效报价去掉1个最高报价和1个最低报价后的算术平均值为评审基准价；10＜N≤20时，所有有效报价去掉2个最高报价和2个最低报价后的算术平均值为评标基准价；N＞20时，所有有效报价去掉3个最高报价和3个最低报价后的算术平均值为评标基准价。</w:t>
      </w:r>
    </w:p>
    <w:p w14:paraId="7A140CEF">
      <w:pPr>
        <w:pStyle w:val="14"/>
        <w:jc w:val="both"/>
        <w:rPr>
          <w:rFonts w:ascii="Times New Roman" w:hAnsi="Times New Roman" w:cs="Times New Roman"/>
          <w:snapToGrid w:val="0"/>
        </w:rPr>
      </w:pPr>
      <w:r>
        <w:rPr>
          <w:rFonts w:ascii="Times New Roman" w:hAnsi="Times New Roman" w:cs="Times New Roman"/>
          <w:snapToGrid w:val="0"/>
        </w:rPr>
        <w:t>☑按最低有效报价作为评审基准价。</w:t>
      </w:r>
    </w:p>
    <w:p w14:paraId="3C84594F">
      <w:pPr>
        <w:pStyle w:val="14"/>
        <w:jc w:val="both"/>
        <w:rPr>
          <w:rFonts w:ascii="Times New Roman" w:hAnsi="Times New Roman" w:cs="Times New Roman"/>
          <w:snapToGrid w:val="0"/>
        </w:rPr>
      </w:pPr>
      <w:r>
        <w:rPr>
          <w:rFonts w:ascii="Times New Roman" w:hAnsi="Times New Roman" w:cs="Times New Roman"/>
          <w:snapToGrid w:val="0"/>
        </w:rPr>
        <w:t>无效报价、响应被否决的供应商，其报价不参与评审基准价的计算。</w:t>
      </w:r>
    </w:p>
    <w:bookmarkEnd w:id="157"/>
    <w:p w14:paraId="444041D3">
      <w:pPr>
        <w:pStyle w:val="45"/>
        <w:spacing w:after="0" w:line="560" w:lineRule="exact"/>
        <w:ind w:firstLine="64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3.2.3评分标准</w:t>
      </w:r>
    </w:p>
    <w:p w14:paraId="471EC21F">
      <w:pPr>
        <w:pStyle w:val="14"/>
        <w:jc w:val="both"/>
        <w:rPr>
          <w:rFonts w:ascii="Times New Roman" w:hAnsi="Times New Roman" w:cs="Times New Roman"/>
          <w:snapToGrid w:val="0"/>
        </w:rPr>
      </w:pPr>
      <w:r>
        <w:rPr>
          <w:rFonts w:ascii="Times New Roman" w:hAnsi="Times New Roman" w:cs="Times New Roman"/>
          <w:snapToGrid w:val="0"/>
        </w:rPr>
        <w:t>（1）商务评分标准：见评审办法前附表；</w:t>
      </w:r>
    </w:p>
    <w:p w14:paraId="0BAC43BC">
      <w:pPr>
        <w:pStyle w:val="14"/>
        <w:jc w:val="both"/>
        <w:rPr>
          <w:rFonts w:ascii="Times New Roman" w:hAnsi="Times New Roman" w:cs="Times New Roman"/>
          <w:snapToGrid w:val="0"/>
        </w:rPr>
      </w:pPr>
      <w:r>
        <w:rPr>
          <w:rFonts w:ascii="Times New Roman" w:hAnsi="Times New Roman" w:cs="Times New Roman"/>
          <w:snapToGrid w:val="0"/>
        </w:rPr>
        <w:t>（2）技术评分标准：见评审办法前附表；</w:t>
      </w:r>
    </w:p>
    <w:p w14:paraId="6C939A4D">
      <w:pPr>
        <w:pStyle w:val="14"/>
        <w:jc w:val="both"/>
        <w:rPr>
          <w:rFonts w:ascii="Times New Roman" w:hAnsi="Times New Roman" w:cs="Times New Roman"/>
          <w:snapToGrid w:val="0"/>
        </w:rPr>
      </w:pPr>
      <w:bookmarkStart w:id="158" w:name="扫描0043"/>
      <w:bookmarkEnd w:id="158"/>
      <w:r>
        <w:rPr>
          <w:rFonts w:ascii="Times New Roman" w:hAnsi="Times New Roman" w:cs="Times New Roman"/>
          <w:snapToGrid w:val="0"/>
        </w:rPr>
        <w:t>（3）报价评分标准：</w:t>
      </w:r>
    </w:p>
    <w:p w14:paraId="5D439627">
      <w:pPr>
        <w:spacing w:after="0" w:line="560" w:lineRule="exact"/>
        <w:ind w:firstLine="640" w:firstLineChars="200"/>
        <w:jc w:val="both"/>
        <w:rPr>
          <w:rFonts w:ascii="Times New Roman" w:hAnsi="Times New Roman" w:eastAsia="仿宋_GB2312" w:cs="Times New Roman"/>
          <w:snapToGrid w:val="0"/>
          <w:sz w:val="32"/>
          <w:szCs w:val="32"/>
        </w:rPr>
      </w:pPr>
      <w:bookmarkStart w:id="159" w:name="_Hlk91554426"/>
      <w:r>
        <w:rPr>
          <w:rFonts w:ascii="Times New Roman" w:hAnsi="Times New Roman" w:eastAsia="仿宋_GB2312" w:cs="Times New Roman"/>
          <w:snapToGrid w:val="0"/>
          <w:sz w:val="32"/>
          <w:szCs w:val="32"/>
        </w:rPr>
        <w:t>报价得分可采用如下方法计算：</w:t>
      </w:r>
    </w:p>
    <w:bookmarkEnd w:id="159"/>
    <w:p w14:paraId="7A001D2D">
      <w:pPr>
        <w:spacing w:after="0" w:line="560" w:lineRule="exact"/>
        <w:ind w:firstLine="640" w:firstLineChars="200"/>
        <w:jc w:val="both"/>
        <w:rPr>
          <w:rFonts w:ascii="Times New Roman" w:hAnsi="Times New Roman" w:eastAsia="仿宋_GB2312" w:cs="Times New Roman"/>
          <w:snapToGrid w:val="0"/>
          <w:sz w:val="32"/>
          <w:szCs w:val="32"/>
          <w:lang w:val="en-US" w:eastAsia="zh-CN" w:bidi="ar-SA"/>
        </w:rPr>
      </w:pPr>
      <w:bookmarkStart w:id="160" w:name="_Hlk99363047"/>
      <w:r>
        <w:rPr>
          <w:rFonts w:hint="eastAsia" w:ascii="Times New Roman" w:hAnsi="Times New Roman" w:eastAsia="仿宋_GB2312" w:cs="Times New Roman"/>
          <w:snapToGrid w:val="0"/>
          <w:sz w:val="32"/>
          <w:szCs w:val="32"/>
          <w:lang w:eastAsia="zh-CN"/>
        </w:rPr>
        <w:t>□</w:t>
      </w:r>
      <w:r>
        <w:rPr>
          <w:rFonts w:ascii="Times New Roman" w:hAnsi="Times New Roman" w:eastAsia="仿宋_GB2312" w:cs="Times New Roman"/>
          <w:snapToGrid w:val="0"/>
          <w:sz w:val="32"/>
          <w:szCs w:val="32"/>
        </w:rPr>
        <w:t>方法一</w:t>
      </w:r>
      <w:r>
        <w:rPr>
          <w:rFonts w:ascii="Times New Roman" w:hAnsi="Times New Roman" w:eastAsia="仿宋_GB2312" w:cs="Times New Roman"/>
          <w:snapToGrid w:val="0"/>
          <w:sz w:val="32"/>
          <w:szCs w:val="32"/>
          <w:lang w:val="en-US" w:eastAsia="zh-CN" w:bidi="ar-SA"/>
        </w:rPr>
        <w:t>：按有效报价的算术平均值为评审基准价：</w:t>
      </w:r>
    </w:p>
    <w:p w14:paraId="653C58B1">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lang w:val="en-US" w:eastAsia="zh-CN" w:bidi="ar-SA"/>
        </w:rPr>
        <w:t>偏差率=(供应商评审价格-评审基准价)/评审基准价×100%</w:t>
      </w:r>
    </w:p>
    <w:p w14:paraId="4D34E14B">
      <w:pPr>
        <w:spacing w:after="0" w:line="560" w:lineRule="exact"/>
        <w:ind w:firstLine="640" w:firstLineChars="200"/>
        <w:jc w:val="both"/>
        <w:rPr>
          <w:rFonts w:ascii="Times New Roman" w:hAnsi="Times New Roman" w:eastAsia="仿宋_GB2312" w:cs="Times New Roman"/>
          <w:snapToGrid w:val="0"/>
          <w:sz w:val="32"/>
          <w:szCs w:val="32"/>
        </w:rPr>
      </w:pPr>
      <w:r>
        <w:rPr>
          <w:rFonts w:hint="eastAsia" w:ascii="宋体" w:hAnsi="宋体" w:eastAsia="宋体" w:cs="宋体"/>
          <w:snapToGrid w:val="0"/>
          <w:sz w:val="32"/>
          <w:szCs w:val="32"/>
        </w:rPr>
        <w:t>①</w:t>
      </w:r>
      <w:r>
        <w:rPr>
          <w:rFonts w:ascii="Times New Roman" w:hAnsi="Times New Roman" w:eastAsia="仿宋_GB2312" w:cs="Times New Roman"/>
          <w:snapToGrid w:val="0"/>
          <w:sz w:val="32"/>
          <w:szCs w:val="32"/>
        </w:rPr>
        <w:t>如果供应商的评审价格＞评审基准价，则报价得分=F-偏差率×100×E</w:t>
      </w:r>
      <w:r>
        <w:rPr>
          <w:rFonts w:ascii="Times New Roman" w:hAnsi="Times New Roman" w:eastAsia="仿宋_GB2312" w:cs="Times New Roman"/>
          <w:snapToGrid w:val="0"/>
          <w:sz w:val="32"/>
          <w:szCs w:val="32"/>
          <w:vertAlign w:val="subscript"/>
        </w:rPr>
        <w:t>1</w:t>
      </w:r>
      <w:r>
        <w:rPr>
          <w:rFonts w:ascii="Times New Roman" w:hAnsi="Times New Roman" w:eastAsia="仿宋_GB2312" w:cs="Times New Roman"/>
          <w:snapToGrid w:val="0"/>
          <w:sz w:val="32"/>
          <w:szCs w:val="32"/>
        </w:rPr>
        <w:t>；</w:t>
      </w:r>
    </w:p>
    <w:p w14:paraId="68EF8C2C">
      <w:pPr>
        <w:spacing w:after="0" w:line="560" w:lineRule="exact"/>
        <w:ind w:firstLine="640" w:firstLineChars="200"/>
        <w:jc w:val="both"/>
        <w:rPr>
          <w:rFonts w:ascii="Times New Roman" w:hAnsi="Times New Roman" w:eastAsia="仿宋_GB2312" w:cs="Times New Roman"/>
          <w:snapToGrid w:val="0"/>
          <w:sz w:val="32"/>
          <w:szCs w:val="32"/>
        </w:rPr>
      </w:pPr>
      <w:r>
        <w:rPr>
          <w:rFonts w:hint="eastAsia" w:ascii="宋体" w:hAnsi="宋体" w:eastAsia="宋体" w:cs="宋体"/>
          <w:snapToGrid w:val="0"/>
          <w:sz w:val="32"/>
          <w:szCs w:val="32"/>
        </w:rPr>
        <w:t>②</w:t>
      </w:r>
      <w:r>
        <w:rPr>
          <w:rFonts w:ascii="Times New Roman" w:hAnsi="Times New Roman" w:eastAsia="仿宋_GB2312" w:cs="Times New Roman"/>
          <w:snapToGrid w:val="0"/>
          <w:sz w:val="32"/>
          <w:szCs w:val="32"/>
        </w:rPr>
        <w:t>如果供应商的评审价格≤评审基准价，则报价得分=F+偏差率×100×E</w:t>
      </w:r>
      <w:r>
        <w:rPr>
          <w:rFonts w:ascii="Times New Roman" w:hAnsi="Times New Roman" w:eastAsia="仿宋_GB2312" w:cs="Times New Roman"/>
          <w:snapToGrid w:val="0"/>
          <w:sz w:val="32"/>
          <w:szCs w:val="32"/>
          <w:vertAlign w:val="subscript"/>
        </w:rPr>
        <w:t>2</w:t>
      </w:r>
      <w:r>
        <w:rPr>
          <w:rFonts w:ascii="Times New Roman" w:hAnsi="Times New Roman" w:eastAsia="仿宋_GB2312" w:cs="Times New Roman"/>
          <w:snapToGrid w:val="0"/>
          <w:sz w:val="32"/>
          <w:szCs w:val="32"/>
        </w:rPr>
        <w:t>；</w:t>
      </w:r>
    </w:p>
    <w:p w14:paraId="3975FD98">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其中F为本章第3.2.1(3)目规定的报价所占的分值；E</w:t>
      </w:r>
      <w:r>
        <w:rPr>
          <w:rFonts w:ascii="Times New Roman" w:hAnsi="Times New Roman" w:eastAsia="仿宋_GB2312" w:cs="Times New Roman"/>
          <w:snapToGrid w:val="0"/>
          <w:sz w:val="32"/>
          <w:szCs w:val="32"/>
          <w:vertAlign w:val="subscript"/>
        </w:rPr>
        <w:t>1</w:t>
      </w:r>
      <w:r>
        <w:rPr>
          <w:rFonts w:ascii="Times New Roman" w:hAnsi="Times New Roman" w:eastAsia="仿宋_GB2312" w:cs="Times New Roman"/>
          <w:snapToGrid w:val="0"/>
          <w:sz w:val="32"/>
          <w:szCs w:val="32"/>
        </w:rPr>
        <w:t>是评审价格每高于评审基准价一个百分点的扣分值、E</w:t>
      </w:r>
      <w:r>
        <w:rPr>
          <w:rFonts w:ascii="Times New Roman" w:hAnsi="Times New Roman" w:eastAsia="仿宋_GB2312" w:cs="Times New Roman"/>
          <w:snapToGrid w:val="0"/>
          <w:sz w:val="32"/>
          <w:szCs w:val="32"/>
          <w:vertAlign w:val="subscript"/>
        </w:rPr>
        <w:t>2</w:t>
      </w:r>
      <w:r>
        <w:rPr>
          <w:rFonts w:ascii="Times New Roman" w:hAnsi="Times New Roman" w:eastAsia="仿宋_GB2312" w:cs="Times New Roman"/>
          <w:snapToGrid w:val="0"/>
          <w:sz w:val="32"/>
          <w:szCs w:val="32"/>
        </w:rPr>
        <w:t>是评审价格每低于评审基准价一个百分点的扣分值，E</w:t>
      </w:r>
      <w:r>
        <w:rPr>
          <w:rFonts w:ascii="Times New Roman" w:hAnsi="Times New Roman" w:eastAsia="仿宋_GB2312" w:cs="Times New Roman"/>
          <w:snapToGrid w:val="0"/>
          <w:sz w:val="32"/>
          <w:szCs w:val="32"/>
          <w:vertAlign w:val="subscript"/>
        </w:rPr>
        <w:t>1</w:t>
      </w:r>
      <w:r>
        <w:rPr>
          <w:rFonts w:ascii="Times New Roman" w:hAnsi="Times New Roman" w:eastAsia="仿宋_GB2312" w:cs="Times New Roman"/>
          <w:snapToGrid w:val="0"/>
          <w:sz w:val="32"/>
          <w:szCs w:val="32"/>
        </w:rPr>
        <w:t>可大于或等于E</w:t>
      </w:r>
      <w:r>
        <w:rPr>
          <w:rFonts w:ascii="Times New Roman" w:hAnsi="Times New Roman" w:eastAsia="仿宋_GB2312" w:cs="Times New Roman"/>
          <w:snapToGrid w:val="0"/>
          <w:sz w:val="32"/>
          <w:szCs w:val="32"/>
          <w:vertAlign w:val="subscript"/>
        </w:rPr>
        <w:t>2</w:t>
      </w:r>
      <w:r>
        <w:rPr>
          <w:rFonts w:ascii="Times New Roman" w:hAnsi="Times New Roman" w:eastAsia="仿宋_GB2312" w:cs="Times New Roman"/>
          <w:snapToGrid w:val="0"/>
          <w:sz w:val="32"/>
          <w:szCs w:val="32"/>
        </w:rPr>
        <w:t>。E</w:t>
      </w:r>
      <w:r>
        <w:rPr>
          <w:rFonts w:ascii="Times New Roman" w:hAnsi="Times New Roman" w:eastAsia="仿宋_GB2312" w:cs="Times New Roman"/>
          <w:snapToGrid w:val="0"/>
          <w:sz w:val="32"/>
          <w:szCs w:val="32"/>
          <w:vertAlign w:val="subscript"/>
        </w:rPr>
        <w:t>1</w:t>
      </w:r>
      <w:r>
        <w:rPr>
          <w:rFonts w:ascii="Times New Roman" w:hAnsi="Times New Roman" w:eastAsia="仿宋_GB2312" w:cs="Times New Roman"/>
          <w:snapToGrid w:val="0"/>
          <w:sz w:val="32"/>
          <w:szCs w:val="32"/>
        </w:rPr>
        <w:t>、E</w:t>
      </w:r>
      <w:r>
        <w:rPr>
          <w:rFonts w:ascii="Times New Roman" w:hAnsi="Times New Roman" w:eastAsia="仿宋_GB2312" w:cs="Times New Roman"/>
          <w:snapToGrid w:val="0"/>
          <w:sz w:val="32"/>
          <w:szCs w:val="32"/>
          <w:vertAlign w:val="subscript"/>
        </w:rPr>
        <w:t>2</w:t>
      </w:r>
      <w:r>
        <w:rPr>
          <w:rFonts w:ascii="Times New Roman" w:hAnsi="Times New Roman" w:eastAsia="仿宋_GB2312" w:cs="Times New Roman"/>
          <w:snapToGrid w:val="0"/>
          <w:sz w:val="32"/>
          <w:szCs w:val="32"/>
        </w:rPr>
        <w:t>的取值见评审办法前附表。</w:t>
      </w:r>
    </w:p>
    <w:p w14:paraId="07F531AA">
      <w:pPr>
        <w:spacing w:after="0" w:line="560" w:lineRule="exact"/>
        <w:ind w:firstLine="640" w:firstLineChars="200"/>
        <w:jc w:val="both"/>
        <w:rPr>
          <w:rFonts w:ascii="Times New Roman" w:hAnsi="Times New Roman" w:eastAsia="仿宋_GB2312" w:cs="Times New Roman"/>
          <w:snapToGrid w:val="0"/>
          <w:sz w:val="32"/>
          <w:szCs w:val="32"/>
        </w:rPr>
      </w:pPr>
      <w:r>
        <w:rPr>
          <w:rFonts w:hint="eastAsia" w:ascii="Segoe UI Symbol" w:hAnsi="Segoe UI Symbol" w:eastAsia="仿宋_GB2312" w:cs="Segoe UI Symbol"/>
          <w:snapToGrid w:val="0"/>
          <w:sz w:val="32"/>
          <w:szCs w:val="32"/>
          <w:lang w:eastAsia="zh-CN"/>
        </w:rPr>
        <w:t>□</w:t>
      </w:r>
      <w:r>
        <w:rPr>
          <w:rFonts w:ascii="Times New Roman" w:hAnsi="Times New Roman" w:eastAsia="仿宋_GB2312" w:cs="Times New Roman"/>
          <w:snapToGrid w:val="0"/>
          <w:sz w:val="32"/>
          <w:szCs w:val="32"/>
        </w:rPr>
        <w:t>方法二：按最低有效报价作为评审基准价：</w:t>
      </w:r>
    </w:p>
    <w:p w14:paraId="689F6392">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偏差率=(供应商评审价格-评审基准价)/评审基准价×100%</w:t>
      </w:r>
    </w:p>
    <w:p w14:paraId="513B49F5">
      <w:pPr>
        <w:spacing w:after="0" w:line="560" w:lineRule="exact"/>
        <w:ind w:firstLine="640" w:firstLineChars="200"/>
        <w:jc w:val="both"/>
        <w:rPr>
          <w:rFonts w:ascii="Times New Roman" w:hAnsi="Times New Roman" w:eastAsia="仿宋_GB2312" w:cs="Times New Roman"/>
          <w:snapToGrid w:val="0"/>
          <w:sz w:val="32"/>
          <w:szCs w:val="32"/>
          <w:vertAlign w:val="subscript"/>
        </w:rPr>
      </w:pPr>
      <w:r>
        <w:rPr>
          <w:rFonts w:ascii="Times New Roman" w:hAnsi="Times New Roman" w:eastAsia="仿宋_GB2312" w:cs="Times New Roman"/>
          <w:snapToGrid w:val="0"/>
          <w:sz w:val="32"/>
          <w:szCs w:val="32"/>
        </w:rPr>
        <w:t>报价得分=F-偏差率×100×E</w:t>
      </w:r>
      <w:r>
        <w:rPr>
          <w:rFonts w:ascii="Times New Roman" w:hAnsi="Times New Roman" w:eastAsia="仿宋_GB2312" w:cs="Times New Roman"/>
          <w:snapToGrid w:val="0"/>
          <w:sz w:val="32"/>
          <w:szCs w:val="32"/>
          <w:vertAlign w:val="subscript"/>
        </w:rPr>
        <w:t>3</w:t>
      </w:r>
    </w:p>
    <w:p w14:paraId="5C66ED5B">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其中F为本章第3.2.1(3)目规定的报价所占的分值；E</w:t>
      </w:r>
      <w:r>
        <w:rPr>
          <w:rFonts w:ascii="Times New Roman" w:hAnsi="Times New Roman" w:eastAsia="仿宋_GB2312" w:cs="Times New Roman"/>
          <w:snapToGrid w:val="0"/>
          <w:sz w:val="32"/>
          <w:szCs w:val="32"/>
          <w:vertAlign w:val="subscript"/>
        </w:rPr>
        <w:t>3</w:t>
      </w:r>
      <w:r>
        <w:rPr>
          <w:rFonts w:ascii="Times New Roman" w:hAnsi="Times New Roman" w:eastAsia="仿宋_GB2312" w:cs="Times New Roman"/>
          <w:snapToGrid w:val="0"/>
          <w:sz w:val="32"/>
          <w:szCs w:val="32"/>
        </w:rPr>
        <w:t>是评审价格每高于评审基准价一个百分点的扣分值。E</w:t>
      </w:r>
      <w:r>
        <w:rPr>
          <w:rFonts w:ascii="Times New Roman" w:hAnsi="Times New Roman" w:eastAsia="仿宋_GB2312" w:cs="Times New Roman"/>
          <w:snapToGrid w:val="0"/>
          <w:sz w:val="32"/>
          <w:szCs w:val="32"/>
          <w:vertAlign w:val="subscript"/>
        </w:rPr>
        <w:t>3</w:t>
      </w:r>
      <w:r>
        <w:rPr>
          <w:rFonts w:ascii="Times New Roman" w:hAnsi="Times New Roman" w:eastAsia="仿宋_GB2312" w:cs="Times New Roman"/>
          <w:snapToGrid w:val="0"/>
          <w:sz w:val="32"/>
          <w:szCs w:val="32"/>
        </w:rPr>
        <w:t>的取值见评审办法前附表。</w:t>
      </w:r>
    </w:p>
    <w:p w14:paraId="0E930A05">
      <w:pPr>
        <w:spacing w:after="0" w:line="560" w:lineRule="exact"/>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lang w:eastAsia="zh-CN"/>
        </w:rPr>
        <w:t>☑</w:t>
      </w:r>
      <w:r>
        <w:rPr>
          <w:rFonts w:ascii="Times New Roman" w:hAnsi="Times New Roman" w:eastAsia="仿宋_GB2312" w:cs="Times New Roman"/>
          <w:snapToGrid w:val="0"/>
          <w:sz w:val="32"/>
          <w:szCs w:val="32"/>
        </w:rPr>
        <w:t>方法三：按最低有效报价作为评审基准价：</w:t>
      </w:r>
    </w:p>
    <w:p w14:paraId="69FF614B">
      <w:pPr>
        <w:spacing w:after="0" w:line="560" w:lineRule="exact"/>
        <w:ind w:firstLine="640" w:firstLineChars="200"/>
        <w:jc w:val="both"/>
        <w:rPr>
          <w:rFonts w:hint="eastAsia" w:ascii="Times New Roman" w:hAnsi="Times New Roman" w:eastAsia="仿宋_GB2312" w:cs="Times New Roman"/>
          <w:snapToGrid w:val="0"/>
          <w:sz w:val="32"/>
          <w:szCs w:val="32"/>
          <w:lang w:eastAsia="zh-CN"/>
        </w:rPr>
      </w:pPr>
      <w:r>
        <w:rPr>
          <w:rFonts w:hint="eastAsia" w:ascii="Times New Roman" w:hAnsi="Times New Roman" w:eastAsia="仿宋_GB2312" w:cs="Times New Roman"/>
          <w:snapToGrid w:val="0"/>
          <w:sz w:val="32"/>
          <w:szCs w:val="32"/>
          <w:lang w:eastAsia="zh-CN"/>
        </w:rPr>
        <w:t>以最低有效报价为基准值，基准值为满分60分，有效报价每高于基准价1%的减1分，扣减至45分为止。</w:t>
      </w:r>
    </w:p>
    <w:p w14:paraId="686A40AC">
      <w:pPr>
        <w:spacing w:after="0" w:line="560" w:lineRule="exact"/>
        <w:ind w:firstLine="640" w:firstLineChars="200"/>
        <w:jc w:val="both"/>
        <w:rPr>
          <w:rFonts w:hint="eastAsia" w:ascii="Times New Roman" w:hAnsi="Times New Roman" w:eastAsia="仿宋_GB2312" w:cs="Times New Roman"/>
          <w:snapToGrid w:val="0"/>
          <w:sz w:val="32"/>
          <w:szCs w:val="32"/>
          <w:lang w:eastAsia="zh-CN"/>
        </w:rPr>
      </w:pPr>
      <w:r>
        <w:rPr>
          <w:rFonts w:hint="eastAsia" w:ascii="Times New Roman" w:hAnsi="Times New Roman" w:eastAsia="仿宋_GB2312" w:cs="Times New Roman"/>
          <w:snapToGrid w:val="0"/>
          <w:sz w:val="32"/>
          <w:szCs w:val="32"/>
          <w:lang w:eastAsia="zh-CN"/>
        </w:rPr>
        <w:t>中间值线性插入，小数点后保留2位，四舍五入。</w:t>
      </w:r>
    </w:p>
    <w:p w14:paraId="56568CE0">
      <w:pPr>
        <w:pStyle w:val="14"/>
        <w:jc w:val="both"/>
        <w:rPr>
          <w:rFonts w:ascii="Times New Roman" w:hAnsi="Times New Roman" w:cs="Times New Roman"/>
          <w:snapToGrid w:val="0"/>
        </w:rPr>
      </w:pPr>
      <w:r>
        <w:rPr>
          <w:rFonts w:ascii="Times New Roman" w:hAnsi="Times New Roman" w:cs="Times New Roman"/>
          <w:snapToGrid w:val="0"/>
        </w:rPr>
        <w:t>（4）其他因素评分标准：见评审办法前附表。</w:t>
      </w:r>
    </w:p>
    <w:bookmarkEnd w:id="160"/>
    <w:p w14:paraId="19F2EC8A">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3.2.4评分。采购小组成员按照评分标准独立对供应商的商务、技术和其他内家直有评分。报价评分由采购小组统一计算。各项得分汇总后为该成员给供应商的评分总分。评分分值计算保留小数点后两位，小数点后第三位“四舍五入”。</w:t>
      </w:r>
    </w:p>
    <w:p w14:paraId="3C819C22">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3.2.5汇总。采购小组汇总每个成员对供应商的评分总分，每个供应商的评分总分的算术平均值为供应商最终得分。</w:t>
      </w:r>
    </w:p>
    <w:p w14:paraId="5094361B">
      <w:pPr>
        <w:spacing w:after="0" w:line="560" w:lineRule="exact"/>
        <w:ind w:firstLine="640" w:firstLineChars="200"/>
        <w:jc w:val="both"/>
        <w:rPr>
          <w:rFonts w:ascii="Times New Roman" w:hAnsi="Times New Roman" w:eastAsia="仿宋_GB2312" w:cs="Times New Roman"/>
          <w:snapToGrid w:val="0"/>
          <w:sz w:val="32"/>
          <w:szCs w:val="32"/>
        </w:rPr>
      </w:pPr>
      <w:bookmarkStart w:id="161" w:name="_Hlk99363057"/>
      <w:r>
        <w:rPr>
          <w:rFonts w:ascii="Times New Roman" w:hAnsi="Times New Roman" w:eastAsia="仿宋_GB2312" w:cs="Times New Roman"/>
          <w:snapToGrid w:val="0"/>
          <w:sz w:val="32"/>
          <w:szCs w:val="32"/>
        </w:rPr>
        <w:t>3.2.6采购小组对供应商最终得分进行比较后，按照供应商最终得分由高到低的顺序对供应商排序。当最终得分相等时，以评审价格低的优先；当评审价格也相等时，以技术得分高的优先；当技术得分也相等时，由采购小组投票决定。</w:t>
      </w:r>
    </w:p>
    <w:p w14:paraId="4DAFD611">
      <w:pPr>
        <w:pStyle w:val="3"/>
        <w:spacing w:before="0" w:line="560" w:lineRule="exact"/>
        <w:ind w:firstLine="643" w:firstLineChars="200"/>
        <w:jc w:val="both"/>
        <w:rPr>
          <w:rFonts w:ascii="Times New Roman" w:hAnsi="Times New Roman" w:eastAsia="仿宋_GB2312" w:cs="Times New Roman"/>
          <w:b/>
          <w:snapToGrid w:val="0"/>
          <w:color w:val="auto"/>
          <w:sz w:val="32"/>
          <w:szCs w:val="32"/>
        </w:rPr>
      </w:pPr>
      <w:bookmarkStart w:id="162" w:name="_Toc1149"/>
      <w:r>
        <w:rPr>
          <w:rFonts w:ascii="Times New Roman" w:hAnsi="Times New Roman" w:eastAsia="仿宋_GB2312" w:cs="Times New Roman"/>
          <w:b/>
          <w:snapToGrid w:val="0"/>
          <w:color w:val="auto"/>
          <w:sz w:val="32"/>
          <w:szCs w:val="32"/>
        </w:rPr>
        <w:t>4.评审结果</w:t>
      </w:r>
      <w:bookmarkEnd w:id="162"/>
    </w:p>
    <w:p w14:paraId="07BAF745">
      <w:pPr>
        <w:pStyle w:val="3"/>
        <w:spacing w:before="0" w:line="560" w:lineRule="exact"/>
        <w:ind w:firstLine="643" w:firstLineChars="200"/>
        <w:jc w:val="both"/>
        <w:outlineLvl w:val="2"/>
        <w:rPr>
          <w:rFonts w:ascii="Times New Roman" w:hAnsi="Times New Roman" w:eastAsia="仿宋_GB2312" w:cs="Times New Roman"/>
          <w:snapToGrid w:val="0"/>
          <w:color w:val="auto"/>
          <w:sz w:val="32"/>
          <w:szCs w:val="32"/>
        </w:rPr>
      </w:pPr>
      <w:bookmarkStart w:id="163" w:name="_Toc11304"/>
      <w:r>
        <w:rPr>
          <w:rFonts w:ascii="Times New Roman" w:hAnsi="Times New Roman" w:eastAsia="仿宋_GB2312" w:cs="Times New Roman"/>
          <w:b/>
          <w:snapToGrid w:val="0"/>
          <w:color w:val="auto"/>
          <w:sz w:val="32"/>
          <w:szCs w:val="32"/>
        </w:rPr>
        <w:t>4.1 提交书面评审报告</w:t>
      </w:r>
      <w:bookmarkEnd w:id="163"/>
    </w:p>
    <w:p w14:paraId="3CD94C1E">
      <w:pPr>
        <w:spacing w:after="0" w:line="560" w:lineRule="exact"/>
        <w:ind w:firstLine="640" w:firstLineChars="200"/>
        <w:jc w:val="both"/>
        <w:rPr>
          <w:rFonts w:ascii="Times New Roman" w:hAnsi="Times New Roman" w:eastAsia="仿宋_GB2312" w:cs="Times New Roman"/>
          <w:snapToGrid w:val="0"/>
          <w:sz w:val="32"/>
          <w:szCs w:val="32"/>
        </w:rPr>
      </w:pPr>
      <w:bookmarkStart w:id="164" w:name="_bookmark16"/>
      <w:bookmarkEnd w:id="164"/>
      <w:r>
        <w:rPr>
          <w:rFonts w:ascii="Times New Roman" w:hAnsi="Times New Roman" w:eastAsia="仿宋_GB2312" w:cs="Times New Roman"/>
          <w:snapToGrid w:val="0"/>
          <w:sz w:val="32"/>
          <w:szCs w:val="32"/>
        </w:rPr>
        <w:t>□采购小组应在书面评审资料中按照综合得分最高的向采购人推荐成交供应商。</w:t>
      </w:r>
    </w:p>
    <w:p w14:paraId="0A23E18C">
      <w:pPr>
        <w:spacing w:after="0" w:line="560" w:lineRule="exact"/>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lang w:eastAsia="zh-CN"/>
        </w:rPr>
        <w:t>☑</w:t>
      </w:r>
      <w:r>
        <w:rPr>
          <w:rFonts w:ascii="Times New Roman" w:hAnsi="Times New Roman" w:eastAsia="仿宋_GB2312" w:cs="Times New Roman"/>
          <w:snapToGrid w:val="0"/>
          <w:sz w:val="32"/>
          <w:szCs w:val="32"/>
        </w:rPr>
        <w:t>采购小组应在书面评审资料中按照综合得分从高到低依次向采购人推荐成交候选供应商</w:t>
      </w:r>
      <w:r>
        <w:rPr>
          <w:rFonts w:ascii="Times New Roman" w:hAnsi="Times New Roman" w:eastAsia="仿宋_GB2312" w:cs="Times New Roman"/>
          <w:snapToGrid w:val="0"/>
          <w:sz w:val="32"/>
          <w:szCs w:val="32"/>
          <w:u w:val="single"/>
        </w:rPr>
        <w:t xml:space="preserve"> 3  </w:t>
      </w:r>
      <w:r>
        <w:rPr>
          <w:rFonts w:ascii="Times New Roman" w:hAnsi="Times New Roman" w:eastAsia="仿宋_GB2312" w:cs="Times New Roman"/>
          <w:snapToGrid w:val="0"/>
          <w:sz w:val="32"/>
          <w:szCs w:val="32"/>
        </w:rPr>
        <w:t>名。</w:t>
      </w:r>
    </w:p>
    <w:bookmarkEnd w:id="161"/>
    <w:p w14:paraId="27CFE807">
      <w:pPr>
        <w:spacing w:after="0" w:line="560" w:lineRule="exact"/>
        <w:ind w:firstLine="640" w:firstLineChars="200"/>
        <w:jc w:val="both"/>
        <w:rPr>
          <w:rFonts w:ascii="Times New Roman" w:hAnsi="Times New Roman" w:eastAsia="仿宋_GB2312" w:cs="Times New Roman"/>
          <w:snapToGrid w:val="0"/>
          <w:sz w:val="32"/>
          <w:szCs w:val="32"/>
        </w:rPr>
      </w:pPr>
    </w:p>
    <w:p w14:paraId="41FEB06B">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br w:type="page"/>
      </w:r>
      <w:r>
        <w:rPr>
          <w:rFonts w:ascii="Times New Roman" w:hAnsi="Times New Roman" w:cs="Times New Roman"/>
        </w:rPr>
        <w:pict>
          <v:line id="Line 2" o:spid="_x0000_s1026" o:spt="20" style="position:absolute;left:0pt;margin-left:116.35pt;margin-top:0.35pt;height:0pt;width:478.85pt;mso-position-horizontal-relative:page;mso-position-vertical-relative:page;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">
            <v:path arrowok="t"/>
            <v:fill focussize="0,0"/>
            <v:stroke weight="0.720866141732283pt"/>
            <v:imagedata o:title=""/>
            <o:lock v:ext="edit"/>
          </v:line>
        </w:pict>
      </w:r>
    </w:p>
    <w:p w14:paraId="7F83F70A">
      <w:pPr>
        <w:pStyle w:val="2"/>
        <w:pBdr>
          <w:bottom w:val="none" w:color="auto" w:sz="0" w:space="0"/>
        </w:pBdr>
        <w:ind w:firstLine="883"/>
        <w:jc w:val="center"/>
        <w:outlineLvl w:val="9"/>
        <w:rPr>
          <w:rFonts w:ascii="Times New Roman" w:hAnsi="Times New Roman" w:eastAsia="黑体" w:cs="Times New Roman"/>
          <w:b/>
          <w:snapToGrid w:val="0"/>
          <w:color w:val="auto"/>
          <w:sz w:val="32"/>
          <w:szCs w:val="32"/>
        </w:rPr>
      </w:pPr>
      <w:bookmarkStart w:id="165" w:name="扫描0044"/>
      <w:bookmarkEnd w:id="165"/>
    </w:p>
    <w:p w14:paraId="049514F3">
      <w:pPr>
        <w:pStyle w:val="2"/>
        <w:pBdr>
          <w:bottom w:val="none" w:color="auto" w:sz="0" w:space="0"/>
        </w:pBdr>
        <w:ind w:firstLine="883"/>
        <w:jc w:val="center"/>
        <w:outlineLvl w:val="9"/>
        <w:rPr>
          <w:rFonts w:ascii="Times New Roman" w:hAnsi="Times New Roman" w:eastAsia="黑体" w:cs="Times New Roman"/>
          <w:b/>
          <w:snapToGrid w:val="0"/>
          <w:color w:val="auto"/>
          <w:sz w:val="32"/>
          <w:szCs w:val="32"/>
        </w:rPr>
      </w:pPr>
    </w:p>
    <w:p w14:paraId="1D7095C2">
      <w:pPr>
        <w:pStyle w:val="2"/>
        <w:pBdr>
          <w:bottom w:val="none" w:color="auto" w:sz="0" w:space="0"/>
        </w:pBdr>
        <w:ind w:firstLine="883"/>
        <w:jc w:val="center"/>
        <w:outlineLvl w:val="9"/>
        <w:rPr>
          <w:rFonts w:ascii="Times New Roman" w:hAnsi="Times New Roman" w:eastAsia="黑体" w:cs="Times New Roman"/>
          <w:b/>
          <w:snapToGrid w:val="0"/>
          <w:color w:val="auto"/>
          <w:sz w:val="32"/>
          <w:szCs w:val="32"/>
        </w:rPr>
      </w:pPr>
    </w:p>
    <w:p w14:paraId="75DB35FF">
      <w:pPr>
        <w:pStyle w:val="2"/>
        <w:pBdr>
          <w:bottom w:val="none" w:color="auto" w:sz="0" w:space="0"/>
        </w:pBdr>
        <w:ind w:firstLine="883"/>
        <w:jc w:val="center"/>
        <w:outlineLvl w:val="9"/>
        <w:rPr>
          <w:rFonts w:ascii="Times New Roman" w:hAnsi="Times New Roman" w:eastAsia="黑体" w:cs="Times New Roman"/>
          <w:b/>
          <w:snapToGrid w:val="0"/>
          <w:color w:val="auto"/>
          <w:sz w:val="32"/>
          <w:szCs w:val="32"/>
        </w:rPr>
      </w:pPr>
    </w:p>
    <w:p w14:paraId="1A034CEE">
      <w:pPr>
        <w:pStyle w:val="2"/>
        <w:pBdr>
          <w:bottom w:val="none" w:color="auto" w:sz="0" w:space="0"/>
        </w:pBdr>
        <w:ind w:firstLine="883"/>
        <w:jc w:val="center"/>
        <w:outlineLvl w:val="9"/>
        <w:rPr>
          <w:rFonts w:ascii="Times New Roman" w:hAnsi="Times New Roman" w:eastAsia="黑体" w:cs="Times New Roman"/>
          <w:b/>
          <w:snapToGrid w:val="0"/>
          <w:color w:val="auto"/>
          <w:sz w:val="32"/>
          <w:szCs w:val="32"/>
        </w:rPr>
      </w:pPr>
    </w:p>
    <w:p w14:paraId="332920BC">
      <w:pPr>
        <w:pStyle w:val="2"/>
        <w:pBdr>
          <w:bottom w:val="none" w:color="auto" w:sz="0" w:space="0"/>
        </w:pBdr>
        <w:ind w:firstLine="883"/>
        <w:jc w:val="center"/>
        <w:outlineLvl w:val="9"/>
        <w:rPr>
          <w:rFonts w:ascii="Times New Roman" w:hAnsi="Times New Roman" w:eastAsia="黑体" w:cs="Times New Roman"/>
          <w:b/>
          <w:snapToGrid w:val="0"/>
          <w:color w:val="auto"/>
          <w:sz w:val="32"/>
          <w:szCs w:val="32"/>
        </w:rPr>
      </w:pPr>
    </w:p>
    <w:p w14:paraId="5FB2B740">
      <w:pPr>
        <w:pStyle w:val="2"/>
        <w:pBdr>
          <w:bottom w:val="none" w:color="auto" w:sz="0" w:space="0"/>
        </w:pBdr>
        <w:ind w:firstLine="883"/>
        <w:jc w:val="center"/>
        <w:outlineLvl w:val="9"/>
        <w:rPr>
          <w:rFonts w:ascii="Times New Roman" w:hAnsi="Times New Roman" w:eastAsia="黑体" w:cs="Times New Roman"/>
          <w:b/>
          <w:snapToGrid w:val="0"/>
          <w:color w:val="auto"/>
          <w:sz w:val="32"/>
          <w:szCs w:val="32"/>
        </w:rPr>
      </w:pPr>
    </w:p>
    <w:p w14:paraId="31835D29">
      <w:pPr>
        <w:pStyle w:val="2"/>
        <w:pBdr>
          <w:bottom w:val="none" w:color="auto" w:sz="0" w:space="0"/>
        </w:pBdr>
        <w:ind w:firstLine="883"/>
        <w:jc w:val="center"/>
        <w:rPr>
          <w:rFonts w:ascii="Times New Roman" w:hAnsi="Times New Roman" w:eastAsia="黑体" w:cs="Times New Roman"/>
          <w:b/>
          <w:snapToGrid w:val="0"/>
          <w:color w:val="auto"/>
          <w:sz w:val="32"/>
          <w:szCs w:val="32"/>
        </w:rPr>
      </w:pPr>
      <w:bookmarkStart w:id="166" w:name="_Toc27270"/>
      <w:r>
        <w:rPr>
          <w:rFonts w:ascii="Times New Roman" w:hAnsi="Times New Roman" w:eastAsia="黑体" w:cs="Times New Roman"/>
          <w:b w:val="0"/>
          <w:bCs/>
          <w:snapToGrid w:val="0"/>
          <w:color w:val="auto"/>
          <w:sz w:val="32"/>
          <w:szCs w:val="32"/>
        </w:rPr>
        <w:t>第四章合同（草案）</w:t>
      </w:r>
      <w:bookmarkEnd w:id="166"/>
    </w:p>
    <w:p w14:paraId="05F508A7">
      <w:pPr>
        <w:rPr>
          <w:rFonts w:ascii="Times New Roman" w:hAnsi="Times New Roman" w:cs="Times New Roman"/>
          <w:snapToGrid w:val="0"/>
        </w:rPr>
      </w:pPr>
    </w:p>
    <w:p w14:paraId="03309D39">
      <w:pPr>
        <w:rPr>
          <w:rFonts w:ascii="Times New Roman" w:hAnsi="Times New Roman" w:cs="Times New Roman"/>
        </w:rPr>
      </w:pPr>
    </w:p>
    <w:p w14:paraId="055BB264">
      <w:pPr>
        <w:rPr>
          <w:rFonts w:ascii="Times New Roman" w:hAnsi="Times New Roman" w:cs="Times New Roman"/>
          <w:snapToGrid w:val="0"/>
        </w:rPr>
      </w:pPr>
    </w:p>
    <w:p w14:paraId="200694BE">
      <w:pPr>
        <w:rPr>
          <w:rFonts w:ascii="Times New Roman" w:hAnsi="Times New Roman" w:cs="Times New Roman"/>
          <w:snapToGrid w:val="0"/>
        </w:rPr>
      </w:pPr>
    </w:p>
    <w:p w14:paraId="6E512E4D">
      <w:pPr>
        <w:pStyle w:val="3"/>
        <w:outlineLvl w:val="9"/>
        <w:rPr>
          <w:rFonts w:ascii="Times New Roman" w:hAnsi="Times New Roman" w:cs="Times New Roman"/>
          <w:snapToGrid w:val="0"/>
        </w:rPr>
      </w:pPr>
      <w:r>
        <w:rPr>
          <w:rFonts w:ascii="Times New Roman" w:hAnsi="Times New Roman" w:cs="Times New Roman"/>
          <w:snapToGrid w:val="0"/>
        </w:rPr>
        <w:br w:type="page"/>
      </w:r>
    </w:p>
    <w:p w14:paraId="6792ABE2">
      <w:pPr>
        <w:pStyle w:val="2"/>
        <w:pBdr>
          <w:bottom w:val="none" w:color="auto" w:sz="0" w:space="0"/>
        </w:pBdr>
        <w:ind w:firstLine="883"/>
        <w:jc w:val="center"/>
        <w:outlineLvl w:val="9"/>
        <w:rPr>
          <w:rFonts w:ascii="Times New Roman" w:hAnsi="Times New Roman" w:cs="Times New Roman"/>
          <w:color w:val="auto"/>
        </w:rPr>
      </w:pPr>
      <w:bookmarkStart w:id="167" w:name="_Toc449014853"/>
      <w:bookmarkStart w:id="168" w:name="_Toc450604642"/>
      <w:bookmarkStart w:id="169" w:name="_Toc449015213"/>
      <w:bookmarkStart w:id="170" w:name="OLE_LINK18"/>
      <w:bookmarkStart w:id="171" w:name="OLE_LINK19"/>
    </w:p>
    <w:p w14:paraId="317127A4">
      <w:pPr>
        <w:pStyle w:val="2"/>
        <w:pBdr>
          <w:bottom w:val="none" w:color="auto" w:sz="0" w:space="0"/>
        </w:pBdr>
        <w:ind w:firstLine="883"/>
        <w:jc w:val="center"/>
        <w:outlineLvl w:val="9"/>
        <w:rPr>
          <w:rFonts w:ascii="Times New Roman" w:hAnsi="Times New Roman" w:cs="Times New Roman"/>
          <w:color w:val="auto"/>
        </w:rPr>
      </w:pPr>
    </w:p>
    <w:p w14:paraId="684030A8">
      <w:pPr>
        <w:pStyle w:val="2"/>
        <w:pBdr>
          <w:bottom w:val="none" w:color="auto" w:sz="0" w:space="0"/>
        </w:pBdr>
        <w:ind w:firstLine="883"/>
        <w:jc w:val="center"/>
        <w:outlineLvl w:val="9"/>
        <w:rPr>
          <w:rFonts w:ascii="Times New Roman" w:hAnsi="Times New Roman" w:cs="Times New Roman"/>
          <w:color w:val="auto"/>
        </w:rPr>
      </w:pPr>
    </w:p>
    <w:p w14:paraId="130E1989">
      <w:pPr>
        <w:pStyle w:val="2"/>
        <w:pBdr>
          <w:bottom w:val="none" w:color="auto" w:sz="0" w:space="0"/>
        </w:pBdr>
        <w:ind w:firstLine="883"/>
        <w:jc w:val="center"/>
        <w:outlineLvl w:val="9"/>
        <w:rPr>
          <w:rFonts w:ascii="Times New Roman" w:hAnsi="Times New Roman" w:cs="Times New Roman"/>
          <w:color w:val="auto"/>
        </w:rPr>
      </w:pPr>
    </w:p>
    <w:p w14:paraId="594439AE">
      <w:pPr>
        <w:pStyle w:val="2"/>
        <w:pBdr>
          <w:bottom w:val="none" w:color="auto" w:sz="0" w:space="0"/>
        </w:pBdr>
        <w:ind w:firstLine="883"/>
        <w:jc w:val="center"/>
        <w:outlineLvl w:val="1"/>
        <w:rPr>
          <w:rFonts w:ascii="Times New Roman" w:hAnsi="Times New Roman" w:cs="Times New Roman"/>
        </w:rPr>
      </w:pPr>
      <w:bookmarkStart w:id="172" w:name="_Toc17976"/>
      <w:r>
        <w:rPr>
          <w:rFonts w:ascii="Times New Roman" w:hAnsi="Times New Roman" w:cs="Times New Roman"/>
          <w:color w:val="auto"/>
        </w:rPr>
        <w:t>【</w:t>
      </w:r>
      <w:r>
        <w:rPr>
          <w:rFonts w:ascii="Times New Roman" w:hAnsi="Times New Roman" w:eastAsia="黑体" w:cs="Times New Roman"/>
          <w:color w:val="auto"/>
          <w:sz w:val="32"/>
          <w:szCs w:val="32"/>
        </w:rPr>
        <w:t>适用于技改项目、资本化项目合同</w:t>
      </w:r>
      <w:r>
        <w:rPr>
          <w:rFonts w:ascii="Times New Roman" w:hAnsi="Times New Roman" w:cs="Times New Roman"/>
          <w:color w:val="auto"/>
        </w:rPr>
        <w:t>】</w:t>
      </w:r>
      <w:bookmarkEnd w:id="167"/>
      <w:bookmarkEnd w:id="168"/>
      <w:bookmarkEnd w:id="169"/>
      <w:bookmarkEnd w:id="172"/>
    </w:p>
    <w:p w14:paraId="304FD87C">
      <w:pPr>
        <w:rPr>
          <w:rFonts w:ascii="Times New Roman" w:hAnsi="Times New Roman" w:cs="Times New Roman"/>
        </w:rPr>
      </w:pPr>
    </w:p>
    <w:p w14:paraId="3EAD04BA">
      <w:pPr>
        <w:rPr>
          <w:rFonts w:ascii="Times New Roman" w:hAnsi="Times New Roman" w:cs="Times New Roman"/>
        </w:rPr>
      </w:pPr>
    </w:p>
    <w:p w14:paraId="7569B1B8">
      <w:pPr>
        <w:spacing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中粮梁河糖业公司设备购置及土建项目-梁河糖业2024年勐养动力车间35t/h锅炉修理项目合同</w:t>
      </w:r>
    </w:p>
    <w:p w14:paraId="0CA3EA22">
      <w:pPr>
        <w:rPr>
          <w:rFonts w:ascii="Times New Roman" w:hAnsi="Times New Roman" w:cs="Times New Roman"/>
        </w:rPr>
      </w:pPr>
    </w:p>
    <w:p w14:paraId="452FEFB5">
      <w:pPr>
        <w:rPr>
          <w:rFonts w:ascii="Times New Roman" w:hAnsi="Times New Roman" w:cs="Times New Roman"/>
        </w:rPr>
      </w:pPr>
    </w:p>
    <w:p w14:paraId="752C5EF9">
      <w:pPr>
        <w:rPr>
          <w:rFonts w:ascii="Times New Roman" w:hAnsi="Times New Roman" w:cs="Times New Roman"/>
        </w:rPr>
      </w:pPr>
    </w:p>
    <w:p w14:paraId="50B48905">
      <w:pPr>
        <w:rPr>
          <w:rFonts w:ascii="Times New Roman" w:hAnsi="Times New Roman" w:cs="Times New Roman"/>
        </w:rPr>
      </w:pPr>
    </w:p>
    <w:p w14:paraId="7EEE9234">
      <w:pPr>
        <w:rPr>
          <w:rFonts w:ascii="Times New Roman" w:hAnsi="Times New Roman" w:cs="Times New Roman"/>
        </w:rPr>
      </w:pPr>
    </w:p>
    <w:p w14:paraId="14D52660">
      <w:pPr>
        <w:rPr>
          <w:rFonts w:ascii="Times New Roman" w:hAnsi="Times New Roman" w:cs="Times New Roman"/>
        </w:rPr>
      </w:pPr>
    </w:p>
    <w:p w14:paraId="33A643FD">
      <w:pPr>
        <w:rPr>
          <w:rFonts w:ascii="Times New Roman" w:hAnsi="Times New Roman" w:cs="Times New Roman"/>
        </w:rPr>
      </w:pPr>
      <w:bookmarkStart w:id="173" w:name="OLE_LINK12"/>
      <w:bookmarkStart w:id="174" w:name="OLE_LINK11"/>
    </w:p>
    <w:p w14:paraId="0D5CFD4E">
      <w:pPr>
        <w:rPr>
          <w:rFonts w:ascii="Times New Roman" w:hAnsi="Times New Roman" w:cs="Times New Roman"/>
        </w:rPr>
      </w:pPr>
    </w:p>
    <w:p w14:paraId="583D6205">
      <w:pPr>
        <w:rPr>
          <w:rFonts w:ascii="Times New Roman" w:hAnsi="Times New Roman" w:cs="Times New Roman"/>
        </w:rPr>
      </w:pPr>
    </w:p>
    <w:p w14:paraId="2DAF364A">
      <w:pPr>
        <w:ind w:firstLine="1920" w:firstLineChars="600"/>
        <w:rPr>
          <w:rFonts w:ascii="Times New Roman" w:hAnsi="Times New Roman" w:eastAsia="仿宋_GB2312" w:cs="Times New Roman"/>
          <w:sz w:val="32"/>
          <w:szCs w:val="32"/>
        </w:rPr>
      </w:pPr>
      <w:r>
        <w:rPr>
          <w:rFonts w:ascii="Times New Roman" w:hAnsi="Times New Roman" w:eastAsia="仿宋_GB2312" w:cs="Times New Roman"/>
          <w:sz w:val="32"/>
          <w:szCs w:val="32"/>
        </w:rPr>
        <w:t>甲方：中粮梁河糖业有限公司</w:t>
      </w:r>
    </w:p>
    <w:p w14:paraId="24B6815F">
      <w:pPr>
        <w:ind w:firstLine="1920" w:firstLineChars="600"/>
        <w:rPr>
          <w:rFonts w:ascii="Times New Roman" w:hAnsi="Times New Roman" w:eastAsia="仿宋_GB2312" w:cs="Times New Roman"/>
          <w:sz w:val="32"/>
          <w:szCs w:val="32"/>
        </w:rPr>
      </w:pPr>
      <w:r>
        <w:rPr>
          <w:rFonts w:ascii="Times New Roman" w:hAnsi="Times New Roman" w:eastAsia="仿宋_GB2312" w:cs="Times New Roman"/>
          <w:sz w:val="32"/>
          <w:szCs w:val="32"/>
        </w:rPr>
        <w:t>乙方：</w:t>
      </w:r>
    </w:p>
    <w:p w14:paraId="63F0E07A">
      <w:pPr>
        <w:ind w:firstLine="1920" w:firstLineChars="600"/>
        <w:rPr>
          <w:rFonts w:ascii="Times New Roman" w:hAnsi="Times New Roman" w:eastAsia="仿宋_GB2312" w:cs="Times New Roman"/>
          <w:sz w:val="32"/>
          <w:szCs w:val="32"/>
        </w:rPr>
      </w:pPr>
      <w:r>
        <w:rPr>
          <w:rFonts w:ascii="Times New Roman" w:hAnsi="Times New Roman" w:eastAsia="仿宋_GB2312" w:cs="Times New Roman"/>
          <w:sz w:val="32"/>
          <w:szCs w:val="32"/>
        </w:rPr>
        <w:t>合同编号：</w:t>
      </w:r>
    </w:p>
    <w:p w14:paraId="3BD1FA9D">
      <w:pPr>
        <w:ind w:firstLine="1920" w:firstLineChars="600"/>
        <w:rPr>
          <w:rFonts w:ascii="Times New Roman" w:hAnsi="Times New Roman" w:eastAsia="仿宋_GB2312" w:cs="Times New Roman"/>
          <w:sz w:val="32"/>
          <w:szCs w:val="32"/>
        </w:rPr>
      </w:pPr>
      <w:r>
        <w:rPr>
          <w:rFonts w:ascii="Times New Roman" w:hAnsi="Times New Roman" w:eastAsia="仿宋_GB2312" w:cs="Times New Roman"/>
          <w:sz w:val="32"/>
          <w:szCs w:val="32"/>
        </w:rPr>
        <w:t>合同签订地点：</w:t>
      </w:r>
    </w:p>
    <w:p w14:paraId="16E74DB1">
      <w:pPr>
        <w:ind w:firstLine="1920" w:firstLineChars="600"/>
        <w:rPr>
          <w:rFonts w:ascii="Times New Roman" w:hAnsi="Times New Roman" w:eastAsia="仿宋_GB2312" w:cs="Times New Roman"/>
          <w:sz w:val="32"/>
          <w:szCs w:val="32"/>
        </w:rPr>
      </w:pPr>
      <w:r>
        <w:rPr>
          <w:rFonts w:ascii="Times New Roman" w:hAnsi="Times New Roman" w:eastAsia="仿宋_GB2312" w:cs="Times New Roman"/>
          <w:sz w:val="32"/>
          <w:szCs w:val="32"/>
        </w:rPr>
        <w:t>合同签订日期：   年  月  日</w:t>
      </w:r>
      <w:r>
        <w:rPr>
          <w:rFonts w:ascii="Times New Roman" w:hAnsi="Times New Roman" w:eastAsia="仿宋_GB2312" w:cs="Times New Roman"/>
          <w:sz w:val="32"/>
          <w:szCs w:val="32"/>
        </w:rPr>
        <w:br w:type="page"/>
      </w:r>
    </w:p>
    <w:p w14:paraId="1359847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u w:val="single"/>
        </w:rPr>
        <w:t>【中粮梁河糖业公司】</w:t>
      </w:r>
      <w:r>
        <w:rPr>
          <w:rFonts w:ascii="Times New Roman" w:hAnsi="Times New Roman" w:eastAsia="仿宋_GB2312" w:cs="Times New Roman"/>
          <w:sz w:val="32"/>
          <w:szCs w:val="32"/>
        </w:rPr>
        <w:t>（以下简称甲方）与【</w:t>
      </w:r>
      <w:r>
        <w:rPr>
          <w:rFonts w:ascii="Times New Roman" w:hAnsi="Times New Roman" w:eastAsia="仿宋_GB2312" w:cs="Times New Roman"/>
          <w:sz w:val="32"/>
          <w:szCs w:val="32"/>
          <w:u w:val="single"/>
        </w:rPr>
        <w:t>XXX公司】</w:t>
      </w:r>
      <w:r>
        <w:rPr>
          <w:rFonts w:ascii="Times New Roman" w:hAnsi="Times New Roman" w:eastAsia="仿宋_GB2312" w:cs="Times New Roman"/>
          <w:sz w:val="32"/>
          <w:szCs w:val="32"/>
        </w:rPr>
        <w:t>（以下简称乙方）就乙方为</w:t>
      </w:r>
      <w:r>
        <w:rPr>
          <w:rFonts w:ascii="Times New Roman" w:hAnsi="Times New Roman" w:eastAsia="仿宋_GB2312" w:cs="Times New Roman"/>
          <w:bCs/>
          <w:color w:val="auto"/>
          <w:sz w:val="32"/>
          <w:szCs w:val="32"/>
          <w:u w:val="single"/>
        </w:rPr>
        <w:t>【</w:t>
      </w:r>
      <w:r>
        <w:rPr>
          <w:rFonts w:ascii="Times New Roman" w:hAnsi="Times New Roman" w:eastAsia="仿宋_GB2312" w:cs="Times New Roman"/>
          <w:color w:val="auto"/>
          <w:sz w:val="32"/>
          <w:szCs w:val="32"/>
          <w:u w:val="single"/>
        </w:rPr>
        <w:t>中粮梁河糖业公司设备购置及土建项目-梁河糖业2024年勐养动力车间35t/h锅炉修理</w:t>
      </w:r>
      <w:r>
        <w:rPr>
          <w:rFonts w:ascii="Times New Roman" w:hAnsi="Times New Roman" w:eastAsia="仿宋_GB2312" w:cs="Times New Roman"/>
          <w:bCs/>
          <w:color w:val="auto"/>
          <w:sz w:val="32"/>
          <w:szCs w:val="32"/>
          <w:u w:val="single"/>
        </w:rPr>
        <w:t>】项目</w:t>
      </w:r>
      <w:r>
        <w:rPr>
          <w:rFonts w:ascii="Times New Roman" w:hAnsi="Times New Roman" w:eastAsia="仿宋_GB2312" w:cs="Times New Roman"/>
          <w:sz w:val="32"/>
          <w:szCs w:val="32"/>
        </w:rPr>
        <w:t>向甲方提供的货物及工程安装服务，经甲乙双方协商一致，签订本合同，共同遵守如下条款：</w:t>
      </w:r>
    </w:p>
    <w:p w14:paraId="152A9AC7">
      <w:pPr>
        <w:spacing w:after="0" w:line="560" w:lineRule="exact"/>
        <w:ind w:firstLine="640" w:firstLineChars="200"/>
        <w:jc w:val="both"/>
        <w:outlineLvl w:val="1"/>
        <w:rPr>
          <w:rFonts w:ascii="Times New Roman" w:hAnsi="Times New Roman" w:eastAsia="黑体" w:cs="Times New Roman"/>
          <w:sz w:val="32"/>
          <w:szCs w:val="32"/>
        </w:rPr>
      </w:pPr>
      <w:bookmarkStart w:id="175" w:name="_Toc2539"/>
      <w:r>
        <w:rPr>
          <w:rFonts w:ascii="Times New Roman" w:hAnsi="Times New Roman" w:eastAsia="黑体" w:cs="Times New Roman"/>
          <w:sz w:val="32"/>
          <w:szCs w:val="32"/>
        </w:rPr>
        <w:t>一、合同标的</w:t>
      </w:r>
      <w:bookmarkEnd w:id="175"/>
    </w:p>
    <w:p w14:paraId="35BC1541">
      <w:pPr>
        <w:spacing w:after="0" w:line="560" w:lineRule="exact"/>
        <w:ind w:firstLine="640" w:firstLineChars="200"/>
        <w:jc w:val="both"/>
        <w:outlineLvl w:val="2"/>
        <w:rPr>
          <w:rFonts w:ascii="Times New Roman" w:hAnsi="Times New Roman" w:eastAsia="仿宋_GB2312" w:cs="Times New Roman"/>
          <w:b/>
          <w:sz w:val="32"/>
          <w:szCs w:val="32"/>
        </w:rPr>
      </w:pPr>
      <w:bookmarkStart w:id="176" w:name="_Toc10472"/>
      <w:r>
        <w:rPr>
          <w:rFonts w:ascii="Times New Roman" w:hAnsi="Times New Roman" w:eastAsia="仿宋_GB2312" w:cs="Times New Roman"/>
          <w:sz w:val="32"/>
          <w:szCs w:val="32"/>
        </w:rPr>
        <w:t>1.</w:t>
      </w:r>
      <w:r>
        <w:rPr>
          <w:rFonts w:ascii="Times New Roman" w:hAnsi="Times New Roman" w:eastAsia="仿宋_GB2312" w:cs="Times New Roman"/>
          <w:b/>
          <w:sz w:val="32"/>
          <w:szCs w:val="32"/>
        </w:rPr>
        <w:t>本合同标的（包括设备供货及服务）。</w:t>
      </w:r>
      <w:bookmarkEnd w:id="176"/>
    </w:p>
    <w:tbl>
      <w:tblPr>
        <w:tblStyle w:val="33"/>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128"/>
        <w:gridCol w:w="2013"/>
        <w:gridCol w:w="822"/>
        <w:gridCol w:w="596"/>
        <w:gridCol w:w="1417"/>
        <w:gridCol w:w="1559"/>
      </w:tblGrid>
      <w:tr w14:paraId="4F67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32" w:type="dxa"/>
            <w:vAlign w:val="center"/>
          </w:tcPr>
          <w:p w14:paraId="099905E7">
            <w:pPr>
              <w:rPr>
                <w:rFonts w:ascii="Times New Roman" w:hAnsi="Times New Roman" w:eastAsia="仿宋_GB2312" w:cs="Times New Roman"/>
                <w:sz w:val="28"/>
                <w:szCs w:val="28"/>
              </w:rPr>
            </w:pPr>
            <w:r>
              <w:rPr>
                <w:rFonts w:ascii="Times New Roman" w:hAnsi="Times New Roman" w:eastAsia="仿宋_GB2312" w:cs="Times New Roman"/>
                <w:sz w:val="28"/>
                <w:szCs w:val="28"/>
              </w:rPr>
              <w:t>序号</w:t>
            </w:r>
          </w:p>
        </w:tc>
        <w:tc>
          <w:tcPr>
            <w:tcW w:w="2128" w:type="dxa"/>
            <w:vAlign w:val="center"/>
          </w:tcPr>
          <w:p w14:paraId="58CDA7A0">
            <w:pPr>
              <w:rPr>
                <w:rFonts w:ascii="Times New Roman" w:hAnsi="Times New Roman" w:eastAsia="仿宋_GB2312" w:cs="Times New Roman"/>
                <w:sz w:val="28"/>
                <w:szCs w:val="28"/>
              </w:rPr>
            </w:pPr>
            <w:r>
              <w:rPr>
                <w:rFonts w:ascii="Times New Roman" w:hAnsi="Times New Roman" w:eastAsia="仿宋_GB2312" w:cs="Times New Roman"/>
                <w:sz w:val="28"/>
                <w:szCs w:val="28"/>
              </w:rPr>
              <w:t>项目名称</w:t>
            </w:r>
          </w:p>
        </w:tc>
        <w:tc>
          <w:tcPr>
            <w:tcW w:w="2013" w:type="dxa"/>
            <w:vAlign w:val="center"/>
          </w:tcPr>
          <w:p w14:paraId="1CD50BE8">
            <w:pPr>
              <w:rPr>
                <w:rFonts w:ascii="Times New Roman" w:hAnsi="Times New Roman" w:eastAsia="仿宋_GB2312" w:cs="Times New Roman"/>
                <w:sz w:val="28"/>
                <w:szCs w:val="28"/>
              </w:rPr>
            </w:pPr>
            <w:r>
              <w:rPr>
                <w:rFonts w:ascii="Times New Roman" w:hAnsi="Times New Roman" w:eastAsia="仿宋_GB2312" w:cs="Times New Roman"/>
                <w:sz w:val="28"/>
                <w:szCs w:val="28"/>
              </w:rPr>
              <w:t>规格型号</w:t>
            </w:r>
          </w:p>
        </w:tc>
        <w:tc>
          <w:tcPr>
            <w:tcW w:w="822" w:type="dxa"/>
            <w:vAlign w:val="center"/>
          </w:tcPr>
          <w:p w14:paraId="5F2A6B3A">
            <w:pPr>
              <w:rPr>
                <w:rFonts w:ascii="Times New Roman" w:hAnsi="Times New Roman" w:eastAsia="仿宋_GB2312" w:cs="Times New Roman"/>
                <w:sz w:val="28"/>
                <w:szCs w:val="28"/>
              </w:rPr>
            </w:pPr>
            <w:r>
              <w:rPr>
                <w:rFonts w:ascii="Times New Roman" w:hAnsi="Times New Roman" w:eastAsia="仿宋_GB2312" w:cs="Times New Roman"/>
                <w:sz w:val="28"/>
                <w:szCs w:val="28"/>
              </w:rPr>
              <w:t>单位</w:t>
            </w:r>
          </w:p>
        </w:tc>
        <w:tc>
          <w:tcPr>
            <w:tcW w:w="596" w:type="dxa"/>
            <w:vAlign w:val="center"/>
          </w:tcPr>
          <w:p w14:paraId="39553116">
            <w:pPr>
              <w:rPr>
                <w:rFonts w:ascii="Times New Roman" w:hAnsi="Times New Roman" w:eastAsia="仿宋_GB2312" w:cs="Times New Roman"/>
                <w:sz w:val="28"/>
                <w:szCs w:val="28"/>
              </w:rPr>
            </w:pPr>
            <w:r>
              <w:rPr>
                <w:rFonts w:ascii="Times New Roman" w:hAnsi="Times New Roman" w:eastAsia="仿宋_GB2312" w:cs="Times New Roman"/>
                <w:sz w:val="28"/>
                <w:szCs w:val="28"/>
              </w:rPr>
              <w:t>数量</w:t>
            </w:r>
          </w:p>
        </w:tc>
        <w:tc>
          <w:tcPr>
            <w:tcW w:w="1417" w:type="dxa"/>
            <w:vAlign w:val="center"/>
          </w:tcPr>
          <w:p w14:paraId="5B40EA16">
            <w:pPr>
              <w:rPr>
                <w:rFonts w:ascii="Times New Roman" w:hAnsi="Times New Roman" w:eastAsia="仿宋_GB2312" w:cs="Times New Roman"/>
                <w:sz w:val="28"/>
                <w:szCs w:val="28"/>
              </w:rPr>
            </w:pPr>
            <w:r>
              <w:rPr>
                <w:rFonts w:ascii="Times New Roman" w:hAnsi="Times New Roman" w:eastAsia="仿宋_GB2312" w:cs="Times New Roman"/>
                <w:sz w:val="28"/>
                <w:szCs w:val="28"/>
              </w:rPr>
              <w:t>金额</w:t>
            </w:r>
          </w:p>
        </w:tc>
        <w:tc>
          <w:tcPr>
            <w:tcW w:w="1559" w:type="dxa"/>
            <w:vAlign w:val="center"/>
          </w:tcPr>
          <w:p w14:paraId="135848E4">
            <w:pPr>
              <w:rPr>
                <w:rFonts w:ascii="Times New Roman" w:hAnsi="Times New Roman" w:eastAsia="仿宋_GB2312" w:cs="Times New Roman"/>
                <w:sz w:val="28"/>
                <w:szCs w:val="28"/>
              </w:rPr>
            </w:pPr>
            <w:r>
              <w:rPr>
                <w:rFonts w:ascii="Times New Roman" w:hAnsi="Times New Roman" w:eastAsia="仿宋_GB2312" w:cs="Times New Roman"/>
                <w:sz w:val="28"/>
                <w:szCs w:val="28"/>
              </w:rPr>
              <w:t>备注</w:t>
            </w:r>
          </w:p>
        </w:tc>
      </w:tr>
      <w:tr w14:paraId="172C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32" w:type="dxa"/>
            <w:vAlign w:val="center"/>
          </w:tcPr>
          <w:p w14:paraId="2621DCBF">
            <w:pPr>
              <w:rPr>
                <w:rFonts w:ascii="Times New Roman" w:hAnsi="Times New Roman" w:eastAsia="仿宋_GB2312" w:cs="Times New Roman"/>
                <w:sz w:val="28"/>
                <w:szCs w:val="28"/>
              </w:rPr>
            </w:pPr>
            <w:r>
              <w:rPr>
                <w:rFonts w:ascii="Times New Roman" w:hAnsi="Times New Roman" w:eastAsia="仿宋_GB2312" w:cs="Times New Roman"/>
                <w:sz w:val="28"/>
                <w:szCs w:val="28"/>
              </w:rPr>
              <w:t>1</w:t>
            </w:r>
          </w:p>
        </w:tc>
        <w:tc>
          <w:tcPr>
            <w:tcW w:w="2128" w:type="dxa"/>
            <w:vAlign w:val="center"/>
          </w:tcPr>
          <w:p w14:paraId="1897EBBB">
            <w:pPr>
              <w:rPr>
                <w:rFonts w:ascii="Times New Roman" w:hAnsi="Times New Roman" w:eastAsia="仿宋_GB2312" w:cs="Times New Roman"/>
                <w:color w:val="FF0000"/>
                <w:sz w:val="28"/>
                <w:szCs w:val="28"/>
              </w:rPr>
            </w:pPr>
            <w:r>
              <w:rPr>
                <w:rFonts w:hint="eastAsia" w:ascii="Times New Roman" w:hAnsi="Times New Roman" w:eastAsia="仿宋_GB2312" w:cs="Times New Roman"/>
                <w:sz w:val="28"/>
                <w:szCs w:val="28"/>
                <w:lang w:val="en-US" w:eastAsia="zh-CN"/>
              </w:rPr>
              <w:t>中粮梁河糖业公司设备购置及土建项目-</w:t>
            </w:r>
            <w:r>
              <w:rPr>
                <w:rFonts w:ascii="Times New Roman" w:hAnsi="Times New Roman" w:eastAsia="仿宋_GB2312" w:cs="Times New Roman"/>
                <w:sz w:val="28"/>
                <w:szCs w:val="28"/>
              </w:rPr>
              <w:t xml:space="preserve">梁河糖业2024年勐养动力车间35t/h锅炉修理项目 </w:t>
            </w:r>
          </w:p>
        </w:tc>
        <w:tc>
          <w:tcPr>
            <w:tcW w:w="2013" w:type="dxa"/>
            <w:vAlign w:val="center"/>
          </w:tcPr>
          <w:p w14:paraId="25EF39F0">
            <w:pPr>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WGC35/39-24 </w:t>
            </w:r>
          </w:p>
        </w:tc>
        <w:tc>
          <w:tcPr>
            <w:tcW w:w="822" w:type="dxa"/>
            <w:vAlign w:val="center"/>
          </w:tcPr>
          <w:p w14:paraId="7D53C5FB">
            <w:pPr>
              <w:rPr>
                <w:rFonts w:ascii="Times New Roman" w:hAnsi="Times New Roman" w:eastAsia="仿宋_GB2312" w:cs="Times New Roman"/>
                <w:sz w:val="28"/>
                <w:szCs w:val="28"/>
              </w:rPr>
            </w:pPr>
            <w:r>
              <w:rPr>
                <w:rFonts w:ascii="Times New Roman" w:hAnsi="Times New Roman" w:eastAsia="仿宋_GB2312" w:cs="Times New Roman"/>
                <w:sz w:val="28"/>
                <w:szCs w:val="28"/>
              </w:rPr>
              <w:t>项</w:t>
            </w:r>
          </w:p>
        </w:tc>
        <w:tc>
          <w:tcPr>
            <w:tcW w:w="596" w:type="dxa"/>
            <w:vAlign w:val="center"/>
          </w:tcPr>
          <w:p w14:paraId="59BA2461">
            <w:pPr>
              <w:rPr>
                <w:rFonts w:ascii="Times New Roman" w:hAnsi="Times New Roman" w:eastAsia="仿宋_GB2312" w:cs="Times New Roman"/>
                <w:sz w:val="28"/>
                <w:szCs w:val="28"/>
              </w:rPr>
            </w:pPr>
            <w:r>
              <w:rPr>
                <w:rFonts w:ascii="Times New Roman" w:hAnsi="Times New Roman" w:eastAsia="仿宋_GB2312" w:cs="Times New Roman"/>
                <w:sz w:val="28"/>
                <w:szCs w:val="28"/>
              </w:rPr>
              <w:t>1</w:t>
            </w:r>
          </w:p>
        </w:tc>
        <w:tc>
          <w:tcPr>
            <w:tcW w:w="1417" w:type="dxa"/>
            <w:vAlign w:val="center"/>
          </w:tcPr>
          <w:p w14:paraId="44D4170F">
            <w:pPr>
              <w:rPr>
                <w:rFonts w:ascii="Times New Roman" w:hAnsi="Times New Roman" w:eastAsia="仿宋_GB2312" w:cs="Times New Roman"/>
                <w:sz w:val="28"/>
                <w:szCs w:val="28"/>
              </w:rPr>
            </w:pPr>
          </w:p>
        </w:tc>
        <w:tc>
          <w:tcPr>
            <w:tcW w:w="1559" w:type="dxa"/>
          </w:tcPr>
          <w:p w14:paraId="2ADFB2D2">
            <w:pPr>
              <w:rPr>
                <w:rFonts w:ascii="Times New Roman" w:hAnsi="Times New Roman" w:eastAsia="仿宋_GB2312" w:cs="Times New Roman"/>
                <w:sz w:val="28"/>
                <w:szCs w:val="28"/>
              </w:rPr>
            </w:pPr>
            <w:r>
              <w:rPr>
                <w:rFonts w:ascii="Times New Roman" w:hAnsi="Times New Roman" w:eastAsia="仿宋_GB2312" w:cs="Times New Roman"/>
                <w:sz w:val="28"/>
                <w:szCs w:val="28"/>
              </w:rPr>
              <w:t>详见附件《分项清单》</w:t>
            </w:r>
          </w:p>
        </w:tc>
      </w:tr>
      <w:tr w14:paraId="2433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2660" w:type="dxa"/>
            <w:gridSpan w:val="2"/>
            <w:vAlign w:val="center"/>
          </w:tcPr>
          <w:p w14:paraId="7296EA66">
            <w:pPr>
              <w:rPr>
                <w:rFonts w:ascii="Times New Roman" w:hAnsi="Times New Roman" w:eastAsia="仿宋_GB2312" w:cs="Times New Roman"/>
                <w:sz w:val="28"/>
                <w:szCs w:val="28"/>
              </w:rPr>
            </w:pPr>
            <w:r>
              <w:rPr>
                <w:rFonts w:ascii="Times New Roman" w:hAnsi="Times New Roman" w:eastAsia="仿宋_GB2312" w:cs="Times New Roman"/>
                <w:sz w:val="28"/>
                <w:szCs w:val="28"/>
              </w:rPr>
              <w:t>合计</w:t>
            </w:r>
          </w:p>
        </w:tc>
        <w:tc>
          <w:tcPr>
            <w:tcW w:w="2013" w:type="dxa"/>
          </w:tcPr>
          <w:p w14:paraId="3E6A7445">
            <w:pPr>
              <w:rPr>
                <w:rFonts w:ascii="Times New Roman" w:hAnsi="Times New Roman" w:eastAsia="仿宋_GB2312" w:cs="Times New Roman"/>
                <w:sz w:val="28"/>
                <w:szCs w:val="28"/>
              </w:rPr>
            </w:pPr>
          </w:p>
        </w:tc>
        <w:tc>
          <w:tcPr>
            <w:tcW w:w="822" w:type="dxa"/>
          </w:tcPr>
          <w:p w14:paraId="230B2C98">
            <w:pPr>
              <w:pStyle w:val="46"/>
              <w:rPr>
                <w:rFonts w:ascii="Times New Roman" w:hAnsi="Times New Roman" w:eastAsia="仿宋_GB2312" w:cs="Times New Roman"/>
                <w:sz w:val="28"/>
                <w:szCs w:val="28"/>
              </w:rPr>
            </w:pPr>
          </w:p>
        </w:tc>
        <w:tc>
          <w:tcPr>
            <w:tcW w:w="596" w:type="dxa"/>
          </w:tcPr>
          <w:p w14:paraId="61EB7C2D">
            <w:pPr>
              <w:rPr>
                <w:rFonts w:ascii="Times New Roman" w:hAnsi="Times New Roman" w:eastAsia="仿宋_GB2312" w:cs="Times New Roman"/>
                <w:sz w:val="28"/>
                <w:szCs w:val="28"/>
              </w:rPr>
            </w:pPr>
          </w:p>
        </w:tc>
        <w:tc>
          <w:tcPr>
            <w:tcW w:w="1417" w:type="dxa"/>
            <w:vAlign w:val="center"/>
          </w:tcPr>
          <w:p w14:paraId="4260C2AE">
            <w:pPr>
              <w:rPr>
                <w:rFonts w:ascii="Times New Roman" w:hAnsi="Times New Roman" w:eastAsia="仿宋_GB2312" w:cs="Times New Roman"/>
                <w:sz w:val="28"/>
                <w:szCs w:val="28"/>
              </w:rPr>
            </w:pPr>
          </w:p>
        </w:tc>
        <w:tc>
          <w:tcPr>
            <w:tcW w:w="1559" w:type="dxa"/>
            <w:vAlign w:val="center"/>
          </w:tcPr>
          <w:p w14:paraId="14B5458D">
            <w:pPr>
              <w:rPr>
                <w:rFonts w:ascii="Times New Roman" w:hAnsi="Times New Roman" w:eastAsia="仿宋_GB2312" w:cs="Times New Roman"/>
                <w:sz w:val="28"/>
                <w:szCs w:val="28"/>
              </w:rPr>
            </w:pPr>
          </w:p>
        </w:tc>
      </w:tr>
      <w:tr w14:paraId="30DE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067" w:type="dxa"/>
            <w:gridSpan w:val="7"/>
          </w:tcPr>
          <w:p w14:paraId="3C258EA1">
            <w:pPr>
              <w:rPr>
                <w:rFonts w:ascii="Times New Roman" w:hAnsi="Times New Roman" w:eastAsia="仿宋_GB2312" w:cs="Times New Roman"/>
                <w:color w:val="FF0000"/>
                <w:sz w:val="28"/>
                <w:szCs w:val="28"/>
              </w:rPr>
            </w:pPr>
            <w:r>
              <w:rPr>
                <w:rFonts w:ascii="Times New Roman" w:hAnsi="Times New Roman" w:eastAsia="仿宋_GB2312" w:cs="Times New Roman"/>
                <w:sz w:val="28"/>
                <w:szCs w:val="28"/>
              </w:rPr>
              <w:t>总金额（含税）大写:</w:t>
            </w:r>
          </w:p>
        </w:tc>
      </w:tr>
      <w:tr w14:paraId="6BAF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7"/>
          </w:tcPr>
          <w:p w14:paraId="682B7100">
            <w:pPr>
              <w:rPr>
                <w:rFonts w:ascii="Times New Roman" w:hAnsi="Times New Roman" w:eastAsia="仿宋_GB2312" w:cs="Times New Roman"/>
                <w:sz w:val="28"/>
                <w:szCs w:val="28"/>
              </w:rPr>
            </w:pPr>
            <w:r>
              <w:rPr>
                <w:rFonts w:ascii="Times New Roman" w:hAnsi="Times New Roman" w:eastAsia="仿宋_GB2312" w:cs="Times New Roman"/>
                <w:sz w:val="28"/>
                <w:szCs w:val="28"/>
              </w:rPr>
              <w:t>1、不含税金额   元，税额    元（  %增值税专用发票）。</w:t>
            </w:r>
          </w:p>
          <w:p w14:paraId="5CC01CE5">
            <w:pPr>
              <w:rPr>
                <w:rFonts w:ascii="Times New Roman" w:hAnsi="Times New Roman" w:eastAsia="仿宋_GB2312" w:cs="Times New Roman"/>
                <w:sz w:val="28"/>
                <w:szCs w:val="28"/>
              </w:rPr>
            </w:pPr>
            <w:r>
              <w:rPr>
                <w:rFonts w:ascii="Times New Roman" w:hAnsi="Times New Roman" w:eastAsia="仿宋_GB2312" w:cs="Times New Roman"/>
                <w:sz w:val="28"/>
                <w:szCs w:val="28"/>
              </w:rPr>
              <w:t>2、费用已包含招标文件中要求的所有货物、设备或工程内容、运输、卸车、安装调试、税金、试运行、验收、服务等一切费用，甲方除本合同总金额外无需支付任何费用。</w:t>
            </w:r>
          </w:p>
          <w:p w14:paraId="68864EF7">
            <w:pPr>
              <w:rPr>
                <w:rFonts w:ascii="Times New Roman" w:hAnsi="Times New Roman" w:eastAsia="仿宋_GB2312" w:cs="Times New Roman"/>
                <w:sz w:val="28"/>
                <w:szCs w:val="28"/>
              </w:rPr>
            </w:pPr>
            <w:r>
              <w:rPr>
                <w:rFonts w:ascii="Times New Roman" w:hAnsi="Times New Roman" w:eastAsia="仿宋_GB2312" w:cs="Times New Roman"/>
                <w:color w:val="auto"/>
                <w:sz w:val="28"/>
                <w:szCs w:val="28"/>
              </w:rPr>
              <w:t>3、</w:t>
            </w:r>
            <w:r>
              <w:rPr>
                <w:rFonts w:ascii="Times New Roman" w:hAnsi="Times New Roman" w:eastAsia="仿宋_GB2312" w:cs="Times New Roman"/>
                <w:sz w:val="28"/>
                <w:szCs w:val="28"/>
              </w:rPr>
              <w:t>货物或工程名称、型号、规格数量：详见合同附件1《技术协议》。</w:t>
            </w:r>
          </w:p>
        </w:tc>
      </w:tr>
    </w:tbl>
    <w:p w14:paraId="23CEBCFB">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1.1乙方为甲方设计制造并提供系统所需的设备及材料或工程内容。乙方的所有供货及服务必须完全满足技术规格的要求，技术规格详见合同附件1《技术协议》；</w:t>
      </w:r>
    </w:p>
    <w:p w14:paraId="5496CF74">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1.2乙方向甲方提供所供设备或工程包含以下服务：设计、供货、运输（含二次运输、吊卸）、装卸、安装调试、测试验收的服务、质量保证、售后服务以及伴随服务等，伴随服务包括但不限于： </w:t>
      </w:r>
    </w:p>
    <w:p w14:paraId="3EDDF0F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（1）实施或监督所供货物或工程的现场组装施工和试运行；</w:t>
      </w:r>
    </w:p>
    <w:p w14:paraId="4808555C">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（2）提供货物或工程组装和维修所需的工具；</w:t>
      </w:r>
    </w:p>
    <w:p w14:paraId="7CF81611">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（3）为所供货物或工程的重要配件提供详细的技术资料，包括规格说明文件等；</w:t>
      </w:r>
    </w:p>
    <w:p w14:paraId="735EC47B">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（4）在双方商定的一定期限内对所供货物或工程实施运行或监督或维护或修理，但前提条件是该服务并不能免除乙方在合同保证期内所承担的义务；</w:t>
      </w:r>
    </w:p>
    <w:p w14:paraId="499FDCB8">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（5）在甲方项目现场就所供货物的组装、试运行、运行、维护和修理对甲方人员进行培训。</w:t>
      </w:r>
    </w:p>
    <w:p w14:paraId="117BF993">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1.3乙方应对本合同项下其承担的全部工作实施有效管理，以确保工作的进度符合合同附件的要求。</w:t>
      </w:r>
    </w:p>
    <w:p w14:paraId="57EDCA58">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1.4 </w:t>
      </w:r>
      <w:r>
        <w:rPr>
          <w:rFonts w:hint="default" w:ascii="Times New Roman" w:hAnsi="Times New Roman" w:eastAsia="仿宋_GB2312" w:cs="Times New Roman"/>
          <w:sz w:val="32"/>
          <w:szCs w:val="32"/>
        </w:rPr>
        <w:t>乙方作为设备供应商须配套提供与产品相关的资料，如安装图纸、</w:t>
      </w:r>
      <w:r>
        <w:rPr>
          <w:rFonts w:hint="default" w:ascii="Times New Roman" w:hAnsi="Times New Roman" w:eastAsia="仿宋_GB2312" w:cs="Times New Roman"/>
          <w:color w:val="000000" w:themeColor="text1"/>
          <w:sz w:val="32"/>
          <w:szCs w:val="32"/>
        </w:rPr>
        <w:t>产品说明书、合格证等。</w:t>
      </w:r>
      <w:r>
        <w:rPr>
          <w:rFonts w:ascii="Times New Roman" w:hAnsi="Times New Roman" w:eastAsia="仿宋_GB2312" w:cs="Times New Roman"/>
          <w:sz w:val="32"/>
          <w:szCs w:val="32"/>
        </w:rPr>
        <w:t xml:space="preserve">   </w:t>
      </w:r>
    </w:p>
    <w:p w14:paraId="2C270120">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2.为保证按时保质完工，本项目乙方施工队不少于【</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 xml:space="preserve">】人/天。            </w:t>
      </w:r>
    </w:p>
    <w:p w14:paraId="2E5FF40C">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3.具体的供货范围、技术规格及技术图纸、工程执行计划时间详见合同附件。 </w:t>
      </w:r>
    </w:p>
    <w:p w14:paraId="3DE83B3E">
      <w:pPr>
        <w:spacing w:after="0" w:line="560" w:lineRule="exact"/>
        <w:ind w:firstLine="640" w:firstLineChars="200"/>
        <w:jc w:val="both"/>
        <w:outlineLvl w:val="1"/>
        <w:rPr>
          <w:rFonts w:ascii="Times New Roman" w:hAnsi="Times New Roman" w:eastAsia="黑体" w:cs="Times New Roman"/>
          <w:sz w:val="32"/>
          <w:szCs w:val="32"/>
        </w:rPr>
      </w:pPr>
      <w:bookmarkStart w:id="177" w:name="_Toc609"/>
      <w:r>
        <w:rPr>
          <w:rFonts w:ascii="Times New Roman" w:hAnsi="Times New Roman" w:eastAsia="黑体" w:cs="Times New Roman"/>
          <w:sz w:val="32"/>
          <w:szCs w:val="32"/>
        </w:rPr>
        <w:t>二、付款</w:t>
      </w:r>
      <w:bookmarkEnd w:id="177"/>
    </w:p>
    <w:p w14:paraId="560FE941">
      <w:pPr>
        <w:spacing w:after="0" w:line="560" w:lineRule="exact"/>
        <w:ind w:firstLine="643" w:firstLineChars="200"/>
        <w:jc w:val="both"/>
        <w:outlineLvl w:val="2"/>
        <w:rPr>
          <w:rFonts w:ascii="Times New Roman" w:hAnsi="Times New Roman" w:eastAsia="仿宋_GB2312" w:cs="Times New Roman"/>
          <w:b/>
          <w:sz w:val="32"/>
          <w:szCs w:val="32"/>
        </w:rPr>
      </w:pPr>
      <w:bookmarkStart w:id="178" w:name="_Toc13464"/>
      <w:r>
        <w:rPr>
          <w:rFonts w:ascii="Times New Roman" w:hAnsi="Times New Roman" w:eastAsia="仿宋_GB2312" w:cs="Times New Roman"/>
          <w:b/>
          <w:sz w:val="32"/>
          <w:szCs w:val="32"/>
        </w:rPr>
        <w:t>1． 付款方式</w:t>
      </w:r>
      <w:bookmarkEnd w:id="178"/>
    </w:p>
    <w:p w14:paraId="37F57D9A">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1.1本合同使用货币种类为：人民币。</w:t>
      </w:r>
    </w:p>
    <w:p w14:paraId="06A08192">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1.2付款方式：    银行电汇                         </w:t>
      </w:r>
    </w:p>
    <w:p w14:paraId="23583EEC">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1.3合同款项的支付：</w:t>
      </w:r>
    </w:p>
    <w:p w14:paraId="50D00346">
      <w:pPr>
        <w:adjustRightInd w:val="0"/>
        <w:snapToGrid w:val="0"/>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1.3.1合同总额：（人民币大写）XXXX（￥XXXX元）,开具税率为   %增值税专用发票。</w:t>
      </w:r>
      <w:r>
        <w:rPr>
          <w:rFonts w:hint="eastAsia" w:ascii="仿宋_GB2312" w:hAnsi="仿宋_GB2312" w:eastAsia="仿宋_GB2312" w:cs="仿宋_GB2312"/>
          <w:bCs/>
          <w:color w:val="000000" w:themeColor="text1"/>
          <w:sz w:val="32"/>
          <w:szCs w:val="32"/>
        </w:rPr>
        <w:t>按甲方项目审计要求，合同最终付款金额以竣工结算审计结果为准，甲方在支付到合同总额60%后暂停付款，</w:t>
      </w:r>
      <w:bookmarkStart w:id="179" w:name="OLE_LINK56"/>
      <w:r>
        <w:rPr>
          <w:rFonts w:hint="eastAsia" w:ascii="仿宋_GB2312" w:hAnsi="仿宋_GB2312" w:eastAsia="仿宋_GB2312" w:cs="仿宋_GB2312"/>
          <w:bCs/>
          <w:color w:val="000000" w:themeColor="text1"/>
          <w:sz w:val="32"/>
          <w:szCs w:val="32"/>
        </w:rPr>
        <w:t>待甲方组织进行竣工结算审计，出具工程结算审核定案表后方可支付</w:t>
      </w:r>
      <w:bookmarkEnd w:id="179"/>
      <w:r>
        <w:rPr>
          <w:rFonts w:hint="eastAsia" w:ascii="仿宋_GB2312" w:hAnsi="仿宋_GB2312" w:eastAsia="仿宋_GB2312" w:cs="仿宋_GB2312"/>
          <w:bCs/>
          <w:color w:val="000000" w:themeColor="text1"/>
          <w:sz w:val="32"/>
          <w:szCs w:val="32"/>
        </w:rPr>
        <w:t>（施工单位应对其编制的竣工结算书准确性负责，如竣工结算审计核减率高</w:t>
      </w:r>
      <w:r>
        <w:rPr>
          <w:rFonts w:hint="eastAsia" w:ascii="仿宋_GB2312" w:hAnsi="仿宋_GB2312" w:eastAsia="仿宋_GB2312" w:cs="仿宋_GB2312"/>
          <w:bCs/>
          <w:sz w:val="32"/>
          <w:szCs w:val="32"/>
        </w:rPr>
        <w:t>于5%的，</w:t>
      </w:r>
      <w:r>
        <w:rPr>
          <w:rFonts w:hint="eastAsia" w:ascii="仿宋_GB2312" w:hAnsi="仿宋_GB2312" w:eastAsia="仿宋_GB2312" w:cs="仿宋_GB2312"/>
          <w:bCs/>
          <w:color w:val="000000" w:themeColor="text1"/>
          <w:sz w:val="32"/>
          <w:szCs w:val="32"/>
        </w:rPr>
        <w:t>超出5%部分的审计费用由施工单位负责）。</w:t>
      </w:r>
    </w:p>
    <w:p w14:paraId="6FD71A98">
      <w:pPr>
        <w:spacing w:after="0" w:line="560" w:lineRule="exact"/>
        <w:ind w:firstLine="640" w:firstLineChars="200"/>
        <w:jc w:val="both"/>
        <w:rPr>
          <w:rFonts w:ascii="Times New Roman" w:hAnsi="Times New Roman" w:eastAsia="仿宋_GB2312" w:cs="Times New Roman"/>
          <w:sz w:val="32"/>
          <w:szCs w:val="32"/>
        </w:rPr>
      </w:pPr>
      <w:bookmarkStart w:id="180" w:name="OLE_LINK50"/>
      <w:bookmarkStart w:id="181" w:name="OLE_LINK49"/>
      <w:r>
        <w:rPr>
          <w:rFonts w:ascii="Times New Roman" w:hAnsi="Times New Roman" w:eastAsia="仿宋_GB2312" w:cs="Times New Roman"/>
          <w:sz w:val="32"/>
          <w:szCs w:val="32"/>
        </w:rPr>
        <w:t>1.3.2</w:t>
      </w:r>
      <w:bookmarkStart w:id="182" w:name="OLE_LINK10"/>
      <w:bookmarkStart w:id="183" w:name="OLE_LINK3"/>
      <w:r>
        <w:rPr>
          <w:rFonts w:ascii="Times New Roman" w:hAnsi="Times New Roman" w:eastAsia="仿宋_GB2312" w:cs="Times New Roman"/>
          <w:sz w:val="32"/>
          <w:szCs w:val="32"/>
        </w:rPr>
        <w:t>乙方设备材料进场，经甲方验收合格后，甲方向乙方支付合同总额的【30】%，</w:t>
      </w:r>
    </w:p>
    <w:p w14:paraId="16D93211">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1.3.2设备安装调试完毕，竣工验收合格，设备经2024/2025榨季正常使用一个月后，无质量问题，甲方凭乙方开具全额X%的增值税专用发票，甲方向乙方支付合同总额的【30%】。</w:t>
      </w:r>
    </w:p>
    <w:p w14:paraId="526E397E">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1.3.3 设备使用至2024/2025榨季结束，无质量问题验收合格,甲方向乙方支付合同总额的【30%】%。</w:t>
      </w:r>
    </w:p>
    <w:p w14:paraId="0CA0F6C1">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1.3.4剩余【10】%作为质保金，于质保期(质保期自【竣工验收之日】起算，一年【12个月】) 满且设备无任何质量问题后，15个工作日内甲方无息一次性付完给乙方。</w:t>
      </w:r>
    </w:p>
    <w:bookmarkEnd w:id="180"/>
    <w:bookmarkEnd w:id="181"/>
    <w:p w14:paraId="65A9A8F7">
      <w:pPr>
        <w:spacing w:after="0" w:line="560" w:lineRule="exact"/>
        <w:ind w:firstLine="643" w:firstLineChars="200"/>
        <w:jc w:val="both"/>
        <w:outlineLvl w:val="2"/>
        <w:rPr>
          <w:rFonts w:ascii="Times New Roman" w:hAnsi="Times New Roman" w:eastAsia="仿宋_GB2312" w:cs="Times New Roman"/>
          <w:b/>
          <w:sz w:val="32"/>
          <w:szCs w:val="32"/>
        </w:rPr>
      </w:pPr>
      <w:bookmarkStart w:id="184" w:name="_Toc31809"/>
      <w:r>
        <w:rPr>
          <w:rFonts w:ascii="Times New Roman" w:hAnsi="Times New Roman" w:eastAsia="仿宋_GB2312" w:cs="Times New Roman"/>
          <w:b/>
          <w:sz w:val="32"/>
          <w:szCs w:val="32"/>
        </w:rPr>
        <w:t>2.履约保证金的交付及退还</w:t>
      </w:r>
      <w:bookmarkEnd w:id="184"/>
    </w:p>
    <w:p w14:paraId="1A3A3D64">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履约保证金为合同总价的  %，</w:t>
      </w:r>
      <w:bookmarkStart w:id="185" w:name="OLE_LINK20"/>
      <w:bookmarkStart w:id="186" w:name="OLE_LINK21"/>
      <w:r>
        <w:rPr>
          <w:rFonts w:ascii="Times New Roman" w:hAnsi="Times New Roman" w:eastAsia="仿宋_GB2312" w:cs="Times New Roman"/>
          <w:sz w:val="32"/>
          <w:szCs w:val="32"/>
        </w:rPr>
        <w:t>金额：（人民币大写）XXXX元整（￥XXXX元）</w:t>
      </w:r>
      <w:bookmarkEnd w:id="185"/>
      <w:bookmarkEnd w:id="186"/>
      <w:r>
        <w:rPr>
          <w:rFonts w:ascii="Times New Roman" w:hAnsi="Times New Roman" w:eastAsia="仿宋_GB2312" w:cs="Times New Roman"/>
          <w:sz w:val="32"/>
          <w:szCs w:val="32"/>
        </w:rPr>
        <w:t>。</w:t>
      </w:r>
      <w:bookmarkEnd w:id="182"/>
      <w:bookmarkEnd w:id="183"/>
      <w:r>
        <w:rPr>
          <w:rFonts w:ascii="Times New Roman" w:hAnsi="Times New Roman" w:eastAsia="仿宋_GB2312" w:cs="Times New Roman"/>
          <w:sz w:val="32"/>
          <w:szCs w:val="32"/>
        </w:rPr>
        <w:t>乙方收到中标通知书至合同签订前向甲方缴纳履约保证金。甲方于项目竣工且验收合格后30个工作日内将全额履约保证金无息退还给乙方。</w:t>
      </w:r>
    </w:p>
    <w:p w14:paraId="69686A4F">
      <w:pPr>
        <w:spacing w:after="0" w:line="560" w:lineRule="exact"/>
        <w:ind w:firstLine="643" w:firstLineChars="200"/>
        <w:jc w:val="both"/>
        <w:outlineLvl w:val="2"/>
        <w:rPr>
          <w:rFonts w:ascii="Times New Roman" w:hAnsi="Times New Roman" w:eastAsia="仿宋_GB2312" w:cs="Times New Roman"/>
          <w:b/>
          <w:sz w:val="32"/>
          <w:szCs w:val="32"/>
        </w:rPr>
      </w:pPr>
      <w:bookmarkStart w:id="187" w:name="_Toc31691"/>
      <w:r>
        <w:rPr>
          <w:rFonts w:ascii="Times New Roman" w:hAnsi="Times New Roman" w:eastAsia="仿宋_GB2312" w:cs="Times New Roman"/>
          <w:b/>
          <w:sz w:val="32"/>
          <w:szCs w:val="32"/>
        </w:rPr>
        <w:t>3.扣除</w:t>
      </w:r>
      <w:bookmarkEnd w:id="187"/>
    </w:p>
    <w:p w14:paraId="68DF22F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根据本合同的规定，如果乙方有赔偿和/或支付违约金的责任，则甲方有权从上述任何一笔未付款中扣除相应金额。</w:t>
      </w:r>
    </w:p>
    <w:p w14:paraId="66D5E27F">
      <w:pPr>
        <w:spacing w:after="0" w:line="560" w:lineRule="exact"/>
        <w:ind w:firstLine="640" w:firstLineChars="200"/>
        <w:jc w:val="both"/>
        <w:outlineLvl w:val="1"/>
        <w:rPr>
          <w:rFonts w:ascii="Times New Roman" w:hAnsi="Times New Roman" w:eastAsia="仿宋_GB2312" w:cs="Times New Roman"/>
          <w:b/>
          <w:sz w:val="32"/>
          <w:szCs w:val="32"/>
        </w:rPr>
      </w:pPr>
      <w:bookmarkStart w:id="188" w:name="_Toc25928"/>
      <w:r>
        <w:rPr>
          <w:rFonts w:ascii="Times New Roman" w:hAnsi="Times New Roman" w:eastAsia="黑体" w:cs="Times New Roman"/>
          <w:sz w:val="32"/>
          <w:szCs w:val="32"/>
        </w:rPr>
        <w:t>三、铭牌及标准</w:t>
      </w:r>
      <w:bookmarkEnd w:id="188"/>
    </w:p>
    <w:p w14:paraId="50177E5F">
      <w:pPr>
        <w:spacing w:after="0" w:line="560" w:lineRule="exact"/>
        <w:ind w:firstLine="643" w:firstLineChars="200"/>
        <w:jc w:val="both"/>
        <w:outlineLvl w:val="2"/>
        <w:rPr>
          <w:rFonts w:ascii="Times New Roman" w:hAnsi="Times New Roman" w:eastAsia="仿宋_GB2312" w:cs="Times New Roman"/>
          <w:b/>
          <w:sz w:val="32"/>
          <w:szCs w:val="32"/>
        </w:rPr>
      </w:pPr>
      <w:bookmarkStart w:id="189" w:name="_Toc28018"/>
      <w:r>
        <w:rPr>
          <w:rFonts w:ascii="Times New Roman" w:hAnsi="Times New Roman" w:eastAsia="仿宋_GB2312" w:cs="Times New Roman"/>
          <w:b/>
          <w:sz w:val="32"/>
          <w:szCs w:val="32"/>
        </w:rPr>
        <w:t>1.铭牌</w:t>
      </w:r>
      <w:bookmarkEnd w:id="189"/>
    </w:p>
    <w:p w14:paraId="3CE6EC34">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铭牌至少应该有下列内容（包括但不限于此）：设备名称、规格型号、制作厂家、主要技术参数、出厂年份、 出厂编号等。</w:t>
      </w:r>
    </w:p>
    <w:p w14:paraId="05A8BCE3">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2．标准：本合同所指的货物或工程及服务应符合相关国家行业标准、制造国国家标准及本合同约定标准。</w:t>
      </w:r>
    </w:p>
    <w:p w14:paraId="7108C274">
      <w:pPr>
        <w:spacing w:after="0" w:line="560" w:lineRule="exact"/>
        <w:ind w:firstLine="640" w:firstLineChars="200"/>
        <w:jc w:val="both"/>
        <w:outlineLvl w:val="1"/>
        <w:rPr>
          <w:rFonts w:ascii="Times New Roman" w:hAnsi="Times New Roman" w:eastAsia="仿宋_GB2312" w:cs="Times New Roman"/>
          <w:b/>
          <w:sz w:val="32"/>
          <w:szCs w:val="32"/>
        </w:rPr>
      </w:pPr>
      <w:bookmarkStart w:id="190" w:name="_Toc20546"/>
      <w:r>
        <w:rPr>
          <w:rFonts w:ascii="Times New Roman" w:hAnsi="Times New Roman" w:eastAsia="黑体" w:cs="Times New Roman"/>
          <w:sz w:val="32"/>
          <w:szCs w:val="32"/>
        </w:rPr>
        <w:t>四、交货及完工时间</w:t>
      </w:r>
      <w:bookmarkEnd w:id="190"/>
    </w:p>
    <w:p w14:paraId="6C562CD6">
      <w:pPr>
        <w:spacing w:after="0"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sz w:val="32"/>
          <w:szCs w:val="32"/>
        </w:rPr>
        <w:t>1．交货地点：</w:t>
      </w:r>
      <w:r>
        <w:rPr>
          <w:rFonts w:ascii="Times New Roman" w:hAnsi="Times New Roman" w:eastAsia="仿宋_GB2312" w:cs="Times New Roman"/>
          <w:sz w:val="32"/>
          <w:szCs w:val="32"/>
          <w:u w:val="single"/>
        </w:rPr>
        <w:t>梁河糖业勐养工厂动力车间锅炉房。</w:t>
      </w:r>
    </w:p>
    <w:p w14:paraId="52B21EF3">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2.设备交货时间：</w:t>
      </w:r>
      <w:r>
        <w:rPr>
          <w:rFonts w:ascii="Times New Roman" w:hAnsi="Times New Roman" w:eastAsia="仿宋_GB2312" w:cs="Times New Roman"/>
          <w:sz w:val="32"/>
          <w:szCs w:val="32"/>
          <w:u w:val="single"/>
        </w:rPr>
        <w:t xml:space="preserve"> 合同签订后</w:t>
      </w:r>
      <w:r>
        <w:rPr>
          <w:rFonts w:hint="eastAsia" w:ascii="Times New Roman" w:hAnsi="Times New Roman" w:eastAsia="仿宋_GB2312" w:cs="Times New Roman"/>
          <w:sz w:val="32"/>
          <w:szCs w:val="32"/>
          <w:u w:val="single"/>
          <w:lang w:val="en-US" w:eastAsia="zh-CN"/>
        </w:rPr>
        <w:t>3</w:t>
      </w:r>
      <w:r>
        <w:rPr>
          <w:rFonts w:ascii="Times New Roman" w:hAnsi="Times New Roman" w:eastAsia="仿宋_GB2312" w:cs="Times New Roman"/>
          <w:sz w:val="32"/>
          <w:szCs w:val="32"/>
          <w:u w:val="single"/>
        </w:rPr>
        <w:t>0日历天内  。</w:t>
      </w:r>
    </w:p>
    <w:p w14:paraId="1D247D0B">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3．乙方在按期收到甲方通知后，按本合同第一条要求的交货时间将货物运至合同交货地点卸货后（连同货物清单）交于甲方。</w:t>
      </w:r>
    </w:p>
    <w:p w14:paraId="3FDE1F17">
      <w:pPr>
        <w:spacing w:after="0"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sz w:val="32"/>
          <w:szCs w:val="32"/>
        </w:rPr>
        <w:t>4.完工时间：</w:t>
      </w:r>
      <w:r>
        <w:rPr>
          <w:rFonts w:ascii="Times New Roman" w:hAnsi="Times New Roman" w:eastAsia="仿宋_GB2312" w:cs="Times New Roman"/>
          <w:sz w:val="32"/>
          <w:szCs w:val="32"/>
        </w:rPr>
        <w:t>【合同签订后</w:t>
      </w:r>
      <w:r>
        <w:rPr>
          <w:rFonts w:hint="eastAsia" w:ascii="Times New Roman" w:hAnsi="Times New Roman" w:eastAsia="仿宋_GB2312" w:cs="Times New Roman"/>
          <w:sz w:val="32"/>
          <w:szCs w:val="32"/>
          <w:lang w:val="en-US" w:eastAsia="zh-CN"/>
        </w:rPr>
        <w:t>75</w:t>
      </w:r>
      <w:r>
        <w:rPr>
          <w:rFonts w:ascii="Times New Roman" w:hAnsi="Times New Roman" w:eastAsia="仿宋_GB2312" w:cs="Times New Roman"/>
          <w:sz w:val="32"/>
          <w:szCs w:val="32"/>
        </w:rPr>
        <w:t>日历天内】。因不可抗力或经甲方同意，工期可顺延。</w:t>
      </w:r>
    </w:p>
    <w:p w14:paraId="231312BD">
      <w:pPr>
        <w:spacing w:after="0"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sz w:val="32"/>
          <w:szCs w:val="32"/>
        </w:rPr>
        <w:t>5.</w:t>
      </w:r>
      <w:r>
        <w:rPr>
          <w:rFonts w:ascii="Times New Roman" w:hAnsi="Times New Roman" w:eastAsia="仿宋_GB2312" w:cs="Times New Roman"/>
          <w:sz w:val="32"/>
          <w:szCs w:val="32"/>
        </w:rPr>
        <w:t>运输费用已含在合同总价款内由乙方承担。因运输过程造成的货物损坏或丢失，均由乙方负责修复或补齐，且交货期不能影响工期。</w:t>
      </w:r>
    </w:p>
    <w:p w14:paraId="2478413E">
      <w:pPr>
        <w:spacing w:after="0" w:line="560" w:lineRule="exact"/>
        <w:ind w:firstLine="643" w:firstLineChars="200"/>
        <w:jc w:val="both"/>
        <w:outlineLvl w:val="2"/>
        <w:rPr>
          <w:rFonts w:ascii="Times New Roman" w:hAnsi="Times New Roman" w:eastAsia="仿宋_GB2312" w:cs="Times New Roman"/>
          <w:b/>
          <w:sz w:val="32"/>
          <w:szCs w:val="32"/>
        </w:rPr>
      </w:pPr>
      <w:bookmarkStart w:id="191" w:name="_Toc6745"/>
      <w:r>
        <w:rPr>
          <w:rFonts w:ascii="Times New Roman" w:hAnsi="Times New Roman" w:eastAsia="仿宋_GB2312" w:cs="Times New Roman"/>
          <w:b/>
          <w:sz w:val="32"/>
          <w:szCs w:val="32"/>
        </w:rPr>
        <w:t>6.货物包装、发运及运输</w:t>
      </w:r>
      <w:bookmarkEnd w:id="191"/>
    </w:p>
    <w:p w14:paraId="62469730">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6.1乙方应在货物发运前对其进行满足于运输距离、防潮、防震、防锈和防破损装卸要求的包装，以保证货物安全运输到达甲方指定地点。</w:t>
      </w:r>
    </w:p>
    <w:p w14:paraId="0A2AE542">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6.2使用说明书、随配附件和工具以及清单等一并附于货物内。</w:t>
      </w:r>
    </w:p>
    <w:p w14:paraId="78A4A51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6.3货物在交货前发生的不可预见的风险均由乙方负责。</w:t>
      </w:r>
    </w:p>
    <w:p w14:paraId="70D21125">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6.4乙方在货物发运手续办理完毕后24小时内或货到前48小时通知甲方，以准备接货。</w:t>
      </w:r>
    </w:p>
    <w:p w14:paraId="18267EF0">
      <w:pPr>
        <w:spacing w:after="0" w:line="560" w:lineRule="exact"/>
        <w:ind w:firstLine="640" w:firstLineChars="200"/>
        <w:jc w:val="both"/>
        <w:outlineLvl w:val="1"/>
        <w:rPr>
          <w:rFonts w:ascii="Times New Roman" w:hAnsi="Times New Roman" w:eastAsia="仿宋_GB2312" w:cs="Times New Roman"/>
          <w:b/>
          <w:sz w:val="32"/>
          <w:szCs w:val="32"/>
        </w:rPr>
      </w:pPr>
      <w:bookmarkStart w:id="192" w:name="_Toc30516"/>
      <w:r>
        <w:rPr>
          <w:rFonts w:ascii="Times New Roman" w:hAnsi="Times New Roman" w:eastAsia="黑体" w:cs="Times New Roman"/>
          <w:sz w:val="32"/>
          <w:szCs w:val="32"/>
        </w:rPr>
        <w:t>五、验收、质量保证</w:t>
      </w:r>
      <w:bookmarkEnd w:id="192"/>
    </w:p>
    <w:p w14:paraId="2AC4DEA0">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1.乙方交货前应对产品做出全面检查和对验收文件进行整理列出清单，作为甲方收货验收和使用的技术条件依据，检验的结果证明文件应随货物交甲方。</w:t>
      </w:r>
    </w:p>
    <w:p w14:paraId="44B51A5C">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2.甲方对乙方所交货物依照本协议技术规格要求和国家（设备制造国）有关标准进行现场验收，性能达到技术要求的，给予签收。验收不合格的不予签收，后果由乙方负责。</w:t>
      </w:r>
    </w:p>
    <w:p w14:paraId="6CE16D19">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3.甲方应在货到指定地点安装调试完毕之日起五个工作日内验收完毕，并作出验收结果报告。验收时乙方必须在现场。</w:t>
      </w:r>
    </w:p>
    <w:p w14:paraId="6ABB484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4. 乙方提供货物的质量保证按招标文件的规定执行。在保证期内因货物本身的质量问题发生故障，乙方应负责免费修理和更换零部件。对达不到技术要求的，根据实际情况，经双方协商，可按以下办法处理：</w:t>
      </w:r>
    </w:p>
    <w:p w14:paraId="5A633FDF">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更换：由乙方承担所发生的全部费用；</w:t>
      </w:r>
    </w:p>
    <w:p w14:paraId="7EDFF98C">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贬值处理：由甲乙双方合议定价；</w:t>
      </w:r>
    </w:p>
    <w:p w14:paraId="00B16691">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退货处理：乙方应退还甲方支付的货物款，同时应承担该货物的直接费用(运输、保险、检验及银行手续费等)。</w:t>
      </w:r>
    </w:p>
    <w:p w14:paraId="6C1FE8BC">
      <w:pPr>
        <w:spacing w:after="0" w:line="560" w:lineRule="exact"/>
        <w:ind w:firstLine="640" w:firstLineChars="200"/>
        <w:jc w:val="both"/>
        <w:outlineLvl w:val="2"/>
        <w:rPr>
          <w:rFonts w:ascii="Times New Roman" w:hAnsi="Times New Roman" w:eastAsia="仿宋_GB2312" w:cs="Times New Roman"/>
          <w:sz w:val="32"/>
          <w:szCs w:val="32"/>
        </w:rPr>
      </w:pPr>
      <w:bookmarkStart w:id="193" w:name="_Toc14128"/>
      <w:r>
        <w:rPr>
          <w:rFonts w:ascii="Times New Roman" w:hAnsi="Times New Roman" w:eastAsia="仿宋_GB2312" w:cs="Times New Roman"/>
          <w:sz w:val="32"/>
          <w:szCs w:val="32"/>
        </w:rPr>
        <w:t>4.其他验收要求见合同附件、招标文件、投标文件。</w:t>
      </w:r>
      <w:bookmarkEnd w:id="193"/>
    </w:p>
    <w:p w14:paraId="267C3097">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5. 如在使用过程中发生质量问题，乙方在接到甲方通知后按所承诺的时间内到达甲方现场处理，乙方应对货物出现的所有质量及安全问题负责处理解决。</w:t>
      </w:r>
    </w:p>
    <w:p w14:paraId="7E0325D3">
      <w:pPr>
        <w:spacing w:after="0" w:line="560" w:lineRule="exact"/>
        <w:ind w:firstLine="640" w:firstLineChars="200"/>
        <w:jc w:val="both"/>
        <w:outlineLvl w:val="1"/>
        <w:rPr>
          <w:rFonts w:ascii="Times New Roman" w:hAnsi="Times New Roman" w:eastAsia="仿宋_GB2312" w:cs="Times New Roman"/>
          <w:b/>
          <w:sz w:val="32"/>
          <w:szCs w:val="32"/>
        </w:rPr>
      </w:pPr>
      <w:bookmarkStart w:id="194" w:name="_Toc7111"/>
      <w:r>
        <w:rPr>
          <w:rFonts w:ascii="Times New Roman" w:hAnsi="Times New Roman" w:eastAsia="黑体" w:cs="Times New Roman"/>
          <w:sz w:val="32"/>
          <w:szCs w:val="32"/>
        </w:rPr>
        <w:t>六、违约责任</w:t>
      </w:r>
      <w:bookmarkEnd w:id="194"/>
    </w:p>
    <w:p w14:paraId="37C72D5A">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 由于乙方原因项目质量未达约定要求，乙方应无条件返工，返工费用和因此而造成的经济损失由乙方承担，由此工期延误的，乙方还应按本条第3款承担逾期违约责任。</w:t>
      </w:r>
    </w:p>
    <w:p w14:paraId="5BCE903C">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 因乙方施工管理不善导致的人身损害或财产损失等安全问题，造成的经济损失由乙方承担。</w:t>
      </w:r>
    </w:p>
    <w:p w14:paraId="499ED895">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乙方逾期竣工的，工期逾期&lt;10天的，乙方向甲方支付违约金【1000】元/天。工期逾期≥10天的，10天（含）以上部分，乙方向甲方支付约金4000元/天。逾期≥15天，甲方有权单方解除合同，双方据实结算，乙方应按合同总价的20%支付甲方违约金，并赔偿由此造成的甲方所有损失。</w:t>
      </w:r>
    </w:p>
    <w:p w14:paraId="526C4733">
      <w:pPr>
        <w:spacing w:after="0" w:line="560" w:lineRule="exact"/>
        <w:ind w:firstLine="640" w:firstLineChars="200"/>
        <w:jc w:val="both"/>
        <w:outlineLvl w:val="1"/>
        <w:rPr>
          <w:rFonts w:ascii="Times New Roman" w:hAnsi="Times New Roman" w:eastAsia="仿宋_GB2312" w:cs="Times New Roman"/>
          <w:b/>
          <w:sz w:val="32"/>
          <w:szCs w:val="32"/>
        </w:rPr>
      </w:pPr>
      <w:bookmarkStart w:id="195" w:name="_Toc18385"/>
      <w:r>
        <w:rPr>
          <w:rFonts w:ascii="Times New Roman" w:hAnsi="Times New Roman" w:eastAsia="黑体" w:cs="Times New Roman"/>
          <w:sz w:val="32"/>
          <w:szCs w:val="32"/>
        </w:rPr>
        <w:t>七、不可抗力事件处理</w:t>
      </w:r>
      <w:bookmarkEnd w:id="195"/>
    </w:p>
    <w:p w14:paraId="0A4AA25A">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1.在合同有效期限内，任何一方因不可抗力事件导致不能履行合同，则合同履行期可延长，其延长期与不可抗力影响期相同。由于不可抗力事件导致合同根本目的不能实现时，一方可解除合同。</w:t>
      </w:r>
    </w:p>
    <w:p w14:paraId="441C4355">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2.不可抗力事件发生后，应立即通知对方，并寄送有关权威机构出具的证明。</w:t>
      </w:r>
    </w:p>
    <w:p w14:paraId="5B3BF80F">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3.不可抗力事件延续25天以上，双方应通过友好协商，确定是否继续履行合同。</w:t>
      </w:r>
    </w:p>
    <w:p w14:paraId="49060DAC">
      <w:pPr>
        <w:spacing w:after="0" w:line="560" w:lineRule="exact"/>
        <w:ind w:firstLine="640" w:firstLineChars="200"/>
        <w:jc w:val="both"/>
        <w:outlineLvl w:val="1"/>
        <w:rPr>
          <w:rFonts w:ascii="Times New Roman" w:hAnsi="Times New Roman" w:eastAsia="仿宋_GB2312" w:cs="Times New Roman"/>
          <w:b/>
          <w:sz w:val="32"/>
          <w:szCs w:val="32"/>
        </w:rPr>
      </w:pPr>
      <w:bookmarkStart w:id="196" w:name="_Toc8183"/>
      <w:r>
        <w:rPr>
          <w:rFonts w:ascii="Times New Roman" w:hAnsi="Times New Roman" w:eastAsia="黑体" w:cs="Times New Roman"/>
          <w:sz w:val="32"/>
          <w:szCs w:val="32"/>
        </w:rPr>
        <w:t>八、合同争议的解决</w:t>
      </w:r>
      <w:bookmarkEnd w:id="196"/>
    </w:p>
    <w:p w14:paraId="177D7C22">
      <w:pPr>
        <w:spacing w:after="0" w:line="560" w:lineRule="exact"/>
        <w:ind w:firstLine="640" w:firstLineChars="200"/>
        <w:jc w:val="both"/>
        <w:outlineLvl w:val="2"/>
        <w:rPr>
          <w:rFonts w:ascii="Times New Roman" w:hAnsi="Times New Roman" w:eastAsia="仿宋_GB2312" w:cs="Times New Roman"/>
          <w:sz w:val="32"/>
          <w:szCs w:val="32"/>
        </w:rPr>
      </w:pPr>
      <w:bookmarkStart w:id="197" w:name="_Toc1448"/>
      <w:r>
        <w:rPr>
          <w:rFonts w:ascii="Times New Roman" w:hAnsi="Times New Roman" w:eastAsia="仿宋_GB2312" w:cs="Times New Roman"/>
          <w:sz w:val="32"/>
          <w:szCs w:val="32"/>
        </w:rPr>
        <w:t>1.本合同适用法律为中华人民共和国有关法律。</w:t>
      </w:r>
      <w:bookmarkEnd w:id="197"/>
    </w:p>
    <w:p w14:paraId="18CE6404">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2.凡与本合同有关的一切争议，双方应友好协商解决，协商不能达成一致时，应向甲方所在地人民法院提起诉讼。诉讼费、律师代理费、交通费等相关费用由违约方承担。</w:t>
      </w:r>
    </w:p>
    <w:p w14:paraId="65DB7BA7">
      <w:pPr>
        <w:spacing w:after="0" w:line="560" w:lineRule="exact"/>
        <w:ind w:firstLine="640" w:firstLineChars="200"/>
        <w:jc w:val="both"/>
        <w:outlineLvl w:val="1"/>
        <w:rPr>
          <w:rFonts w:ascii="Times New Roman" w:hAnsi="Times New Roman" w:eastAsia="仿宋_GB2312" w:cs="Times New Roman"/>
          <w:b/>
          <w:sz w:val="32"/>
          <w:szCs w:val="32"/>
        </w:rPr>
      </w:pPr>
      <w:bookmarkStart w:id="198" w:name="_Toc16728"/>
      <w:r>
        <w:rPr>
          <w:rFonts w:ascii="Times New Roman" w:hAnsi="Times New Roman" w:eastAsia="黑体" w:cs="Times New Roman"/>
          <w:sz w:val="32"/>
          <w:szCs w:val="32"/>
        </w:rPr>
        <w:t>九、知识产权</w:t>
      </w:r>
      <w:bookmarkEnd w:id="198"/>
    </w:p>
    <w:p w14:paraId="31839CAA">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乙方应保证所提供的货物或其任何一部分均不会侵犯任何第三方的专利权、商标权或著作权，否则承担由此给甲方造成的一切损失。</w:t>
      </w:r>
    </w:p>
    <w:p w14:paraId="3B5C2B85">
      <w:pPr>
        <w:spacing w:after="0" w:line="560" w:lineRule="exact"/>
        <w:ind w:firstLine="640" w:firstLineChars="200"/>
        <w:jc w:val="both"/>
        <w:outlineLvl w:val="1"/>
        <w:rPr>
          <w:rFonts w:ascii="Times New Roman" w:hAnsi="Times New Roman" w:eastAsia="仿宋_GB2312" w:cs="Times New Roman"/>
          <w:b/>
          <w:sz w:val="32"/>
          <w:szCs w:val="32"/>
        </w:rPr>
      </w:pPr>
      <w:bookmarkStart w:id="199" w:name="_Toc25197"/>
      <w:r>
        <w:rPr>
          <w:rFonts w:ascii="Times New Roman" w:hAnsi="Times New Roman" w:eastAsia="黑体" w:cs="Times New Roman"/>
          <w:sz w:val="32"/>
          <w:szCs w:val="32"/>
        </w:rPr>
        <w:t>十、合同生效及其它</w:t>
      </w:r>
      <w:bookmarkEnd w:id="199"/>
    </w:p>
    <w:p w14:paraId="15AD053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1.本合同由双方法定代表人或其委托代表人签字加盖合同章之日起生效，本合同壹式【肆】份，甲方执【贰】份，乙方执【贰】份。</w:t>
      </w:r>
    </w:p>
    <w:p w14:paraId="18813B29">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2.没有另一方的事先同意，合同任何一方不得将合同项下的任何权利和义务转让给第三方。</w:t>
      </w:r>
    </w:p>
    <w:p w14:paraId="4C49F75B">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3.合同履行中，如需修改或补充合同内容（但不能对本合同的内容作实质的改变），由双方协商另签署书面修改或补充协议并作为主合同不可分割的一部分。</w:t>
      </w:r>
    </w:p>
    <w:p w14:paraId="538974CE">
      <w:pPr>
        <w:spacing w:after="0" w:line="560" w:lineRule="exact"/>
        <w:ind w:firstLine="640" w:firstLineChars="200"/>
        <w:jc w:val="both"/>
        <w:outlineLvl w:val="1"/>
        <w:rPr>
          <w:rFonts w:ascii="Times New Roman" w:hAnsi="Times New Roman" w:eastAsia="仿宋_GB2312" w:cs="Times New Roman"/>
          <w:b/>
          <w:sz w:val="32"/>
          <w:szCs w:val="32"/>
        </w:rPr>
      </w:pPr>
      <w:bookmarkStart w:id="200" w:name="_Toc29554"/>
      <w:r>
        <w:rPr>
          <w:rFonts w:ascii="Times New Roman" w:hAnsi="Times New Roman" w:eastAsia="黑体" w:cs="Times New Roman"/>
          <w:sz w:val="32"/>
          <w:szCs w:val="32"/>
        </w:rPr>
        <w:t>十一、组成合同的文件</w:t>
      </w:r>
      <w:bookmarkEnd w:id="200"/>
    </w:p>
    <w:p w14:paraId="629EAA0E">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组成本合同的文件及效力等级如下：</w:t>
      </w:r>
    </w:p>
    <w:p w14:paraId="3B37A943">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1．合同</w:t>
      </w:r>
    </w:p>
    <w:p w14:paraId="00CE378C">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2．合同附件一：技术协议书</w:t>
      </w:r>
    </w:p>
    <w:p w14:paraId="0BF0B2C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3．合同附件二：廉洁协议书</w:t>
      </w:r>
    </w:p>
    <w:p w14:paraId="6B99A511">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4．合同附件三：环保协议书</w:t>
      </w:r>
    </w:p>
    <w:p w14:paraId="736FA249">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5．合同附件四：安全协议书</w:t>
      </w:r>
    </w:p>
    <w:p w14:paraId="159CFCF1">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6.  合同附件五：设备安装质量规范要求（如有）</w:t>
      </w:r>
    </w:p>
    <w:tbl>
      <w:tblPr>
        <w:tblStyle w:val="33"/>
        <w:tblpPr w:leftFromText="180" w:rightFromText="180" w:vertAnchor="text" w:horzAnchor="margin" w:tblpXSpec="center" w:tblpY="25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1"/>
        <w:gridCol w:w="4668"/>
      </w:tblGrid>
      <w:tr w14:paraId="18A0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0" w:hRule="atLeast"/>
        </w:trPr>
        <w:tc>
          <w:tcPr>
            <w:tcW w:w="4371" w:type="dxa"/>
            <w:tcBorders>
              <w:bottom w:val="single" w:color="auto" w:sz="4" w:space="0"/>
            </w:tcBorders>
          </w:tcPr>
          <w:p w14:paraId="115446D6">
            <w:pPr>
              <w:spacing w:after="0" w:line="240" w:lineRule="auto"/>
              <w:ind w:firstLine="600" w:firstLineChars="200"/>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甲方</w:t>
            </w:r>
          </w:p>
          <w:p w14:paraId="0B10ED4A">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单位名称：中粮梁河糖业有限公司</w:t>
            </w:r>
          </w:p>
          <w:p w14:paraId="0E2DB1DC">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单位地址：云南省德宏州梁河县勐养镇中营村委会党良街（原勐养糖厂内）</w:t>
            </w:r>
          </w:p>
          <w:p w14:paraId="13F537E6">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法定代表人：</w:t>
            </w:r>
          </w:p>
          <w:p w14:paraId="752DA1A0">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委托代理人：</w:t>
            </w:r>
          </w:p>
          <w:p w14:paraId="70965A36">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电话号码：0692-6168776</w:t>
            </w:r>
          </w:p>
          <w:p w14:paraId="7C5F0A11">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传真号码：0692-6168776</w:t>
            </w:r>
          </w:p>
          <w:p w14:paraId="246ADCF9">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开户行：中国农业银行股份有限公司梁河县支行营业室</w:t>
            </w:r>
          </w:p>
          <w:p w14:paraId="6FCD270D">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帐号：24139701040011717</w:t>
            </w:r>
          </w:p>
          <w:p w14:paraId="30E1A5E2">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税号：91533122MA6KX49T1F</w:t>
            </w:r>
          </w:p>
          <w:p w14:paraId="47DCC5ED">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邮编：679207</w:t>
            </w:r>
          </w:p>
          <w:p w14:paraId="0A57C8B3">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签订日期：       年   月    日</w:t>
            </w:r>
          </w:p>
        </w:tc>
        <w:tc>
          <w:tcPr>
            <w:tcW w:w="4668" w:type="dxa"/>
          </w:tcPr>
          <w:p w14:paraId="4BEAA567">
            <w:pPr>
              <w:spacing w:after="0" w:line="240" w:lineRule="auto"/>
              <w:ind w:firstLine="600" w:firstLineChars="200"/>
              <w:jc w:val="center"/>
              <w:rPr>
                <w:rFonts w:ascii="Times New Roman" w:hAnsi="Times New Roman" w:eastAsia="仿宋_GB2312" w:cs="Times New Roman"/>
                <w:sz w:val="30"/>
                <w:szCs w:val="30"/>
              </w:rPr>
            </w:pPr>
            <w:r>
              <w:rPr>
                <w:rFonts w:ascii="Times New Roman" w:hAnsi="Times New Roman" w:eastAsia="仿宋_GB2312" w:cs="Times New Roman"/>
                <w:sz w:val="30"/>
                <w:szCs w:val="30"/>
              </w:rPr>
              <w:t>乙方</w:t>
            </w:r>
          </w:p>
          <w:p w14:paraId="119AF13B">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 xml:space="preserve">单位名称： </w:t>
            </w:r>
          </w:p>
          <w:p w14:paraId="694A290C">
            <w:pPr>
              <w:spacing w:after="0" w:line="240" w:lineRule="auto"/>
              <w:ind w:firstLine="600" w:firstLineChars="200"/>
              <w:jc w:val="both"/>
              <w:rPr>
                <w:rFonts w:ascii="Times New Roman" w:hAnsi="Times New Roman" w:eastAsia="仿宋_GB2312" w:cs="Times New Roman"/>
                <w:sz w:val="30"/>
                <w:szCs w:val="30"/>
              </w:rPr>
            </w:pPr>
          </w:p>
          <w:p w14:paraId="58851551">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 xml:space="preserve">单位地址： </w:t>
            </w:r>
          </w:p>
          <w:p w14:paraId="0D432471">
            <w:pPr>
              <w:spacing w:after="0" w:line="240" w:lineRule="auto"/>
              <w:ind w:firstLine="600" w:firstLineChars="200"/>
              <w:jc w:val="both"/>
              <w:rPr>
                <w:rFonts w:ascii="Times New Roman" w:hAnsi="Times New Roman" w:eastAsia="仿宋_GB2312" w:cs="Times New Roman"/>
                <w:sz w:val="30"/>
                <w:szCs w:val="30"/>
              </w:rPr>
            </w:pPr>
          </w:p>
          <w:p w14:paraId="4C3A7166">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法定代表人：</w:t>
            </w:r>
          </w:p>
          <w:p w14:paraId="5EF3B255">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委托代理人：</w:t>
            </w:r>
          </w:p>
          <w:p w14:paraId="4D7F0F0E">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电话号码：</w:t>
            </w:r>
          </w:p>
          <w:p w14:paraId="49E23F72">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传真号码：</w:t>
            </w:r>
          </w:p>
          <w:p w14:paraId="50195C57">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 xml:space="preserve">开户行： </w:t>
            </w:r>
          </w:p>
          <w:p w14:paraId="00FC3D6F">
            <w:pPr>
              <w:spacing w:after="0" w:line="240" w:lineRule="auto"/>
              <w:jc w:val="both"/>
              <w:rPr>
                <w:rFonts w:ascii="Times New Roman" w:hAnsi="Times New Roman" w:eastAsia="仿宋_GB2312" w:cs="Times New Roman"/>
                <w:sz w:val="30"/>
                <w:szCs w:val="30"/>
              </w:rPr>
            </w:pPr>
          </w:p>
          <w:p w14:paraId="667E2CF5">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帐号：</w:t>
            </w:r>
          </w:p>
          <w:p w14:paraId="4BC11273">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税号：</w:t>
            </w:r>
          </w:p>
          <w:p w14:paraId="364EA2E3">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邮编：</w:t>
            </w:r>
          </w:p>
          <w:p w14:paraId="1C87D701">
            <w:pPr>
              <w:spacing w:after="0" w:line="240" w:lineRule="auto"/>
              <w:jc w:val="both"/>
              <w:rPr>
                <w:rFonts w:ascii="Times New Roman" w:hAnsi="Times New Roman" w:eastAsia="仿宋_GB2312" w:cs="Times New Roman"/>
                <w:sz w:val="30"/>
                <w:szCs w:val="30"/>
              </w:rPr>
            </w:pPr>
            <w:r>
              <w:rPr>
                <w:rFonts w:ascii="Times New Roman" w:hAnsi="Times New Roman" w:eastAsia="仿宋_GB2312" w:cs="Times New Roman"/>
                <w:sz w:val="30"/>
                <w:szCs w:val="30"/>
              </w:rPr>
              <w:t>签订日期：    年   月    日</w:t>
            </w:r>
          </w:p>
        </w:tc>
      </w:tr>
    </w:tbl>
    <w:p w14:paraId="59834598">
      <w:pPr>
        <w:rPr>
          <w:rFonts w:ascii="Times New Roman" w:hAnsi="Times New Roman" w:cs="Times New Roman"/>
        </w:rPr>
      </w:pPr>
    </w:p>
    <w:p w14:paraId="11A9BF72">
      <w:pPr>
        <w:rPr>
          <w:rFonts w:ascii="Times New Roman" w:hAnsi="Times New Roman" w:cs="Times New Roman"/>
        </w:rPr>
      </w:pPr>
    </w:p>
    <w:p w14:paraId="00CCF041">
      <w:pPr>
        <w:rPr>
          <w:rFonts w:ascii="Times New Roman" w:hAnsi="Times New Roman" w:cs="Times New Roman"/>
        </w:rPr>
        <w:sectPr>
          <w:headerReference r:id="rId7" w:type="default"/>
          <w:footerReference r:id="rId8" w:type="default"/>
          <w:pgSz w:w="11906" w:h="16838"/>
          <w:pgMar w:top="2098" w:right="1588" w:bottom="1440" w:left="1588" w:header="851" w:footer="992" w:gutter="0"/>
          <w:cols w:space="720" w:num="1"/>
          <w:docGrid w:linePitch="312" w:charSpace="0"/>
        </w:sectPr>
      </w:pPr>
    </w:p>
    <w:p w14:paraId="07D1A02F">
      <w:pPr>
        <w:outlineLvl w:val="2"/>
        <w:rPr>
          <w:rFonts w:ascii="Times New Roman" w:hAnsi="Times New Roman" w:eastAsia="仿宋_GB2312" w:cs="Times New Roman"/>
          <w:sz w:val="30"/>
          <w:szCs w:val="30"/>
        </w:rPr>
      </w:pPr>
      <w:bookmarkStart w:id="201" w:name="_Toc20873"/>
      <w:r>
        <w:rPr>
          <w:rFonts w:ascii="Times New Roman" w:hAnsi="Times New Roman" w:eastAsia="仿宋_GB2312" w:cs="Times New Roman"/>
          <w:sz w:val="30"/>
          <w:szCs w:val="30"/>
        </w:rPr>
        <w:t>附件1. 技术协议</w:t>
      </w:r>
      <w:bookmarkEnd w:id="201"/>
    </w:p>
    <w:p w14:paraId="2CDBBEA1">
      <w:pPr>
        <w:jc w:val="center"/>
        <w:rPr>
          <w:rFonts w:ascii="Times New Roman" w:hAnsi="Times New Roman" w:eastAsia="方正小标宋简体" w:cs="Times New Roman"/>
          <w:sz w:val="44"/>
          <w:szCs w:val="44"/>
        </w:rPr>
      </w:pPr>
      <w:r>
        <w:rPr>
          <w:rFonts w:hint="eastAsia" w:ascii="方正小标宋_GBK" w:hAnsi="方正小标宋_GBK" w:eastAsia="方正小标宋_GBK" w:cs="方正小标宋_GBK"/>
          <w:sz w:val="44"/>
          <w:szCs w:val="44"/>
        </w:rPr>
        <w:t>技术协议</w:t>
      </w:r>
    </w:p>
    <w:p w14:paraId="114C24C3">
      <w:pPr>
        <w:rPr>
          <w:rFonts w:ascii="Times New Roman" w:hAnsi="Times New Roman" w:cs="Times New Roman"/>
        </w:rPr>
      </w:pPr>
      <w:r>
        <w:rPr>
          <w:rFonts w:ascii="Times New Roman" w:hAnsi="Times New Roman" w:cs="Times New Roman"/>
        </w:rPr>
        <w:tab/>
      </w:r>
    </w:p>
    <w:p w14:paraId="079BD502">
      <w:pPr>
        <w:rPr>
          <w:rFonts w:ascii="Times New Roman" w:hAnsi="Times New Roman" w:eastAsia="仿宋_GB2312" w:cs="Times New Roman"/>
          <w:sz w:val="32"/>
          <w:szCs w:val="32"/>
        </w:rPr>
      </w:pPr>
      <w:r>
        <w:rPr>
          <w:rFonts w:ascii="Times New Roman" w:hAnsi="Times New Roman" w:eastAsia="仿宋_GB2312" w:cs="Times New Roman"/>
          <w:sz w:val="32"/>
          <w:szCs w:val="32"/>
        </w:rPr>
        <w:t>甲方:  中粮梁河糖业有限公司</w:t>
      </w:r>
    </w:p>
    <w:p w14:paraId="329C5BFF">
      <w:pPr>
        <w:rPr>
          <w:rFonts w:ascii="Times New Roman" w:hAnsi="Times New Roman" w:eastAsia="仿宋_GB2312" w:cs="Times New Roman"/>
          <w:sz w:val="32"/>
          <w:szCs w:val="32"/>
        </w:rPr>
      </w:pPr>
      <w:r>
        <w:rPr>
          <w:rFonts w:ascii="Times New Roman" w:hAnsi="Times New Roman" w:eastAsia="仿宋_GB2312" w:cs="Times New Roman"/>
          <w:sz w:val="32"/>
          <w:szCs w:val="32"/>
        </w:rPr>
        <w:t>乙方：</w:t>
      </w:r>
    </w:p>
    <w:p w14:paraId="727A9101">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经双方充分协商，甲方委托乙方</w:t>
      </w:r>
      <w:r>
        <w:rPr>
          <w:rFonts w:ascii="Times New Roman" w:hAnsi="Times New Roman" w:eastAsia="仿宋_GB2312" w:cs="Times New Roman"/>
          <w:color w:val="000000" w:themeColor="text1"/>
          <w:sz w:val="32"/>
          <w:szCs w:val="32"/>
        </w:rPr>
        <w:t>承接</w:t>
      </w:r>
      <w:r>
        <w:rPr>
          <w:rFonts w:ascii="Times New Roman" w:hAnsi="Times New Roman" w:eastAsia="仿宋_GB2312" w:cs="Times New Roman"/>
          <w:color w:val="000000" w:themeColor="text1"/>
          <w:sz w:val="32"/>
          <w:szCs w:val="32"/>
          <w:u w:val="single"/>
        </w:rPr>
        <w:t>中粮梁河糖业公司设备购置及土建项目-梁河糖业2024年勐养动力车间35t/h锅炉修理项目</w:t>
      </w:r>
      <w:r>
        <w:rPr>
          <w:rFonts w:ascii="Times New Roman" w:hAnsi="Times New Roman" w:eastAsia="仿宋_GB2312" w:cs="Times New Roman"/>
          <w:color w:val="000000" w:themeColor="text1"/>
          <w:sz w:val="32"/>
          <w:szCs w:val="32"/>
        </w:rPr>
        <w:t>的供货及供货、运输、安装、调试、使用及维修维护培训。为</w:t>
      </w:r>
      <w:r>
        <w:rPr>
          <w:rFonts w:ascii="Times New Roman" w:hAnsi="Times New Roman" w:eastAsia="仿宋_GB2312" w:cs="Times New Roman"/>
          <w:sz w:val="32"/>
          <w:szCs w:val="32"/>
        </w:rPr>
        <w:t>了更好地执行合同的相关条款，特制订本技术要求，以资双方共同遵照。</w:t>
      </w:r>
    </w:p>
    <w:p w14:paraId="239CF2BC">
      <w:pPr>
        <w:spacing w:after="0" w:line="560" w:lineRule="exact"/>
        <w:ind w:firstLine="200"/>
        <w:jc w:val="both"/>
        <w:rPr>
          <w:rFonts w:ascii="Times New Roman" w:hAnsi="Times New Roman" w:eastAsia="黑体" w:cs="Times New Roman"/>
          <w:sz w:val="32"/>
          <w:szCs w:val="32"/>
        </w:rPr>
      </w:pPr>
      <w:r>
        <w:rPr>
          <w:rFonts w:ascii="Times New Roman" w:hAnsi="Times New Roman" w:eastAsia="黑体" w:cs="Times New Roman"/>
          <w:sz w:val="32"/>
          <w:szCs w:val="32"/>
        </w:rPr>
        <w:t>第一条主体设备技术参数</w:t>
      </w:r>
    </w:p>
    <w:tbl>
      <w:tblPr>
        <w:tblStyle w:val="33"/>
        <w:tblW w:w="9591" w:type="dxa"/>
        <w:jc w:val="center"/>
        <w:tblLayout w:type="fixed"/>
        <w:tblCellMar>
          <w:top w:w="0" w:type="dxa"/>
          <w:left w:w="108" w:type="dxa"/>
          <w:bottom w:w="0" w:type="dxa"/>
          <w:right w:w="108" w:type="dxa"/>
        </w:tblCellMar>
      </w:tblPr>
      <w:tblGrid>
        <w:gridCol w:w="709"/>
        <w:gridCol w:w="1701"/>
        <w:gridCol w:w="2693"/>
        <w:gridCol w:w="567"/>
        <w:gridCol w:w="567"/>
        <w:gridCol w:w="851"/>
        <w:gridCol w:w="879"/>
        <w:gridCol w:w="1624"/>
      </w:tblGrid>
      <w:tr w14:paraId="49E90457">
        <w:tblPrEx>
          <w:tblCellMar>
            <w:top w:w="0" w:type="dxa"/>
            <w:left w:w="108" w:type="dxa"/>
            <w:bottom w:w="0" w:type="dxa"/>
            <w:right w:w="108" w:type="dxa"/>
          </w:tblCellMar>
        </w:tblPrEx>
        <w:trPr>
          <w:trHeight w:val="630"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6A8B70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701" w:type="dxa"/>
            <w:tcBorders>
              <w:top w:val="single" w:color="auto" w:sz="4" w:space="0"/>
              <w:left w:val="nil"/>
              <w:bottom w:val="single" w:color="auto" w:sz="4" w:space="0"/>
              <w:right w:val="single" w:color="auto" w:sz="4" w:space="0"/>
            </w:tcBorders>
            <w:shd w:val="clear" w:color="auto" w:fill="auto"/>
            <w:vAlign w:val="center"/>
          </w:tcPr>
          <w:p w14:paraId="7E584C0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名称</w:t>
            </w:r>
          </w:p>
        </w:tc>
        <w:tc>
          <w:tcPr>
            <w:tcW w:w="2693" w:type="dxa"/>
            <w:tcBorders>
              <w:top w:val="single" w:color="auto" w:sz="4" w:space="0"/>
              <w:left w:val="nil"/>
              <w:bottom w:val="single" w:color="auto" w:sz="4" w:space="0"/>
              <w:right w:val="single" w:color="auto" w:sz="4" w:space="0"/>
            </w:tcBorders>
            <w:shd w:val="clear" w:color="auto" w:fill="auto"/>
            <w:vAlign w:val="center"/>
          </w:tcPr>
          <w:p w14:paraId="7F0365B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规格型号</w:t>
            </w:r>
          </w:p>
        </w:tc>
        <w:tc>
          <w:tcPr>
            <w:tcW w:w="567" w:type="dxa"/>
            <w:tcBorders>
              <w:top w:val="single" w:color="auto" w:sz="4" w:space="0"/>
              <w:left w:val="nil"/>
              <w:bottom w:val="single" w:color="auto" w:sz="4" w:space="0"/>
              <w:right w:val="single" w:color="auto" w:sz="4" w:space="0"/>
            </w:tcBorders>
            <w:shd w:val="clear" w:color="auto" w:fill="auto"/>
            <w:vAlign w:val="center"/>
          </w:tcPr>
          <w:p w14:paraId="56DAD50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w:t>
            </w:r>
          </w:p>
        </w:tc>
        <w:tc>
          <w:tcPr>
            <w:tcW w:w="567" w:type="dxa"/>
            <w:tcBorders>
              <w:top w:val="single" w:color="auto" w:sz="4" w:space="0"/>
              <w:left w:val="nil"/>
              <w:bottom w:val="single" w:color="auto" w:sz="4" w:space="0"/>
              <w:right w:val="single" w:color="auto" w:sz="4" w:space="0"/>
            </w:tcBorders>
            <w:shd w:val="clear" w:color="auto" w:fill="auto"/>
            <w:vAlign w:val="center"/>
          </w:tcPr>
          <w:p w14:paraId="129A9E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数量</w:t>
            </w:r>
          </w:p>
        </w:tc>
        <w:tc>
          <w:tcPr>
            <w:tcW w:w="851" w:type="dxa"/>
            <w:tcBorders>
              <w:top w:val="single" w:color="auto" w:sz="4" w:space="0"/>
              <w:left w:val="nil"/>
              <w:bottom w:val="single" w:color="auto" w:sz="4" w:space="0"/>
              <w:right w:val="single" w:color="auto" w:sz="4" w:space="0"/>
            </w:tcBorders>
            <w:shd w:val="clear" w:color="auto" w:fill="auto"/>
            <w:vAlign w:val="center"/>
          </w:tcPr>
          <w:p w14:paraId="2CB2B3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含税单价</w:t>
            </w:r>
          </w:p>
        </w:tc>
        <w:tc>
          <w:tcPr>
            <w:tcW w:w="879" w:type="dxa"/>
            <w:tcBorders>
              <w:top w:val="single" w:color="auto" w:sz="4" w:space="0"/>
              <w:left w:val="nil"/>
              <w:bottom w:val="single" w:color="auto" w:sz="4" w:space="0"/>
              <w:right w:val="single" w:color="auto" w:sz="4" w:space="0"/>
            </w:tcBorders>
            <w:shd w:val="clear" w:color="auto" w:fill="auto"/>
            <w:vAlign w:val="center"/>
          </w:tcPr>
          <w:p w14:paraId="028C009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含税合价</w:t>
            </w:r>
          </w:p>
        </w:tc>
        <w:tc>
          <w:tcPr>
            <w:tcW w:w="1624" w:type="dxa"/>
            <w:tcBorders>
              <w:top w:val="single" w:color="auto" w:sz="4" w:space="0"/>
              <w:left w:val="nil"/>
              <w:bottom w:val="single" w:color="auto" w:sz="4" w:space="0"/>
              <w:right w:val="single" w:color="auto" w:sz="4" w:space="0"/>
            </w:tcBorders>
            <w:shd w:val="clear" w:color="auto" w:fill="auto"/>
            <w:vAlign w:val="center"/>
          </w:tcPr>
          <w:p w14:paraId="00C9DCA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r>
      <w:tr w14:paraId="767342AE">
        <w:tblPrEx>
          <w:tblCellMar>
            <w:top w:w="0" w:type="dxa"/>
            <w:left w:w="108" w:type="dxa"/>
            <w:bottom w:w="0" w:type="dxa"/>
            <w:right w:w="108" w:type="dxa"/>
          </w:tblCellMar>
        </w:tblPrEx>
        <w:trPr>
          <w:trHeight w:val="471"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6F26F2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一</w:t>
            </w:r>
          </w:p>
        </w:tc>
        <w:tc>
          <w:tcPr>
            <w:tcW w:w="1701" w:type="dxa"/>
            <w:tcBorders>
              <w:top w:val="nil"/>
              <w:left w:val="nil"/>
              <w:bottom w:val="single" w:color="auto" w:sz="4" w:space="0"/>
              <w:right w:val="single" w:color="auto" w:sz="4" w:space="0"/>
            </w:tcBorders>
            <w:shd w:val="clear" w:color="000000" w:fill="FFFFFF"/>
            <w:vAlign w:val="center"/>
          </w:tcPr>
          <w:p w14:paraId="506B9A3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2024年锅炉外部检验整改项目</w:t>
            </w:r>
          </w:p>
        </w:tc>
        <w:tc>
          <w:tcPr>
            <w:tcW w:w="2693" w:type="dxa"/>
            <w:tcBorders>
              <w:top w:val="nil"/>
              <w:left w:val="nil"/>
              <w:bottom w:val="single" w:color="auto" w:sz="4" w:space="0"/>
              <w:right w:val="single" w:color="auto" w:sz="4" w:space="0"/>
            </w:tcBorders>
            <w:shd w:val="clear" w:color="000000" w:fill="FFFFFF"/>
            <w:vAlign w:val="center"/>
          </w:tcPr>
          <w:p w14:paraId="60B3770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WGC35/39-24</w:t>
            </w:r>
          </w:p>
        </w:tc>
        <w:tc>
          <w:tcPr>
            <w:tcW w:w="567" w:type="dxa"/>
            <w:tcBorders>
              <w:top w:val="nil"/>
              <w:left w:val="nil"/>
              <w:bottom w:val="single" w:color="auto" w:sz="4" w:space="0"/>
              <w:right w:val="single" w:color="auto" w:sz="4" w:space="0"/>
            </w:tcBorders>
            <w:shd w:val="clear" w:color="000000" w:fill="FFFFFF"/>
            <w:vAlign w:val="center"/>
          </w:tcPr>
          <w:p w14:paraId="78A8914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276940C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4FFAE5DF">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027B8CDF">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04463EFE">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14:paraId="5B238F03">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5755AD3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192B890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排烟温度测点</w:t>
            </w:r>
          </w:p>
        </w:tc>
        <w:tc>
          <w:tcPr>
            <w:tcW w:w="2693" w:type="dxa"/>
            <w:tcBorders>
              <w:top w:val="nil"/>
              <w:left w:val="nil"/>
              <w:bottom w:val="single" w:color="auto" w:sz="4" w:space="0"/>
              <w:right w:val="single" w:color="auto" w:sz="4" w:space="0"/>
            </w:tcBorders>
            <w:shd w:val="clear" w:color="000000" w:fill="FFFFFF"/>
          </w:tcPr>
          <w:p w14:paraId="4A26ACA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热电偶：WRN-430,L=1150*1000mm , 输出:K,量程：0-1000℃，M27*2，座子材质：12Cr1MoG(含墙开孔安装恢复墙)</w:t>
            </w:r>
          </w:p>
        </w:tc>
        <w:tc>
          <w:tcPr>
            <w:tcW w:w="567" w:type="dxa"/>
            <w:tcBorders>
              <w:top w:val="nil"/>
              <w:left w:val="nil"/>
              <w:bottom w:val="single" w:color="auto" w:sz="4" w:space="0"/>
              <w:right w:val="single" w:color="auto" w:sz="4" w:space="0"/>
            </w:tcBorders>
            <w:shd w:val="clear" w:color="000000" w:fill="FFFFFF"/>
            <w:vAlign w:val="center"/>
          </w:tcPr>
          <w:p w14:paraId="3DE0B8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套</w:t>
            </w:r>
          </w:p>
        </w:tc>
        <w:tc>
          <w:tcPr>
            <w:tcW w:w="567" w:type="dxa"/>
            <w:tcBorders>
              <w:top w:val="nil"/>
              <w:left w:val="nil"/>
              <w:bottom w:val="single" w:color="auto" w:sz="4" w:space="0"/>
              <w:right w:val="single" w:color="auto" w:sz="4" w:space="0"/>
            </w:tcBorders>
            <w:shd w:val="clear" w:color="000000" w:fill="FFFFFF"/>
            <w:vAlign w:val="center"/>
          </w:tcPr>
          <w:p w14:paraId="005182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4DB293A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33BBAC4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27EC409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（不含接线至DCS）</w:t>
            </w:r>
          </w:p>
        </w:tc>
      </w:tr>
      <w:tr w14:paraId="41F9056B">
        <w:tblPrEx>
          <w:tblCellMar>
            <w:top w:w="0" w:type="dxa"/>
            <w:left w:w="108" w:type="dxa"/>
            <w:bottom w:w="0" w:type="dxa"/>
            <w:right w:w="108" w:type="dxa"/>
          </w:tblCellMar>
        </w:tblPrEx>
        <w:trPr>
          <w:trHeight w:val="972"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2099489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2</w:t>
            </w:r>
          </w:p>
        </w:tc>
        <w:tc>
          <w:tcPr>
            <w:tcW w:w="1701" w:type="dxa"/>
            <w:tcBorders>
              <w:top w:val="nil"/>
              <w:left w:val="nil"/>
              <w:bottom w:val="single" w:color="auto" w:sz="4" w:space="0"/>
              <w:right w:val="single" w:color="auto" w:sz="4" w:space="0"/>
            </w:tcBorders>
            <w:shd w:val="clear" w:color="000000" w:fill="FFFFFF"/>
            <w:vAlign w:val="center"/>
          </w:tcPr>
          <w:p w14:paraId="7E78648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更换省煤器上温度测点座子</w:t>
            </w:r>
          </w:p>
        </w:tc>
        <w:tc>
          <w:tcPr>
            <w:tcW w:w="2693" w:type="dxa"/>
            <w:tcBorders>
              <w:top w:val="nil"/>
              <w:left w:val="nil"/>
              <w:bottom w:val="single" w:color="auto" w:sz="4" w:space="0"/>
              <w:right w:val="single" w:color="auto" w:sz="4" w:space="0"/>
            </w:tcBorders>
            <w:shd w:val="clear" w:color="000000" w:fill="FFFFFF"/>
            <w:vAlign w:val="center"/>
          </w:tcPr>
          <w:p w14:paraId="7CBA24C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M27mm*2mm，材质：12Cr1MoG</w:t>
            </w:r>
          </w:p>
        </w:tc>
        <w:tc>
          <w:tcPr>
            <w:tcW w:w="567" w:type="dxa"/>
            <w:tcBorders>
              <w:top w:val="nil"/>
              <w:left w:val="nil"/>
              <w:bottom w:val="single" w:color="auto" w:sz="4" w:space="0"/>
              <w:right w:val="single" w:color="auto" w:sz="4" w:space="0"/>
            </w:tcBorders>
            <w:shd w:val="clear" w:color="000000" w:fill="FFFFFF"/>
            <w:vAlign w:val="center"/>
          </w:tcPr>
          <w:p w14:paraId="154B67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只</w:t>
            </w:r>
          </w:p>
        </w:tc>
        <w:tc>
          <w:tcPr>
            <w:tcW w:w="567" w:type="dxa"/>
            <w:tcBorders>
              <w:top w:val="nil"/>
              <w:left w:val="nil"/>
              <w:bottom w:val="single" w:color="auto" w:sz="4" w:space="0"/>
              <w:right w:val="single" w:color="auto" w:sz="4" w:space="0"/>
            </w:tcBorders>
            <w:shd w:val="clear" w:color="000000" w:fill="FFFFFF"/>
            <w:vAlign w:val="center"/>
          </w:tcPr>
          <w:p w14:paraId="79C067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53A75C5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040CC66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0BC29D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(含拆除旧的，焊接新的)</w:t>
            </w:r>
          </w:p>
        </w:tc>
      </w:tr>
      <w:tr w14:paraId="698763CF">
        <w:tblPrEx>
          <w:tblCellMar>
            <w:top w:w="0" w:type="dxa"/>
            <w:left w:w="108" w:type="dxa"/>
            <w:bottom w:w="0" w:type="dxa"/>
            <w:right w:w="108" w:type="dxa"/>
          </w:tblCellMar>
        </w:tblPrEx>
        <w:trPr>
          <w:trHeight w:val="96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4FACAD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3</w:t>
            </w:r>
          </w:p>
        </w:tc>
        <w:tc>
          <w:tcPr>
            <w:tcW w:w="1701" w:type="dxa"/>
            <w:tcBorders>
              <w:top w:val="nil"/>
              <w:left w:val="nil"/>
              <w:bottom w:val="single" w:color="auto" w:sz="4" w:space="0"/>
              <w:right w:val="single" w:color="auto" w:sz="4" w:space="0"/>
            </w:tcBorders>
            <w:shd w:val="clear" w:color="000000" w:fill="FFFFFF"/>
            <w:vAlign w:val="center"/>
          </w:tcPr>
          <w:p w14:paraId="48AE11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管道安装</w:t>
            </w:r>
          </w:p>
        </w:tc>
        <w:tc>
          <w:tcPr>
            <w:tcW w:w="2693" w:type="dxa"/>
            <w:tcBorders>
              <w:top w:val="nil"/>
              <w:left w:val="nil"/>
              <w:bottom w:val="single" w:color="auto" w:sz="4" w:space="0"/>
              <w:right w:val="single" w:color="auto" w:sz="4" w:space="0"/>
            </w:tcBorders>
            <w:shd w:val="clear" w:color="000000" w:fill="FFFFFF"/>
          </w:tcPr>
          <w:p w14:paraId="4D506AB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安装合金管子φ60mm*3.5mm材质：12Cr1MoG，长20m（含弯头5个，减压阀1只及配套的法兰盘、紧固件）</w:t>
            </w:r>
          </w:p>
        </w:tc>
        <w:tc>
          <w:tcPr>
            <w:tcW w:w="567" w:type="dxa"/>
            <w:tcBorders>
              <w:top w:val="nil"/>
              <w:left w:val="nil"/>
              <w:bottom w:val="single" w:color="auto" w:sz="4" w:space="0"/>
              <w:right w:val="single" w:color="auto" w:sz="4" w:space="0"/>
            </w:tcBorders>
            <w:shd w:val="clear" w:color="000000" w:fill="FFFFFF"/>
            <w:vAlign w:val="center"/>
          </w:tcPr>
          <w:p w14:paraId="707A50A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3ACB65F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725FF876">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7E23D8F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3807A00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从过热器排空阀三通管引出管路至吹灰器（含减压阀）</w:t>
            </w:r>
          </w:p>
        </w:tc>
      </w:tr>
      <w:tr w14:paraId="3AD43F5A">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43AA310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4</w:t>
            </w:r>
          </w:p>
        </w:tc>
        <w:tc>
          <w:tcPr>
            <w:tcW w:w="1701" w:type="dxa"/>
            <w:tcBorders>
              <w:top w:val="single" w:color="auto" w:sz="4" w:space="0"/>
              <w:left w:val="single" w:color="auto" w:sz="4" w:space="0"/>
              <w:bottom w:val="single" w:color="auto" w:sz="4" w:space="0"/>
              <w:right w:val="single" w:color="auto" w:sz="4" w:space="0"/>
            </w:tcBorders>
            <w:shd w:val="clear" w:color="000000" w:fill="FFFFFF"/>
            <w:vAlign w:val="center"/>
          </w:tcPr>
          <w:p w14:paraId="1AD4257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拆除管道</w:t>
            </w:r>
          </w:p>
        </w:tc>
        <w:tc>
          <w:tcPr>
            <w:tcW w:w="2693" w:type="dxa"/>
            <w:tcBorders>
              <w:top w:val="single" w:color="auto" w:sz="4" w:space="0"/>
              <w:left w:val="single" w:color="auto" w:sz="4" w:space="0"/>
              <w:bottom w:val="single" w:color="auto" w:sz="4" w:space="0"/>
              <w:right w:val="single" w:color="auto" w:sz="4" w:space="0"/>
            </w:tcBorders>
            <w:shd w:val="clear" w:color="000000" w:fill="FFFFFF"/>
          </w:tcPr>
          <w:p w14:paraId="00E9D8A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拆除管子φ60mm，长6m（含保温层拆除清理），法兰盲板封堵</w:t>
            </w:r>
          </w:p>
        </w:tc>
        <w:tc>
          <w:tcPr>
            <w:tcW w:w="567" w:type="dxa"/>
            <w:tcBorders>
              <w:top w:val="single" w:color="auto" w:sz="4" w:space="0"/>
              <w:left w:val="single" w:color="auto" w:sz="4" w:space="0"/>
              <w:bottom w:val="single" w:color="auto" w:sz="4" w:space="0"/>
              <w:right w:val="single" w:color="auto" w:sz="4" w:space="0"/>
            </w:tcBorders>
            <w:shd w:val="clear" w:color="000000" w:fill="FFFFFF"/>
            <w:vAlign w:val="center"/>
          </w:tcPr>
          <w:p w14:paraId="3D0A1F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single" w:color="auto" w:sz="4" w:space="0"/>
              <w:left w:val="single" w:color="auto" w:sz="4" w:space="0"/>
              <w:bottom w:val="single" w:color="auto" w:sz="4" w:space="0"/>
              <w:right w:val="single" w:color="auto" w:sz="4" w:space="0"/>
            </w:tcBorders>
            <w:shd w:val="clear" w:color="000000" w:fill="FFFFFF"/>
            <w:vAlign w:val="center"/>
          </w:tcPr>
          <w:p w14:paraId="595F2B8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single" w:color="auto" w:sz="4" w:space="0"/>
              <w:left w:val="single" w:color="auto" w:sz="4" w:space="0"/>
              <w:bottom w:val="single" w:color="auto" w:sz="4" w:space="0"/>
              <w:right w:val="single" w:color="auto" w:sz="4" w:space="0"/>
            </w:tcBorders>
            <w:shd w:val="clear" w:color="000000" w:fill="FFFFFF"/>
            <w:vAlign w:val="center"/>
          </w:tcPr>
          <w:p w14:paraId="3B6FE65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single" w:color="auto" w:sz="4" w:space="0"/>
              <w:left w:val="single" w:color="auto" w:sz="4" w:space="0"/>
              <w:bottom w:val="single" w:color="auto" w:sz="4" w:space="0"/>
              <w:right w:val="single" w:color="auto" w:sz="4" w:space="0"/>
            </w:tcBorders>
            <w:shd w:val="clear" w:color="000000" w:fill="FFFFFF"/>
            <w:vAlign w:val="center"/>
          </w:tcPr>
          <w:p w14:paraId="01616EAA">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single" w:color="auto" w:sz="4" w:space="0"/>
              <w:left w:val="single" w:color="auto" w:sz="4" w:space="0"/>
              <w:bottom w:val="single" w:color="auto" w:sz="4" w:space="0"/>
              <w:right w:val="single" w:color="auto" w:sz="4" w:space="0"/>
            </w:tcBorders>
            <w:shd w:val="clear" w:color="000000" w:fill="FFFFFF"/>
            <w:vAlign w:val="center"/>
          </w:tcPr>
          <w:p w14:paraId="024394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拆除过热器出口（高过）自排空阀三通与减温水管</w:t>
            </w:r>
          </w:p>
        </w:tc>
      </w:tr>
      <w:tr w14:paraId="651DF218">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61A27AB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5</w:t>
            </w:r>
          </w:p>
        </w:tc>
        <w:tc>
          <w:tcPr>
            <w:tcW w:w="1701" w:type="dxa"/>
            <w:tcBorders>
              <w:top w:val="single" w:color="auto" w:sz="4" w:space="0"/>
              <w:left w:val="nil"/>
              <w:bottom w:val="single" w:color="auto" w:sz="4" w:space="0"/>
              <w:right w:val="single" w:color="auto" w:sz="4" w:space="0"/>
            </w:tcBorders>
            <w:shd w:val="clear" w:color="000000" w:fill="FFFFFF"/>
            <w:vAlign w:val="center"/>
          </w:tcPr>
          <w:p w14:paraId="3295127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管道安装</w:t>
            </w:r>
          </w:p>
        </w:tc>
        <w:tc>
          <w:tcPr>
            <w:tcW w:w="2693" w:type="dxa"/>
            <w:tcBorders>
              <w:top w:val="single" w:color="auto" w:sz="4" w:space="0"/>
              <w:left w:val="nil"/>
              <w:bottom w:val="single" w:color="auto" w:sz="4" w:space="0"/>
              <w:right w:val="single" w:color="auto" w:sz="4" w:space="0"/>
            </w:tcBorders>
            <w:shd w:val="clear" w:color="000000" w:fill="FFFFFF"/>
          </w:tcPr>
          <w:p w14:paraId="4758FC3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无缝管子φ32mm*3mm,长15m（含弯头5个）线路现场确定走向</w:t>
            </w:r>
          </w:p>
        </w:tc>
        <w:tc>
          <w:tcPr>
            <w:tcW w:w="567" w:type="dxa"/>
            <w:tcBorders>
              <w:top w:val="single" w:color="auto" w:sz="4" w:space="0"/>
              <w:left w:val="nil"/>
              <w:bottom w:val="single" w:color="auto" w:sz="4" w:space="0"/>
              <w:right w:val="single" w:color="auto" w:sz="4" w:space="0"/>
            </w:tcBorders>
            <w:shd w:val="clear" w:color="000000" w:fill="FFFFFF"/>
            <w:vAlign w:val="center"/>
          </w:tcPr>
          <w:p w14:paraId="600251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single" w:color="auto" w:sz="4" w:space="0"/>
              <w:left w:val="nil"/>
              <w:bottom w:val="single" w:color="auto" w:sz="4" w:space="0"/>
              <w:right w:val="single" w:color="auto" w:sz="4" w:space="0"/>
            </w:tcBorders>
            <w:shd w:val="clear" w:color="000000" w:fill="FFFFFF"/>
            <w:vAlign w:val="center"/>
          </w:tcPr>
          <w:p w14:paraId="524B70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single" w:color="auto" w:sz="4" w:space="0"/>
              <w:left w:val="nil"/>
              <w:bottom w:val="single" w:color="auto" w:sz="4" w:space="0"/>
              <w:right w:val="single" w:color="auto" w:sz="4" w:space="0"/>
            </w:tcBorders>
            <w:shd w:val="clear" w:color="000000" w:fill="FFFFFF"/>
            <w:vAlign w:val="center"/>
          </w:tcPr>
          <w:p w14:paraId="53609E50">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single" w:color="auto" w:sz="4" w:space="0"/>
              <w:left w:val="nil"/>
              <w:bottom w:val="single" w:color="auto" w:sz="4" w:space="0"/>
              <w:right w:val="single" w:color="auto" w:sz="4" w:space="0"/>
            </w:tcBorders>
            <w:shd w:val="clear" w:color="000000" w:fill="FFFFFF"/>
            <w:vAlign w:val="center"/>
          </w:tcPr>
          <w:p w14:paraId="7A442B51">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single" w:color="auto" w:sz="4" w:space="0"/>
              <w:left w:val="nil"/>
              <w:bottom w:val="single" w:color="auto" w:sz="4" w:space="0"/>
              <w:right w:val="single" w:color="auto" w:sz="4" w:space="0"/>
            </w:tcBorders>
            <w:shd w:val="clear" w:color="000000" w:fill="FFFFFF"/>
            <w:vAlign w:val="center"/>
          </w:tcPr>
          <w:p w14:paraId="351134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安全阀疏水管接至室外</w:t>
            </w:r>
          </w:p>
        </w:tc>
      </w:tr>
      <w:tr w14:paraId="6D107ECB">
        <w:tblPrEx>
          <w:tblCellMar>
            <w:top w:w="0" w:type="dxa"/>
            <w:left w:w="108" w:type="dxa"/>
            <w:bottom w:w="0" w:type="dxa"/>
            <w:right w:w="108" w:type="dxa"/>
          </w:tblCellMar>
        </w:tblPrEx>
        <w:trPr>
          <w:trHeight w:val="972"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2F1D9EF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6</w:t>
            </w:r>
          </w:p>
        </w:tc>
        <w:tc>
          <w:tcPr>
            <w:tcW w:w="1701" w:type="dxa"/>
            <w:tcBorders>
              <w:top w:val="nil"/>
              <w:left w:val="nil"/>
              <w:bottom w:val="single" w:color="auto" w:sz="4" w:space="0"/>
              <w:right w:val="single" w:color="auto" w:sz="4" w:space="0"/>
            </w:tcBorders>
            <w:shd w:val="clear" w:color="000000" w:fill="FFFFFF"/>
            <w:vAlign w:val="center"/>
          </w:tcPr>
          <w:p w14:paraId="374C321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阀门安装</w:t>
            </w:r>
          </w:p>
        </w:tc>
        <w:tc>
          <w:tcPr>
            <w:tcW w:w="2693" w:type="dxa"/>
            <w:tcBorders>
              <w:top w:val="nil"/>
              <w:left w:val="nil"/>
              <w:bottom w:val="single" w:color="auto" w:sz="4" w:space="0"/>
              <w:right w:val="single" w:color="auto" w:sz="4" w:space="0"/>
            </w:tcBorders>
            <w:shd w:val="clear" w:color="000000" w:fill="FFFFFF"/>
          </w:tcPr>
          <w:p w14:paraId="112B3A1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压力表阀：J19W-160P,M20mm*1.5mm,（缓冲管、压力表:满足压力10MPa,温度500℃）</w:t>
            </w:r>
          </w:p>
        </w:tc>
        <w:tc>
          <w:tcPr>
            <w:tcW w:w="567" w:type="dxa"/>
            <w:tcBorders>
              <w:top w:val="nil"/>
              <w:left w:val="nil"/>
              <w:bottom w:val="single" w:color="auto" w:sz="4" w:space="0"/>
              <w:right w:val="single" w:color="auto" w:sz="4" w:space="0"/>
            </w:tcBorders>
            <w:shd w:val="clear" w:color="000000" w:fill="FFFFFF"/>
            <w:vAlign w:val="center"/>
          </w:tcPr>
          <w:p w14:paraId="375702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组</w:t>
            </w:r>
          </w:p>
        </w:tc>
        <w:tc>
          <w:tcPr>
            <w:tcW w:w="567" w:type="dxa"/>
            <w:tcBorders>
              <w:top w:val="nil"/>
              <w:left w:val="nil"/>
              <w:bottom w:val="single" w:color="auto" w:sz="4" w:space="0"/>
              <w:right w:val="single" w:color="auto" w:sz="4" w:space="0"/>
            </w:tcBorders>
            <w:shd w:val="clear" w:color="000000" w:fill="FFFFFF"/>
            <w:vAlign w:val="center"/>
          </w:tcPr>
          <w:p w14:paraId="2CF4557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8</w:t>
            </w:r>
          </w:p>
        </w:tc>
        <w:tc>
          <w:tcPr>
            <w:tcW w:w="851" w:type="dxa"/>
            <w:tcBorders>
              <w:top w:val="nil"/>
              <w:left w:val="nil"/>
              <w:bottom w:val="single" w:color="auto" w:sz="4" w:space="0"/>
              <w:right w:val="single" w:color="auto" w:sz="4" w:space="0"/>
            </w:tcBorders>
            <w:shd w:val="clear" w:color="000000" w:fill="FFFFFF"/>
            <w:vAlign w:val="center"/>
          </w:tcPr>
          <w:p w14:paraId="0DCEE761">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12106BA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47DD3A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压力表配置三通阀及缓冲管</w:t>
            </w:r>
          </w:p>
        </w:tc>
      </w:tr>
      <w:tr w14:paraId="52F5D0BE">
        <w:tblPrEx>
          <w:tblCellMar>
            <w:top w:w="0" w:type="dxa"/>
            <w:left w:w="108" w:type="dxa"/>
            <w:bottom w:w="0" w:type="dxa"/>
            <w:right w:w="108" w:type="dxa"/>
          </w:tblCellMar>
        </w:tblPrEx>
        <w:trPr>
          <w:trHeight w:val="1104"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4BABDD2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7</w:t>
            </w:r>
          </w:p>
        </w:tc>
        <w:tc>
          <w:tcPr>
            <w:tcW w:w="1701" w:type="dxa"/>
            <w:tcBorders>
              <w:top w:val="nil"/>
              <w:left w:val="nil"/>
              <w:bottom w:val="single" w:color="auto" w:sz="4" w:space="0"/>
              <w:right w:val="single" w:color="auto" w:sz="4" w:space="0"/>
            </w:tcBorders>
            <w:shd w:val="clear" w:color="000000" w:fill="FFFFFF"/>
            <w:vAlign w:val="center"/>
          </w:tcPr>
          <w:p w14:paraId="534CA7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主蒸汽阀加装旁路阀及支撑架</w:t>
            </w:r>
          </w:p>
        </w:tc>
        <w:tc>
          <w:tcPr>
            <w:tcW w:w="2693" w:type="dxa"/>
            <w:tcBorders>
              <w:top w:val="nil"/>
              <w:left w:val="nil"/>
              <w:bottom w:val="single" w:color="auto" w:sz="4" w:space="0"/>
              <w:right w:val="single" w:color="auto" w:sz="4" w:space="0"/>
            </w:tcBorders>
            <w:shd w:val="clear" w:color="000000" w:fill="FFFFFF"/>
          </w:tcPr>
          <w:p w14:paraId="541C593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合金15CrMo管子：φ32mm*3mm，10m;阀门J41Y-PN10 DN32 2只（含配套弯头4个、法兰盘、紧固件等）</w:t>
            </w:r>
          </w:p>
        </w:tc>
        <w:tc>
          <w:tcPr>
            <w:tcW w:w="567" w:type="dxa"/>
            <w:tcBorders>
              <w:top w:val="nil"/>
              <w:left w:val="nil"/>
              <w:bottom w:val="single" w:color="auto" w:sz="4" w:space="0"/>
              <w:right w:val="single" w:color="auto" w:sz="4" w:space="0"/>
            </w:tcBorders>
            <w:shd w:val="clear" w:color="000000" w:fill="FFFFFF"/>
            <w:vAlign w:val="center"/>
          </w:tcPr>
          <w:p w14:paraId="752ED7A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04BB3C0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6B9F285A">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691D7CB6">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4368254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p>
        </w:tc>
      </w:tr>
      <w:tr w14:paraId="7BDE2948">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2EE0B11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p>
          <w:p w14:paraId="76B55E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8</w:t>
            </w:r>
          </w:p>
        </w:tc>
        <w:tc>
          <w:tcPr>
            <w:tcW w:w="1701" w:type="dxa"/>
            <w:tcBorders>
              <w:top w:val="nil"/>
              <w:left w:val="nil"/>
              <w:bottom w:val="single" w:color="auto" w:sz="4" w:space="0"/>
              <w:right w:val="single" w:color="auto" w:sz="4" w:space="0"/>
            </w:tcBorders>
            <w:shd w:val="clear" w:color="000000" w:fill="FFFFFF"/>
            <w:vAlign w:val="center"/>
          </w:tcPr>
          <w:p w14:paraId="25BDCF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炉墙修复</w:t>
            </w:r>
          </w:p>
        </w:tc>
        <w:tc>
          <w:tcPr>
            <w:tcW w:w="2693" w:type="dxa"/>
            <w:tcBorders>
              <w:top w:val="nil"/>
              <w:left w:val="nil"/>
              <w:bottom w:val="single" w:color="auto" w:sz="4" w:space="0"/>
              <w:right w:val="single" w:color="auto" w:sz="4" w:space="0"/>
            </w:tcBorders>
            <w:shd w:val="clear" w:color="000000" w:fill="FFFFFF"/>
          </w:tcPr>
          <w:p w14:paraId="403134B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1.炉膛后拱：拆除高1.3m*宽4.5m;重新浇筑后拱：高1.3m*宽4.5m;（含耐烧钢筋网φ6mm段）；</w:t>
            </w:r>
          </w:p>
        </w:tc>
        <w:tc>
          <w:tcPr>
            <w:tcW w:w="567" w:type="dxa"/>
            <w:tcBorders>
              <w:top w:val="nil"/>
              <w:left w:val="nil"/>
              <w:bottom w:val="single" w:color="auto" w:sz="4" w:space="0"/>
              <w:right w:val="single" w:color="auto" w:sz="4" w:space="0"/>
            </w:tcBorders>
            <w:shd w:val="clear" w:color="000000" w:fill="FFFFFF"/>
            <w:vAlign w:val="center"/>
          </w:tcPr>
          <w:p w14:paraId="52F7D4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2FA1CE8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03892C25">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22B952E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752C3A2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p>
        </w:tc>
      </w:tr>
      <w:tr w14:paraId="71F1CEEC">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4C1009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9</w:t>
            </w:r>
          </w:p>
        </w:tc>
        <w:tc>
          <w:tcPr>
            <w:tcW w:w="1701" w:type="dxa"/>
            <w:tcBorders>
              <w:top w:val="nil"/>
              <w:left w:val="nil"/>
              <w:bottom w:val="single" w:color="auto" w:sz="4" w:space="0"/>
              <w:right w:val="single" w:color="auto" w:sz="4" w:space="0"/>
            </w:tcBorders>
            <w:shd w:val="clear" w:color="000000" w:fill="FFFFFF"/>
            <w:vAlign w:val="center"/>
          </w:tcPr>
          <w:p w14:paraId="6094EBB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安全阀管道改造</w:t>
            </w:r>
          </w:p>
        </w:tc>
        <w:tc>
          <w:tcPr>
            <w:tcW w:w="2693" w:type="dxa"/>
            <w:tcBorders>
              <w:top w:val="nil"/>
              <w:left w:val="nil"/>
              <w:bottom w:val="single" w:color="auto" w:sz="4" w:space="0"/>
              <w:right w:val="single" w:color="auto" w:sz="4" w:space="0"/>
            </w:tcBorders>
            <w:shd w:val="clear" w:color="000000" w:fill="FFFFFF"/>
            <w:vAlign w:val="center"/>
          </w:tcPr>
          <w:p w14:paraId="1938DB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现场确定</w:t>
            </w:r>
          </w:p>
        </w:tc>
        <w:tc>
          <w:tcPr>
            <w:tcW w:w="567" w:type="dxa"/>
            <w:tcBorders>
              <w:top w:val="nil"/>
              <w:left w:val="nil"/>
              <w:bottom w:val="single" w:color="auto" w:sz="4" w:space="0"/>
              <w:right w:val="single" w:color="auto" w:sz="4" w:space="0"/>
            </w:tcBorders>
            <w:shd w:val="clear" w:color="000000" w:fill="FFFFFF"/>
            <w:vAlign w:val="center"/>
          </w:tcPr>
          <w:p w14:paraId="5417482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0550C6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76BC969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7494A3C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151E804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安全阀法兰管座割短降低安全阀高度，安全阀排汽管加装弯头以让出通道</w:t>
            </w:r>
          </w:p>
        </w:tc>
      </w:tr>
      <w:tr w14:paraId="5BDCFE41">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274A528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1701" w:type="dxa"/>
            <w:tcBorders>
              <w:top w:val="nil"/>
              <w:left w:val="nil"/>
              <w:bottom w:val="single" w:color="auto" w:sz="4" w:space="0"/>
              <w:right w:val="single" w:color="auto" w:sz="4" w:space="0"/>
            </w:tcBorders>
            <w:shd w:val="clear" w:color="000000" w:fill="FFFFFF"/>
            <w:vAlign w:val="center"/>
          </w:tcPr>
          <w:p w14:paraId="5BE9D4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4#炉排底风室右边铁板更换</w:t>
            </w:r>
          </w:p>
        </w:tc>
        <w:tc>
          <w:tcPr>
            <w:tcW w:w="2693" w:type="dxa"/>
            <w:tcBorders>
              <w:top w:val="nil"/>
              <w:left w:val="nil"/>
              <w:bottom w:val="single" w:color="auto" w:sz="4" w:space="0"/>
              <w:right w:val="single" w:color="auto" w:sz="4" w:space="0"/>
            </w:tcBorders>
            <w:shd w:val="clear" w:color="000000" w:fill="FFFFFF"/>
            <w:vAlign w:val="center"/>
          </w:tcPr>
          <w:p w14:paraId="7F089E6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铁板：材质Q235，长4m*宽0.48m*厚6mm(拆除破损的，更换焊接)</w:t>
            </w:r>
          </w:p>
        </w:tc>
        <w:tc>
          <w:tcPr>
            <w:tcW w:w="567" w:type="dxa"/>
            <w:tcBorders>
              <w:top w:val="nil"/>
              <w:left w:val="nil"/>
              <w:bottom w:val="single" w:color="auto" w:sz="4" w:space="0"/>
              <w:right w:val="single" w:color="auto" w:sz="4" w:space="0"/>
            </w:tcBorders>
            <w:shd w:val="clear" w:color="000000" w:fill="FFFFFF"/>
            <w:vAlign w:val="center"/>
          </w:tcPr>
          <w:p w14:paraId="690584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098EBB3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208FB5A6">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6A876D7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56A3670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p>
        </w:tc>
      </w:tr>
      <w:tr w14:paraId="3083C73A">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168043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二</w:t>
            </w:r>
          </w:p>
        </w:tc>
        <w:tc>
          <w:tcPr>
            <w:tcW w:w="1701" w:type="dxa"/>
            <w:tcBorders>
              <w:top w:val="nil"/>
              <w:left w:val="nil"/>
              <w:bottom w:val="single" w:color="auto" w:sz="4" w:space="0"/>
              <w:right w:val="single" w:color="auto" w:sz="4" w:space="0"/>
            </w:tcBorders>
            <w:shd w:val="clear" w:color="000000" w:fill="FFFFFF"/>
            <w:vAlign w:val="center"/>
          </w:tcPr>
          <w:p w14:paraId="24657F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吹灰器检修平台制作安装</w:t>
            </w:r>
          </w:p>
        </w:tc>
        <w:tc>
          <w:tcPr>
            <w:tcW w:w="2693" w:type="dxa"/>
            <w:tcBorders>
              <w:top w:val="nil"/>
              <w:left w:val="nil"/>
              <w:bottom w:val="single" w:color="auto" w:sz="4" w:space="0"/>
              <w:right w:val="single" w:color="auto" w:sz="4" w:space="0"/>
            </w:tcBorders>
            <w:shd w:val="clear" w:color="000000" w:fill="FFFFFF"/>
          </w:tcPr>
          <w:p w14:paraId="6338756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拆除旧省煤器管平台，制作新平台改成δ=3mm花纹钢板，底部加装槽钢骨架（2.45mx4.5m）</w:t>
            </w:r>
          </w:p>
        </w:tc>
        <w:tc>
          <w:tcPr>
            <w:tcW w:w="567" w:type="dxa"/>
            <w:tcBorders>
              <w:top w:val="nil"/>
              <w:left w:val="nil"/>
              <w:bottom w:val="single" w:color="auto" w:sz="4" w:space="0"/>
              <w:right w:val="single" w:color="auto" w:sz="4" w:space="0"/>
            </w:tcBorders>
            <w:shd w:val="clear" w:color="000000" w:fill="FFFFFF"/>
            <w:vAlign w:val="center"/>
          </w:tcPr>
          <w:p w14:paraId="661342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5B350E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5478292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1808040A">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0663903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p>
        </w:tc>
      </w:tr>
      <w:tr w14:paraId="0ECD6EDF">
        <w:tblPrEx>
          <w:tblCellMar>
            <w:top w:w="0" w:type="dxa"/>
            <w:left w:w="108" w:type="dxa"/>
            <w:bottom w:w="0" w:type="dxa"/>
            <w:right w:w="108" w:type="dxa"/>
          </w:tblCellMar>
        </w:tblPrEx>
        <w:trPr>
          <w:trHeight w:val="2629" w:hRule="atLeast"/>
          <w:jc w:val="center"/>
        </w:trPr>
        <w:tc>
          <w:tcPr>
            <w:tcW w:w="709" w:type="dxa"/>
            <w:tcBorders>
              <w:top w:val="single" w:color="auto" w:sz="4" w:space="0"/>
              <w:left w:val="single" w:color="auto" w:sz="4" w:space="0"/>
              <w:bottom w:val="single" w:color="auto" w:sz="4" w:space="0"/>
              <w:right w:val="single" w:color="auto" w:sz="4" w:space="0"/>
            </w:tcBorders>
            <w:shd w:val="clear" w:color="000000" w:fill="FFFFFF"/>
            <w:vAlign w:val="center"/>
          </w:tcPr>
          <w:p w14:paraId="1D391D7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三</w:t>
            </w:r>
          </w:p>
        </w:tc>
        <w:tc>
          <w:tcPr>
            <w:tcW w:w="1701" w:type="dxa"/>
            <w:tcBorders>
              <w:top w:val="single" w:color="auto" w:sz="4" w:space="0"/>
              <w:left w:val="single" w:color="auto" w:sz="4" w:space="0"/>
              <w:bottom w:val="single" w:color="auto" w:sz="4" w:space="0"/>
              <w:right w:val="single" w:color="auto" w:sz="4" w:space="0"/>
            </w:tcBorders>
            <w:shd w:val="clear" w:color="000000" w:fill="FFFFFF"/>
            <w:vAlign w:val="center"/>
          </w:tcPr>
          <w:p w14:paraId="3C69A88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汽水取样冷却器</w:t>
            </w:r>
          </w:p>
        </w:tc>
        <w:tc>
          <w:tcPr>
            <w:tcW w:w="2693" w:type="dxa"/>
            <w:tcBorders>
              <w:top w:val="single" w:color="auto" w:sz="4" w:space="0"/>
              <w:left w:val="single" w:color="auto" w:sz="4" w:space="0"/>
              <w:bottom w:val="single" w:color="auto" w:sz="4" w:space="0"/>
              <w:right w:val="single" w:color="auto" w:sz="4" w:space="0"/>
            </w:tcBorders>
            <w:shd w:val="clear" w:color="000000" w:fill="FFFFFF"/>
          </w:tcPr>
          <w:p w14:paraId="3C85835F">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1.拆除2台旧汽水取样冷却器及配套管路、设备；</w:t>
            </w:r>
          </w:p>
          <w:p w14:paraId="78C7A5A1">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2.安装5台汽水取样冷却器：</w:t>
            </w:r>
          </w:p>
          <w:p w14:paraId="6AE7E3D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2.1.配套相应管道及阀门，J41Y-100I截止阀PN100 DN10，数量10套，取样管规格φ16mm*3mm，给水采样管10m，材质20（G B3087）；</w:t>
            </w:r>
          </w:p>
          <w:p w14:paraId="7C9D02C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2.2.汽包右侧炉水采样管32m，材质20（G B3087）；汽包左侧炉水采样管23m，材质20（G B3087）；</w:t>
            </w:r>
          </w:p>
          <w:p w14:paraId="7E8B4E68">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2.3.过热蒸汽采样管32m，材质15CrMo；</w:t>
            </w:r>
          </w:p>
          <w:p w14:paraId="45958D6E">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2.4.饱和蒸汽采样管27m，材质15CrMo；</w:t>
            </w:r>
          </w:p>
          <w:p w14:paraId="4C3B589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2.5.进膨胀器管道φ42mm*3.5mm，长度7m，材质15CrMo。（含冷却水进出水管，汽水取样冷却器支架、水槽制作，配套法兰盘、紧固件）</w:t>
            </w:r>
          </w:p>
        </w:tc>
        <w:tc>
          <w:tcPr>
            <w:tcW w:w="567" w:type="dxa"/>
            <w:tcBorders>
              <w:top w:val="single" w:color="auto" w:sz="4" w:space="0"/>
              <w:left w:val="single" w:color="auto" w:sz="4" w:space="0"/>
              <w:bottom w:val="single" w:color="auto" w:sz="4" w:space="0"/>
              <w:right w:val="single" w:color="auto" w:sz="4" w:space="0"/>
            </w:tcBorders>
            <w:shd w:val="clear" w:color="000000" w:fill="FFFFFF"/>
            <w:vAlign w:val="center"/>
          </w:tcPr>
          <w:p w14:paraId="566209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single" w:color="auto" w:sz="4" w:space="0"/>
              <w:left w:val="single" w:color="auto" w:sz="4" w:space="0"/>
              <w:bottom w:val="single" w:color="auto" w:sz="4" w:space="0"/>
              <w:right w:val="single" w:color="auto" w:sz="4" w:space="0"/>
            </w:tcBorders>
            <w:shd w:val="clear" w:color="000000" w:fill="FFFFFF"/>
            <w:vAlign w:val="center"/>
          </w:tcPr>
          <w:p w14:paraId="4F06464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single" w:color="auto" w:sz="4" w:space="0"/>
              <w:left w:val="single" w:color="auto" w:sz="4" w:space="0"/>
              <w:bottom w:val="single" w:color="auto" w:sz="4" w:space="0"/>
              <w:right w:val="single" w:color="auto" w:sz="4" w:space="0"/>
            </w:tcBorders>
            <w:shd w:val="clear" w:color="000000" w:fill="FFFFFF"/>
            <w:vAlign w:val="center"/>
          </w:tcPr>
          <w:p w14:paraId="2929266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single" w:color="auto" w:sz="4" w:space="0"/>
              <w:left w:val="single" w:color="auto" w:sz="4" w:space="0"/>
              <w:bottom w:val="single" w:color="auto" w:sz="4" w:space="0"/>
              <w:right w:val="single" w:color="auto" w:sz="4" w:space="0"/>
            </w:tcBorders>
            <w:shd w:val="clear" w:color="000000" w:fill="FFFFFF"/>
            <w:vAlign w:val="center"/>
          </w:tcPr>
          <w:p w14:paraId="48048C31">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single" w:color="auto" w:sz="4" w:space="0"/>
              <w:left w:val="single" w:color="auto" w:sz="4" w:space="0"/>
              <w:bottom w:val="single" w:color="auto" w:sz="4" w:space="0"/>
              <w:right w:val="single" w:color="auto" w:sz="4" w:space="0"/>
            </w:tcBorders>
            <w:shd w:val="clear" w:color="000000" w:fill="FFFFFF"/>
            <w:vAlign w:val="center"/>
          </w:tcPr>
          <w:p w14:paraId="4D4412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（给水1台、炉水2台、饱和蒸汽1台、过热蒸汽1台）</w:t>
            </w:r>
          </w:p>
        </w:tc>
      </w:tr>
      <w:tr w14:paraId="6076134D">
        <w:tblPrEx>
          <w:tblCellMar>
            <w:top w:w="0" w:type="dxa"/>
            <w:left w:w="108" w:type="dxa"/>
            <w:bottom w:w="0" w:type="dxa"/>
            <w:right w:w="108" w:type="dxa"/>
          </w:tblCellMar>
        </w:tblPrEx>
        <w:trPr>
          <w:trHeight w:val="1140" w:hRule="atLeast"/>
          <w:jc w:val="center"/>
        </w:trPr>
        <w:tc>
          <w:tcPr>
            <w:tcW w:w="709" w:type="dxa"/>
            <w:tcBorders>
              <w:top w:val="single" w:color="auto" w:sz="4" w:space="0"/>
              <w:left w:val="single" w:color="auto" w:sz="4" w:space="0"/>
              <w:bottom w:val="single" w:color="auto" w:sz="4" w:space="0"/>
              <w:right w:val="single" w:color="auto" w:sz="4" w:space="0"/>
            </w:tcBorders>
            <w:shd w:val="clear" w:color="000000" w:fill="FFFFFF"/>
            <w:vAlign w:val="center"/>
          </w:tcPr>
          <w:p w14:paraId="3C19433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四</w:t>
            </w:r>
          </w:p>
        </w:tc>
        <w:tc>
          <w:tcPr>
            <w:tcW w:w="1701" w:type="dxa"/>
            <w:tcBorders>
              <w:top w:val="single" w:color="auto" w:sz="4" w:space="0"/>
              <w:left w:val="nil"/>
              <w:bottom w:val="single" w:color="auto" w:sz="4" w:space="0"/>
              <w:right w:val="single" w:color="auto" w:sz="4" w:space="0"/>
            </w:tcBorders>
            <w:shd w:val="clear" w:color="000000" w:fill="FFFFFF"/>
            <w:vAlign w:val="center"/>
          </w:tcPr>
          <w:p w14:paraId="3B4883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左侧泄漏的防焦管焊补</w:t>
            </w:r>
          </w:p>
        </w:tc>
        <w:tc>
          <w:tcPr>
            <w:tcW w:w="2693" w:type="dxa"/>
            <w:tcBorders>
              <w:top w:val="single" w:color="auto" w:sz="4" w:space="0"/>
              <w:left w:val="nil"/>
              <w:bottom w:val="single" w:color="auto" w:sz="4" w:space="0"/>
              <w:right w:val="single" w:color="auto" w:sz="4" w:space="0"/>
            </w:tcBorders>
            <w:shd w:val="clear" w:color="000000" w:fill="FFFFFF"/>
            <w:vAlign w:val="center"/>
          </w:tcPr>
          <w:p w14:paraId="7DFA46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1个口</w:t>
            </w:r>
          </w:p>
        </w:tc>
        <w:tc>
          <w:tcPr>
            <w:tcW w:w="567" w:type="dxa"/>
            <w:tcBorders>
              <w:top w:val="single" w:color="auto" w:sz="4" w:space="0"/>
              <w:left w:val="nil"/>
              <w:bottom w:val="single" w:color="auto" w:sz="4" w:space="0"/>
              <w:right w:val="single" w:color="auto" w:sz="4" w:space="0"/>
            </w:tcBorders>
            <w:shd w:val="clear" w:color="000000" w:fill="FFFFFF"/>
            <w:vAlign w:val="center"/>
          </w:tcPr>
          <w:p w14:paraId="219C830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single" w:color="auto" w:sz="4" w:space="0"/>
              <w:left w:val="nil"/>
              <w:bottom w:val="single" w:color="auto" w:sz="4" w:space="0"/>
              <w:right w:val="single" w:color="auto" w:sz="4" w:space="0"/>
            </w:tcBorders>
            <w:shd w:val="clear" w:color="000000" w:fill="FFFFFF"/>
            <w:vAlign w:val="center"/>
          </w:tcPr>
          <w:p w14:paraId="12C81C4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single" w:color="auto" w:sz="4" w:space="0"/>
              <w:left w:val="nil"/>
              <w:bottom w:val="single" w:color="auto" w:sz="4" w:space="0"/>
              <w:right w:val="single" w:color="auto" w:sz="4" w:space="0"/>
            </w:tcBorders>
            <w:shd w:val="clear" w:color="000000" w:fill="FFFFFF"/>
            <w:vAlign w:val="center"/>
          </w:tcPr>
          <w:p w14:paraId="77C3AEB8">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single" w:color="auto" w:sz="4" w:space="0"/>
              <w:left w:val="nil"/>
              <w:bottom w:val="single" w:color="auto" w:sz="4" w:space="0"/>
              <w:right w:val="single" w:color="auto" w:sz="4" w:space="0"/>
            </w:tcBorders>
            <w:shd w:val="clear" w:color="000000" w:fill="FFFFFF"/>
            <w:vAlign w:val="center"/>
          </w:tcPr>
          <w:p w14:paraId="254C250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single" w:color="auto" w:sz="4" w:space="0"/>
              <w:left w:val="nil"/>
              <w:bottom w:val="single" w:color="auto" w:sz="4" w:space="0"/>
              <w:right w:val="single" w:color="auto" w:sz="4" w:space="0"/>
            </w:tcBorders>
            <w:shd w:val="clear" w:color="000000" w:fill="FFFFFF"/>
            <w:vAlign w:val="center"/>
          </w:tcPr>
          <w:p w14:paraId="3443FA4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r>
      <w:tr w14:paraId="0DBBC2BC">
        <w:tblPrEx>
          <w:tblCellMar>
            <w:top w:w="0" w:type="dxa"/>
            <w:left w:w="108" w:type="dxa"/>
            <w:bottom w:w="0" w:type="dxa"/>
            <w:right w:w="108" w:type="dxa"/>
          </w:tblCellMar>
        </w:tblPrEx>
        <w:trPr>
          <w:trHeight w:val="1164"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34E540C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五</w:t>
            </w:r>
          </w:p>
        </w:tc>
        <w:tc>
          <w:tcPr>
            <w:tcW w:w="1701" w:type="dxa"/>
            <w:tcBorders>
              <w:top w:val="nil"/>
              <w:left w:val="nil"/>
              <w:bottom w:val="single" w:color="auto" w:sz="4" w:space="0"/>
              <w:right w:val="single" w:color="auto" w:sz="4" w:space="0"/>
            </w:tcBorders>
            <w:shd w:val="clear" w:color="000000" w:fill="FFFFFF"/>
          </w:tcPr>
          <w:p w14:paraId="1C950A80">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更换上锅筒连接到连排之间的排污管道（φ27mm*3.5mm）及主管φ42mm*3.5mm</w:t>
            </w:r>
          </w:p>
        </w:tc>
        <w:tc>
          <w:tcPr>
            <w:tcW w:w="2693" w:type="dxa"/>
            <w:tcBorders>
              <w:top w:val="nil"/>
              <w:left w:val="nil"/>
              <w:bottom w:val="single" w:color="auto" w:sz="4" w:space="0"/>
              <w:right w:val="single" w:color="auto" w:sz="4" w:space="0"/>
            </w:tcBorders>
            <w:shd w:val="clear" w:color="000000" w:fill="FFFFFF"/>
          </w:tcPr>
          <w:p w14:paraId="3436E745">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排污管（DN20）长23m，材质20（G B3087）；主管φ42mm*3.5mm管长6m </w:t>
            </w:r>
          </w:p>
        </w:tc>
        <w:tc>
          <w:tcPr>
            <w:tcW w:w="567" w:type="dxa"/>
            <w:tcBorders>
              <w:top w:val="nil"/>
              <w:left w:val="nil"/>
              <w:bottom w:val="single" w:color="auto" w:sz="4" w:space="0"/>
              <w:right w:val="single" w:color="auto" w:sz="4" w:space="0"/>
            </w:tcBorders>
            <w:shd w:val="clear" w:color="000000" w:fill="FFFFFF"/>
            <w:vAlign w:val="center"/>
          </w:tcPr>
          <w:p w14:paraId="561829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31160C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656842E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11E35915">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6310B28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r>
      <w:tr w14:paraId="547B6BAC">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390A42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六</w:t>
            </w:r>
          </w:p>
        </w:tc>
        <w:tc>
          <w:tcPr>
            <w:tcW w:w="1701" w:type="dxa"/>
            <w:tcBorders>
              <w:top w:val="nil"/>
              <w:left w:val="nil"/>
              <w:bottom w:val="single" w:color="auto" w:sz="4" w:space="0"/>
              <w:right w:val="single" w:color="auto" w:sz="4" w:space="0"/>
            </w:tcBorders>
            <w:shd w:val="clear" w:color="000000" w:fill="FFFFFF"/>
            <w:vAlign w:val="center"/>
          </w:tcPr>
          <w:p w14:paraId="5291764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空气预热器管更换</w:t>
            </w:r>
          </w:p>
        </w:tc>
        <w:tc>
          <w:tcPr>
            <w:tcW w:w="2693" w:type="dxa"/>
            <w:tcBorders>
              <w:top w:val="nil"/>
              <w:left w:val="nil"/>
              <w:bottom w:val="single" w:color="auto" w:sz="4" w:space="0"/>
              <w:right w:val="single" w:color="auto" w:sz="4" w:space="0"/>
            </w:tcBorders>
            <w:shd w:val="clear" w:color="000000" w:fill="FFFFFF"/>
            <w:vAlign w:val="center"/>
          </w:tcPr>
          <w:p w14:paraId="470191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（规格：高频焊管φ51mm*2mm，长度3494mm）1678根</w:t>
            </w:r>
          </w:p>
        </w:tc>
        <w:tc>
          <w:tcPr>
            <w:tcW w:w="567" w:type="dxa"/>
            <w:tcBorders>
              <w:top w:val="nil"/>
              <w:left w:val="nil"/>
              <w:bottom w:val="single" w:color="auto" w:sz="4" w:space="0"/>
              <w:right w:val="single" w:color="auto" w:sz="4" w:space="0"/>
            </w:tcBorders>
            <w:shd w:val="clear" w:color="000000" w:fill="FFFFFF"/>
            <w:vAlign w:val="center"/>
          </w:tcPr>
          <w:p w14:paraId="4EE519C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672D5AE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nil"/>
              <w:left w:val="single" w:color="auto" w:sz="4" w:space="0"/>
              <w:bottom w:val="single" w:color="auto" w:sz="4" w:space="0"/>
              <w:right w:val="single" w:color="auto" w:sz="4" w:space="0"/>
            </w:tcBorders>
            <w:shd w:val="clear" w:color="000000" w:fill="FFFFFF"/>
            <w:vAlign w:val="center"/>
          </w:tcPr>
          <w:p w14:paraId="0CC1D1A5">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single" w:color="auto" w:sz="4" w:space="0"/>
              <w:bottom w:val="single" w:color="auto" w:sz="4" w:space="0"/>
              <w:right w:val="single" w:color="auto" w:sz="4" w:space="0"/>
            </w:tcBorders>
            <w:shd w:val="clear" w:color="000000" w:fill="FFFFFF"/>
            <w:vAlign w:val="center"/>
          </w:tcPr>
          <w:p w14:paraId="661E4E3F">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single" w:color="auto" w:sz="4" w:space="0"/>
              <w:bottom w:val="single" w:color="auto" w:sz="4" w:space="0"/>
              <w:right w:val="single" w:color="auto" w:sz="4" w:space="0"/>
            </w:tcBorders>
            <w:shd w:val="clear" w:color="000000" w:fill="FFFFFF"/>
            <w:vAlign w:val="center"/>
          </w:tcPr>
          <w:p w14:paraId="2AAF53E8">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r>
      <w:tr w14:paraId="72A91A75">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47218B3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22AE6B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拆除原有空气预热器管更换</w:t>
            </w:r>
          </w:p>
        </w:tc>
        <w:tc>
          <w:tcPr>
            <w:tcW w:w="2693" w:type="dxa"/>
            <w:tcBorders>
              <w:top w:val="nil"/>
              <w:left w:val="nil"/>
              <w:bottom w:val="single" w:color="auto" w:sz="4" w:space="0"/>
              <w:right w:val="single" w:color="auto" w:sz="4" w:space="0"/>
            </w:tcBorders>
            <w:shd w:val="clear" w:color="000000" w:fill="FFFFFF"/>
            <w:vAlign w:val="center"/>
          </w:tcPr>
          <w:p w14:paraId="0102C12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（规格：高频焊管φ51mm*2mm，长度3494mm）1678根（含需要拆除的烟道墙等）</w:t>
            </w:r>
          </w:p>
        </w:tc>
        <w:tc>
          <w:tcPr>
            <w:tcW w:w="567" w:type="dxa"/>
            <w:tcBorders>
              <w:top w:val="nil"/>
              <w:left w:val="nil"/>
              <w:bottom w:val="single" w:color="auto" w:sz="4" w:space="0"/>
              <w:right w:val="single" w:color="auto" w:sz="4" w:space="0"/>
            </w:tcBorders>
            <w:shd w:val="clear" w:color="000000" w:fill="FFFFFF"/>
            <w:vAlign w:val="center"/>
          </w:tcPr>
          <w:p w14:paraId="1BDDF3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764FBB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nil"/>
              <w:left w:val="single" w:color="auto" w:sz="4" w:space="0"/>
              <w:bottom w:val="single" w:color="auto" w:sz="4" w:space="0"/>
              <w:right w:val="single" w:color="auto" w:sz="4" w:space="0"/>
            </w:tcBorders>
            <w:shd w:val="clear" w:color="000000" w:fill="FFFFFF"/>
            <w:vAlign w:val="center"/>
          </w:tcPr>
          <w:p w14:paraId="0390AB7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single" w:color="auto" w:sz="4" w:space="0"/>
              <w:bottom w:val="single" w:color="auto" w:sz="4" w:space="0"/>
              <w:right w:val="single" w:color="auto" w:sz="4" w:space="0"/>
            </w:tcBorders>
            <w:shd w:val="clear" w:color="000000" w:fill="FFFFFF"/>
            <w:vAlign w:val="center"/>
          </w:tcPr>
          <w:p w14:paraId="6E93B6B6">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single" w:color="auto" w:sz="4" w:space="0"/>
              <w:bottom w:val="single" w:color="auto" w:sz="4" w:space="0"/>
              <w:right w:val="single" w:color="auto" w:sz="4" w:space="0"/>
            </w:tcBorders>
            <w:shd w:val="clear" w:color="000000" w:fill="FFFFFF"/>
            <w:vAlign w:val="center"/>
          </w:tcPr>
          <w:p w14:paraId="4040FF5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r>
      <w:tr w14:paraId="16AE86B6">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292A42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2</w:t>
            </w:r>
          </w:p>
        </w:tc>
        <w:tc>
          <w:tcPr>
            <w:tcW w:w="1701" w:type="dxa"/>
            <w:tcBorders>
              <w:top w:val="nil"/>
              <w:left w:val="nil"/>
              <w:bottom w:val="single" w:color="auto" w:sz="4" w:space="0"/>
              <w:right w:val="single" w:color="auto" w:sz="4" w:space="0"/>
            </w:tcBorders>
            <w:shd w:val="clear" w:color="000000" w:fill="FFFFFF"/>
            <w:vAlign w:val="center"/>
          </w:tcPr>
          <w:p w14:paraId="5BFA769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安装空气预热器管</w:t>
            </w:r>
          </w:p>
        </w:tc>
        <w:tc>
          <w:tcPr>
            <w:tcW w:w="2693" w:type="dxa"/>
            <w:tcBorders>
              <w:top w:val="nil"/>
              <w:left w:val="nil"/>
              <w:bottom w:val="single" w:color="auto" w:sz="4" w:space="0"/>
              <w:right w:val="single" w:color="auto" w:sz="4" w:space="0"/>
            </w:tcBorders>
            <w:shd w:val="clear" w:color="000000" w:fill="FFFFFF"/>
            <w:vAlign w:val="center"/>
          </w:tcPr>
          <w:p w14:paraId="36D3DE9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（材质：Q235A; 规格：高频焊管φ51mm*2mm，长度3494mm）1678根（含需要恢复的烟道墙等）</w:t>
            </w:r>
          </w:p>
        </w:tc>
        <w:tc>
          <w:tcPr>
            <w:tcW w:w="567" w:type="dxa"/>
            <w:tcBorders>
              <w:top w:val="nil"/>
              <w:left w:val="nil"/>
              <w:bottom w:val="single" w:color="auto" w:sz="4" w:space="0"/>
              <w:right w:val="single" w:color="auto" w:sz="4" w:space="0"/>
            </w:tcBorders>
            <w:shd w:val="clear" w:color="000000" w:fill="FFFFFF"/>
            <w:vAlign w:val="center"/>
          </w:tcPr>
          <w:p w14:paraId="6F863B4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1C96B4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2451D880">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3A60E35F">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1F915C8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r>
      <w:tr w14:paraId="32644803">
        <w:tblPrEx>
          <w:tblCellMar>
            <w:top w:w="0" w:type="dxa"/>
            <w:left w:w="108" w:type="dxa"/>
            <w:bottom w:w="0" w:type="dxa"/>
            <w:right w:w="108" w:type="dxa"/>
          </w:tblCellMar>
        </w:tblPrEx>
        <w:trPr>
          <w:trHeight w:val="984"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14:paraId="09DC0621">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701" w:type="dxa"/>
            <w:tcBorders>
              <w:top w:val="nil"/>
              <w:left w:val="nil"/>
              <w:bottom w:val="single" w:color="auto" w:sz="4" w:space="0"/>
              <w:right w:val="single" w:color="auto" w:sz="4" w:space="0"/>
            </w:tcBorders>
            <w:shd w:val="clear" w:color="000000" w:fill="FFFFFF"/>
            <w:vAlign w:val="center"/>
          </w:tcPr>
          <w:p w14:paraId="46B97F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小计</w:t>
            </w:r>
          </w:p>
        </w:tc>
        <w:tc>
          <w:tcPr>
            <w:tcW w:w="2693" w:type="dxa"/>
            <w:tcBorders>
              <w:top w:val="nil"/>
              <w:left w:val="nil"/>
              <w:bottom w:val="single" w:color="auto" w:sz="4" w:space="0"/>
              <w:right w:val="single" w:color="auto" w:sz="4" w:space="0"/>
            </w:tcBorders>
            <w:shd w:val="clear" w:color="000000" w:fill="FFFFFF"/>
            <w:vAlign w:val="center"/>
          </w:tcPr>
          <w:p w14:paraId="23997E75">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567" w:type="dxa"/>
            <w:tcBorders>
              <w:top w:val="nil"/>
              <w:left w:val="nil"/>
              <w:bottom w:val="single" w:color="auto" w:sz="4" w:space="0"/>
              <w:right w:val="single" w:color="auto" w:sz="4" w:space="0"/>
            </w:tcBorders>
            <w:shd w:val="clear" w:color="000000" w:fill="FFFFFF"/>
            <w:vAlign w:val="center"/>
          </w:tcPr>
          <w:p w14:paraId="4F3E7A6E">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567" w:type="dxa"/>
            <w:tcBorders>
              <w:top w:val="nil"/>
              <w:left w:val="nil"/>
              <w:bottom w:val="single" w:color="auto" w:sz="4" w:space="0"/>
              <w:right w:val="single" w:color="auto" w:sz="4" w:space="0"/>
            </w:tcBorders>
            <w:shd w:val="clear" w:color="000000" w:fill="FFFFFF"/>
            <w:vAlign w:val="center"/>
          </w:tcPr>
          <w:p w14:paraId="2F3A0556">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51" w:type="dxa"/>
            <w:tcBorders>
              <w:top w:val="nil"/>
              <w:left w:val="nil"/>
              <w:bottom w:val="single" w:color="auto" w:sz="4" w:space="0"/>
              <w:right w:val="single" w:color="auto" w:sz="4" w:space="0"/>
            </w:tcBorders>
            <w:shd w:val="clear" w:color="000000" w:fill="FFFFFF"/>
            <w:vAlign w:val="center"/>
          </w:tcPr>
          <w:p w14:paraId="54683B2A">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393B8A3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31AB320E">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r>
      <w:tr w14:paraId="11700AB8">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05ACF969">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701" w:type="dxa"/>
            <w:tcBorders>
              <w:top w:val="nil"/>
              <w:left w:val="nil"/>
              <w:bottom w:val="single" w:color="auto" w:sz="4" w:space="0"/>
              <w:right w:val="single" w:color="auto" w:sz="4" w:space="0"/>
            </w:tcBorders>
            <w:shd w:val="clear" w:color="000000" w:fill="FFFFFF"/>
            <w:vAlign w:val="center"/>
          </w:tcPr>
          <w:p w14:paraId="40F9F51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合计（含税））</w:t>
            </w:r>
          </w:p>
        </w:tc>
        <w:tc>
          <w:tcPr>
            <w:tcW w:w="2693" w:type="dxa"/>
            <w:tcBorders>
              <w:top w:val="nil"/>
              <w:left w:val="nil"/>
              <w:bottom w:val="single" w:color="auto" w:sz="4" w:space="0"/>
              <w:right w:val="single" w:color="auto" w:sz="4" w:space="0"/>
            </w:tcBorders>
            <w:shd w:val="clear" w:color="000000" w:fill="FFFFFF"/>
            <w:vAlign w:val="center"/>
          </w:tcPr>
          <w:p w14:paraId="401A5786">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567" w:type="dxa"/>
            <w:tcBorders>
              <w:top w:val="nil"/>
              <w:left w:val="nil"/>
              <w:bottom w:val="single" w:color="auto" w:sz="4" w:space="0"/>
              <w:right w:val="single" w:color="auto" w:sz="4" w:space="0"/>
            </w:tcBorders>
            <w:shd w:val="clear" w:color="000000" w:fill="FFFFFF"/>
            <w:vAlign w:val="center"/>
          </w:tcPr>
          <w:p w14:paraId="59749938">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567" w:type="dxa"/>
            <w:tcBorders>
              <w:top w:val="nil"/>
              <w:left w:val="nil"/>
              <w:bottom w:val="single" w:color="auto" w:sz="4" w:space="0"/>
              <w:right w:val="single" w:color="auto" w:sz="4" w:space="0"/>
            </w:tcBorders>
            <w:shd w:val="clear" w:color="000000" w:fill="FFFFFF"/>
            <w:vAlign w:val="center"/>
          </w:tcPr>
          <w:p w14:paraId="2E157D4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51" w:type="dxa"/>
            <w:tcBorders>
              <w:top w:val="nil"/>
              <w:left w:val="nil"/>
              <w:bottom w:val="single" w:color="auto" w:sz="4" w:space="0"/>
              <w:right w:val="single" w:color="auto" w:sz="4" w:space="0"/>
            </w:tcBorders>
            <w:shd w:val="clear" w:color="000000" w:fill="FFFFFF"/>
            <w:vAlign w:val="center"/>
          </w:tcPr>
          <w:p w14:paraId="41800B7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759696A1">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53F7D20B">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r>
    </w:tbl>
    <w:p w14:paraId="486F5CF0">
      <w:pPr>
        <w:spacing w:line="560" w:lineRule="exact"/>
        <w:ind w:firstLine="640" w:firstLineChars="200"/>
        <w:jc w:val="both"/>
        <w:rPr>
          <w:rFonts w:ascii="Times New Roman" w:hAnsi="Times New Roman" w:eastAsia="仿宋_GB2312" w:cs="Times New Roman"/>
          <w:b/>
          <w:sz w:val="32"/>
          <w:szCs w:val="32"/>
        </w:rPr>
      </w:pPr>
      <w:r>
        <w:rPr>
          <w:rFonts w:ascii="Times New Roman" w:hAnsi="Times New Roman" w:eastAsia="黑体" w:cs="Times New Roman"/>
          <w:sz w:val="32"/>
          <w:szCs w:val="32"/>
        </w:rPr>
        <w:t>第三条：其他要求</w:t>
      </w:r>
    </w:p>
    <w:p w14:paraId="07E4B1E6">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 空气预热器换管后受热面积与原来的不变，焊口平整，风压试验焊口、管子无通漏。</w:t>
      </w:r>
    </w:p>
    <w:p w14:paraId="2EEA01AF">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 汽水取样冷却器选型满足正常生产使用要求。</w:t>
      </w:r>
    </w:p>
    <w:p w14:paraId="4759BB2F">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 炉墙砌筑浇筑平整完好。</w:t>
      </w:r>
    </w:p>
    <w:p w14:paraId="3ABDFC08">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4.制作安装应符合但不限于以下技术规范：</w:t>
      </w:r>
    </w:p>
    <w:p w14:paraId="75BA7B4B">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《锅炉安全技术监察规程规范》TSG G0001-2012</w:t>
      </w:r>
    </w:p>
    <w:p w14:paraId="33707BE1">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《工业锅炉砌筑工程施工及验收规范》GB50211-2004</w:t>
      </w:r>
    </w:p>
    <w:p w14:paraId="415E57BF">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《火力施工质量检验及评定标准》锅炉篇、焊接篇</w:t>
      </w:r>
    </w:p>
    <w:p w14:paraId="19CC5460">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9.材料、设备的供应：本项目为交钥匙工程，所需材料及辅材均由投标方提供并运输到业主现场，发生的一切费用由乙方负责。</w:t>
      </w:r>
    </w:p>
    <w:p w14:paraId="02DFD04A">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outlineLvl w:val="2"/>
        <w:rPr>
          <w:rFonts w:ascii="Times New Roman" w:hAnsi="Times New Roman" w:eastAsia="仿宋_GB2312" w:cs="Times New Roman"/>
          <w:sz w:val="32"/>
          <w:szCs w:val="32"/>
        </w:rPr>
      </w:pPr>
      <w:bookmarkStart w:id="202" w:name="_Toc31229"/>
      <w:r>
        <w:rPr>
          <w:rFonts w:ascii="Times New Roman" w:hAnsi="Times New Roman" w:eastAsia="仿宋_GB2312" w:cs="Times New Roman"/>
          <w:sz w:val="32"/>
          <w:szCs w:val="32"/>
        </w:rPr>
        <w:t>10.施工技术要求</w:t>
      </w:r>
      <w:bookmarkEnd w:id="202"/>
    </w:p>
    <w:p w14:paraId="0DD80EE1">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10.1甲方提供的方案只作为参考，乙方需结合项目实际需求及相关标准设计、制作，乙方提供改造设计方案经甲方审核合格后，方可进行施工。</w:t>
      </w:r>
    </w:p>
    <w:p w14:paraId="1DF749E1">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10.2工程施工必须按照项目需求及国家有关规定、技术规范进行安装施工，按第一条“主要指标及技术要求”第（三）款“技术要求”执行。</w:t>
      </w:r>
    </w:p>
    <w:p w14:paraId="356CB924">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第四条 设备验收</w:t>
      </w:r>
    </w:p>
    <w:p w14:paraId="3593A082">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4.1设备验收方法</w:t>
      </w:r>
    </w:p>
    <w:p w14:paraId="5A819C73">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4.2收货前：乙方应对设备的质量、规格、性能、数量和重量等进行详细而全面的检验，出具一份证明设备符合规定的证书，该证书将作为申请付款凭据的一部分，但有关质量、规格性能、数量或重量的检验不应视为最终检验。</w:t>
      </w:r>
    </w:p>
    <w:p w14:paraId="6C289DA0">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4.3到货后验收：设备运抵现场后，甲方将对设备的质量、规格、数量和重量进行检验，并按技术要求进行验收。</w:t>
      </w:r>
    </w:p>
    <w:p w14:paraId="741F91BF">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4.4设备竣工验收：项目整体施工完毕，经双方按第一条“主要指标及技术要求”第2款“施工内容、材料清单及相关技术要求”及第3款“技术要求”等进行验收，达到要求即为竣工验收合格。</w:t>
      </w:r>
    </w:p>
    <w:p w14:paraId="7848E04A">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4.5性能验收：</w:t>
      </w:r>
    </w:p>
    <w:p w14:paraId="4621ABFD">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4.5.1安装峻工验收合格并正常使用一个月后，</w:t>
      </w:r>
      <w:bookmarkStart w:id="203" w:name="_Hlk168037995"/>
      <w:r>
        <w:rPr>
          <w:rFonts w:ascii="Times New Roman" w:hAnsi="Times New Roman" w:eastAsia="仿宋_GB2312" w:cs="Times New Roman"/>
          <w:sz w:val="32"/>
          <w:szCs w:val="32"/>
        </w:rPr>
        <w:t>各修理部位无通漏、损坏，运行正常</w:t>
      </w:r>
      <w:bookmarkEnd w:id="203"/>
      <w:r>
        <w:rPr>
          <w:rFonts w:ascii="Times New Roman" w:hAnsi="Times New Roman" w:eastAsia="仿宋_GB2312" w:cs="Times New Roman"/>
          <w:sz w:val="32"/>
          <w:szCs w:val="32"/>
        </w:rPr>
        <w:t>，即为验收合格。</w:t>
      </w:r>
    </w:p>
    <w:p w14:paraId="659900C5">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4.5.2竣工验收合格之日起12个月内，各修理部位无通漏、损坏运行正常，无故障，即为质保期验收合格。</w:t>
      </w:r>
    </w:p>
    <w:p w14:paraId="5A7C4AD7">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第五条 乙方的技术服务</w:t>
      </w:r>
    </w:p>
    <w:p w14:paraId="7CDD93CE">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5.1乙方在合同生效后10天内向甲方提供完成需要的技术数据。</w:t>
      </w:r>
    </w:p>
    <w:p w14:paraId="3FFA0F5F">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5.2竣工验收前，乙方应对设备进行运行调试，并对质量、规格、性能、数量和重量等进行详细而全面的检验。 </w:t>
      </w:r>
    </w:p>
    <w:p w14:paraId="1ADDFE40">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5.3乙方须提供完整的产品质量证明书、使用说明书等技术资料。</w:t>
      </w:r>
    </w:p>
    <w:p w14:paraId="3BCBE44C">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b/>
          <w:sz w:val="32"/>
          <w:szCs w:val="32"/>
        </w:rPr>
      </w:pPr>
      <w:r>
        <w:rPr>
          <w:rFonts w:ascii="Times New Roman" w:hAnsi="Times New Roman" w:eastAsia="黑体" w:cs="Times New Roman"/>
          <w:sz w:val="32"/>
          <w:szCs w:val="32"/>
        </w:rPr>
        <w:t>第六条 乙方的免费技术服务</w:t>
      </w:r>
    </w:p>
    <w:p w14:paraId="568D6726">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6.1甲方对乙方提供的设备有疑问的，乙方负责24小时内给予答复及派人处理。</w:t>
      </w:r>
    </w:p>
    <w:p w14:paraId="401AF62B">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6.2质保期内属制造、安装方面的问题，乙方负责免费维修。</w:t>
      </w:r>
    </w:p>
    <w:p w14:paraId="4DBF040E">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第七条 本协议作为</w:t>
      </w:r>
      <w:r>
        <w:rPr>
          <w:rFonts w:ascii="Times New Roman" w:hAnsi="Times New Roman" w:eastAsia="仿宋_GB2312" w:cs="Times New Roman"/>
          <w:b/>
          <w:sz w:val="32"/>
          <w:szCs w:val="32"/>
        </w:rPr>
        <w:t>《</w:t>
      </w:r>
      <w:r>
        <w:rPr>
          <w:rFonts w:ascii="Times New Roman" w:hAnsi="Times New Roman" w:eastAsia="仿宋_GB2312" w:cs="Times New Roman"/>
          <w:sz w:val="32"/>
          <w:szCs w:val="32"/>
        </w:rPr>
        <w:t>中粮梁河糖业公司设备购置及土建项目-梁河糖业2024年勐养动力车间35t/h锅炉修理项目</w:t>
      </w:r>
      <w:r>
        <w:rPr>
          <w:rFonts w:ascii="Times New Roman" w:hAnsi="Times New Roman" w:eastAsia="仿宋_GB2312" w:cs="Times New Roman"/>
          <w:b/>
          <w:sz w:val="32"/>
          <w:szCs w:val="32"/>
        </w:rPr>
        <w:t>合同》</w:t>
      </w:r>
      <w:r>
        <w:rPr>
          <w:rFonts w:ascii="Times New Roman" w:hAnsi="Times New Roman" w:eastAsia="仿宋_GB2312" w:cs="Times New Roman"/>
          <w:sz w:val="32"/>
          <w:szCs w:val="32"/>
        </w:rPr>
        <w:t>的附件，与购销合同具有同等的法律效力。本协议一式肆份，双方各执贰份；本协议自双方签字、盖章之日起生效。</w:t>
      </w:r>
    </w:p>
    <w:p w14:paraId="7A2AC174">
      <w:pPr>
        <w:spacing w:line="560" w:lineRule="exact"/>
        <w:ind w:firstLine="640" w:firstLineChars="200"/>
        <w:jc w:val="both"/>
        <w:rPr>
          <w:rFonts w:ascii="Times New Roman" w:hAnsi="Times New Roman" w:eastAsia="仿宋_GB2312" w:cs="Times New Roman"/>
          <w:sz w:val="32"/>
          <w:szCs w:val="32"/>
        </w:rPr>
      </w:pPr>
    </w:p>
    <w:p w14:paraId="42655A75">
      <w:pPr>
        <w:spacing w:line="560" w:lineRule="exact"/>
        <w:ind w:firstLine="640" w:firstLineChars="200"/>
        <w:jc w:val="both"/>
        <w:rPr>
          <w:rFonts w:ascii="Times New Roman" w:hAnsi="Times New Roman" w:eastAsia="仿宋_GB2312" w:cs="Times New Roman"/>
          <w:sz w:val="32"/>
          <w:szCs w:val="32"/>
        </w:rPr>
      </w:pPr>
    </w:p>
    <w:p w14:paraId="49357BA6">
      <w:pPr>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甲方：                                    乙方：                    </w:t>
      </w:r>
    </w:p>
    <w:p w14:paraId="5C75E4C0">
      <w:pPr>
        <w:spacing w:line="560" w:lineRule="exact"/>
        <w:ind w:firstLine="640" w:firstLineChars="200"/>
        <w:jc w:val="both"/>
        <w:rPr>
          <w:rFonts w:ascii="Times New Roman" w:hAnsi="Times New Roman" w:eastAsia="仿宋_GB2312" w:cs="Times New Roman"/>
          <w:sz w:val="32"/>
          <w:szCs w:val="32"/>
        </w:rPr>
      </w:pPr>
    </w:p>
    <w:p w14:paraId="4FA8EFDD">
      <w:pPr>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委托代理人：                        委托代理人：      </w:t>
      </w:r>
    </w:p>
    <w:p w14:paraId="7541603D">
      <w:pPr>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04834201">
      <w:pPr>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签订时间：   年   月   日           签订时间：   年   月   日</w:t>
      </w:r>
    </w:p>
    <w:p w14:paraId="61C3FD68">
      <w:pPr>
        <w:spacing w:line="560" w:lineRule="exact"/>
        <w:jc w:val="both"/>
        <w:outlineLvl w:val="1"/>
        <w:rPr>
          <w:rFonts w:ascii="Times New Roman" w:hAnsi="Times New Roman" w:eastAsia="仿宋_GB2312" w:cs="Times New Roman"/>
          <w:sz w:val="30"/>
          <w:szCs w:val="30"/>
        </w:rPr>
      </w:pPr>
      <w:r>
        <w:rPr>
          <w:rFonts w:ascii="Times New Roman" w:hAnsi="Times New Roman" w:eastAsia="仿宋_GB2312" w:cs="Times New Roman"/>
          <w:sz w:val="32"/>
          <w:szCs w:val="32"/>
        </w:rPr>
        <w:br w:type="page"/>
      </w:r>
      <w:bookmarkStart w:id="204" w:name="_Toc5606"/>
      <w:r>
        <w:rPr>
          <w:rFonts w:ascii="Times New Roman" w:hAnsi="Times New Roman" w:eastAsia="仿宋_GB2312" w:cs="Times New Roman"/>
          <w:sz w:val="30"/>
          <w:szCs w:val="30"/>
        </w:rPr>
        <w:t>附件2. 廉洁合同</w:t>
      </w:r>
      <w:bookmarkEnd w:id="204"/>
    </w:p>
    <w:p w14:paraId="341B0A35">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廉洁合同</w:t>
      </w:r>
    </w:p>
    <w:p w14:paraId="019A492B">
      <w:pPr>
        <w:keepNext w:val="0"/>
        <w:keepLines w:val="0"/>
        <w:pageBreakBefore w:val="0"/>
        <w:widowControl/>
        <w:kinsoku/>
        <w:wordWrap/>
        <w:overflowPunct/>
        <w:topLinePunct w:val="0"/>
        <w:autoSpaceDE/>
        <w:autoSpaceDN/>
        <w:bidi w:val="0"/>
        <w:adjustRightInd/>
        <w:snapToGrid/>
        <w:spacing w:line="520" w:lineRule="exac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项目名称：中粮梁河糖业公司设备购置及土建项目-梁河糖业2024年勐养动力车间35t/h锅炉修理项目</w:t>
      </w:r>
    </w:p>
    <w:p w14:paraId="2630F3D4">
      <w:pPr>
        <w:keepNext w:val="0"/>
        <w:keepLines w:val="0"/>
        <w:pageBreakBefore w:val="0"/>
        <w:widowControl/>
        <w:kinsoku/>
        <w:wordWrap/>
        <w:overflowPunct/>
        <w:topLinePunct w:val="0"/>
        <w:autoSpaceDE/>
        <w:autoSpaceDN/>
        <w:bidi w:val="0"/>
        <w:adjustRightInd/>
        <w:snapToGrid/>
        <w:spacing w:line="520" w:lineRule="exact"/>
        <w:textAlignment w:val="auto"/>
        <w:outlineLvl w:val="1"/>
        <w:rPr>
          <w:rFonts w:ascii="Times New Roman" w:hAnsi="Times New Roman" w:eastAsia="仿宋_GB2312" w:cs="Times New Roman"/>
          <w:sz w:val="32"/>
          <w:szCs w:val="32"/>
        </w:rPr>
      </w:pPr>
      <w:bookmarkStart w:id="205" w:name="_Toc10761"/>
      <w:r>
        <w:rPr>
          <w:rFonts w:ascii="Times New Roman" w:hAnsi="Times New Roman" w:eastAsia="仿宋_GB2312" w:cs="Times New Roman"/>
          <w:sz w:val="32"/>
          <w:szCs w:val="32"/>
        </w:rPr>
        <w:t>甲   方：中粮梁河糖业有限公司</w:t>
      </w:r>
      <w:bookmarkEnd w:id="205"/>
    </w:p>
    <w:p w14:paraId="2D62D3D5">
      <w:pPr>
        <w:keepNext w:val="0"/>
        <w:keepLines w:val="0"/>
        <w:pageBreakBefore w:val="0"/>
        <w:widowControl/>
        <w:kinsoku/>
        <w:wordWrap/>
        <w:overflowPunct/>
        <w:topLinePunct w:val="0"/>
        <w:autoSpaceDE/>
        <w:autoSpaceDN/>
        <w:bidi w:val="0"/>
        <w:adjustRightInd/>
        <w:snapToGrid/>
        <w:spacing w:line="520" w:lineRule="exac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乙   方： </w:t>
      </w:r>
    </w:p>
    <w:p w14:paraId="445141D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为规范中粮梁河糖业有限公司</w:t>
      </w:r>
      <w:r>
        <w:rPr>
          <w:rFonts w:hint="eastAsia" w:ascii="Times New Roman" w:hAnsi="Times New Roman" w:eastAsia="仿宋_GB2312" w:cs="Times New Roman"/>
          <w:sz w:val="32"/>
          <w:szCs w:val="32"/>
          <w:u w:val="single"/>
          <w:lang w:val="en-US" w:eastAsia="zh-CN"/>
        </w:rPr>
        <w:t>中粮梁河糖业公司设备购置及土建项目-</w:t>
      </w:r>
      <w:r>
        <w:rPr>
          <w:rFonts w:ascii="Times New Roman" w:hAnsi="Times New Roman" w:eastAsia="仿宋_GB2312" w:cs="Times New Roman"/>
          <w:sz w:val="32"/>
          <w:szCs w:val="32"/>
          <w:u w:val="single"/>
        </w:rPr>
        <w:t>梁河糖业2024年勐养动力车间35t/h锅炉修理项目</w:t>
      </w:r>
      <w:r>
        <w:rPr>
          <w:rFonts w:ascii="Times New Roman" w:hAnsi="Times New Roman" w:eastAsia="仿宋_GB2312" w:cs="Times New Roman"/>
          <w:sz w:val="32"/>
          <w:szCs w:val="32"/>
        </w:rPr>
        <w:t>的项目采购工作，防止违法违纪事件的发生，经甲方、乙方协商同意，双方将严格执行以下条款。</w:t>
      </w:r>
    </w:p>
    <w:p w14:paraId="1E40C969">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1"/>
        <w:rPr>
          <w:rFonts w:ascii="Times New Roman" w:hAnsi="Times New Roman" w:eastAsia="黑体" w:cs="Times New Roman"/>
          <w:sz w:val="32"/>
          <w:szCs w:val="32"/>
        </w:rPr>
      </w:pPr>
      <w:bookmarkStart w:id="206" w:name="_Toc32505"/>
      <w:r>
        <w:rPr>
          <w:rFonts w:ascii="Times New Roman" w:hAnsi="Times New Roman" w:eastAsia="黑体" w:cs="Times New Roman"/>
          <w:sz w:val="32"/>
          <w:szCs w:val="32"/>
        </w:rPr>
        <w:t>一、甲方的权利和义务</w:t>
      </w:r>
      <w:bookmarkEnd w:id="206"/>
    </w:p>
    <w:p w14:paraId="784A029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（一）甲方的工作人员有责任向乙方介绍本单位有关廉洁从业的制度、规定。甲方的纪检监察人员有权对双方在采购及合同执行过程中的廉洁情况进行监督。</w:t>
      </w:r>
    </w:p>
    <w:p w14:paraId="51FFA95E">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2"/>
        <w:rPr>
          <w:rFonts w:ascii="Times New Roman" w:hAnsi="Times New Roman" w:eastAsia="仿宋_GB2312" w:cs="Times New Roman"/>
          <w:sz w:val="32"/>
          <w:szCs w:val="32"/>
        </w:rPr>
      </w:pPr>
      <w:bookmarkStart w:id="207" w:name="_Toc12626"/>
      <w:r>
        <w:rPr>
          <w:rFonts w:ascii="Times New Roman" w:hAnsi="Times New Roman" w:eastAsia="仿宋_GB2312" w:cs="Times New Roman"/>
          <w:sz w:val="32"/>
          <w:szCs w:val="32"/>
        </w:rPr>
        <w:t>（二）甲方的工作人员不得向乙方泄露采购过程中的商业秘密。</w:t>
      </w:r>
      <w:bookmarkEnd w:id="207"/>
    </w:p>
    <w:p w14:paraId="6C21CC33">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三）甲方的工作人员在采购过程中以及合同执行过程中，不得以任何形式向乙方索取贿赂、收受回扣及好处费等；不得接受乙方馈赠的有价证券和贵重物品；不得让乙方报销任何费用；不得参加对执行公务有影响的娱乐活动和宴请；不得向乙方介绍家属或亲友从事与该项目有关的材料、设备供应和该项目分包等经济活动；不得要求乙方为其装修房子；不得要求乙方为亲属安排出境和国内旅游等；不得借婚丧嫁娶之机收受乙方的钱（含有价证券）、物。</w:t>
      </w:r>
    </w:p>
    <w:p w14:paraId="63136F9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（四）对乙方主动给予的钱（含有价证券）、物，甲方的工作人员要坚决谢绝，无法拒绝的要在两周内上交甲方的纪检监察部门或上级纪检监察部门。</w:t>
      </w:r>
    </w:p>
    <w:p w14:paraId="48807628">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（五）甲方的工作人员在采购及执行合同过程中，必须遵守廉洁自律的其他有关规定。</w:t>
      </w:r>
    </w:p>
    <w:p w14:paraId="4C3F9F63">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1"/>
        <w:rPr>
          <w:rFonts w:ascii="Times New Roman" w:hAnsi="Times New Roman" w:eastAsia="仿宋_GB2312" w:cs="Times New Roman"/>
          <w:sz w:val="32"/>
          <w:szCs w:val="32"/>
        </w:rPr>
      </w:pPr>
      <w:bookmarkStart w:id="208" w:name="_Toc5947"/>
      <w:r>
        <w:rPr>
          <w:rFonts w:ascii="Times New Roman" w:hAnsi="Times New Roman" w:eastAsia="黑体" w:cs="Times New Roman"/>
          <w:sz w:val="32"/>
          <w:szCs w:val="32"/>
        </w:rPr>
        <w:t>二、乙方的权利和义务</w:t>
      </w:r>
      <w:bookmarkEnd w:id="208"/>
    </w:p>
    <w:p w14:paraId="29CAE800">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（一）乙方的纪检监察人员有权对双方在采购及合同执行过程中的廉洁从业情况进行监督，并积极配合甲方纪检监察工作人员就有关违纪问题进行调查取证。</w:t>
      </w:r>
    </w:p>
    <w:p w14:paraId="46BAF8CA">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（二）乙方有权了解甲方在廉洁从业方面的各项制度和规定，并主动配合甲方遵守执行。</w:t>
      </w:r>
    </w:p>
    <w:p w14:paraId="1C57AFE3">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（三）乙方的工作人员不得以任何方式向甲方的工作人员了解采购过程中的商业秘密。</w:t>
      </w:r>
    </w:p>
    <w:p w14:paraId="0A99C0EE">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四）乙方的工作人员在投标过程及中标后的合同执行过程中，不得向甲方的工作人员行贿、提供回扣或其他好处费等；不得向甲方的工作人员馈赠有价证券和贵重物品；不得给甲方的工作人员报销任何费用；不得为甲方的工作人员购置或长期无偿提供交通工具、通讯工具、家电、办公用品等；不得邀请甲方的工作人员参加对执行公务有影响的娱乐活动和宴请；不得接受甲方的工作人员介绍的家属或亲友从事与该项目有关的材料、设备供应或该项目分包等经济活动；不得为甲方的工作人员装修房子；不得为甲方的工作人员的亲属安排出境和国内旅游等；不得借婚丧嫁娶之机向甲方的工作人员赠送钱（含有价证券）、物。</w:t>
      </w:r>
    </w:p>
    <w:p w14:paraId="6E04F7BC">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（五）乙方发现甲方的工作人员有不廉洁的行为，必须在48小时内署名报告甲方的纪检监察人员或有关领导。</w:t>
      </w:r>
    </w:p>
    <w:p w14:paraId="28BC529C">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1"/>
        <w:rPr>
          <w:rFonts w:ascii="Times New Roman" w:hAnsi="Times New Roman" w:eastAsia="仿宋_GB2312" w:cs="Times New Roman"/>
          <w:sz w:val="32"/>
          <w:szCs w:val="32"/>
        </w:rPr>
      </w:pPr>
      <w:bookmarkStart w:id="209" w:name="_Toc32084"/>
      <w:r>
        <w:rPr>
          <w:rFonts w:ascii="Times New Roman" w:hAnsi="Times New Roman" w:eastAsia="黑体" w:cs="Times New Roman"/>
          <w:sz w:val="32"/>
          <w:szCs w:val="32"/>
        </w:rPr>
        <w:t>三、违约责任</w:t>
      </w:r>
      <w:bookmarkEnd w:id="209"/>
    </w:p>
    <w:p w14:paraId="72F3BF5D">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（一）甲方的工作人员违反廉洁责任，经调查属实的，甲方将依据党纪、公司有关规定对当事人进行严肃处理，对涉嫌犯罪人员移送司法机关。</w:t>
      </w:r>
    </w:p>
    <w:p w14:paraId="187D9B0E">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乙方工作人员违反廉洁责任，经调查属实，甲方及其代理机构有权退回其投标；对中标的乙方，甲方及其代理机构有权撤销中标决定，或一次性扣罚与其签订合同总价款的0.5~10%直至终止合同执行，由此造成的经济损失由乙方承担。在今后项目中，中粮屯河股份有限公司系统各企业不再考虑与乙方的合作。</w:t>
      </w:r>
    </w:p>
    <w:p w14:paraId="3A0F344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1"/>
        <w:rPr>
          <w:rFonts w:ascii="Times New Roman" w:hAnsi="Times New Roman" w:eastAsia="仿宋_GB2312" w:cs="Times New Roman"/>
          <w:sz w:val="32"/>
          <w:szCs w:val="32"/>
        </w:rPr>
      </w:pPr>
      <w:bookmarkStart w:id="210" w:name="_Toc6012"/>
      <w:r>
        <w:rPr>
          <w:rFonts w:ascii="Times New Roman" w:hAnsi="Times New Roman" w:eastAsia="黑体" w:cs="Times New Roman"/>
          <w:sz w:val="32"/>
          <w:szCs w:val="32"/>
        </w:rPr>
        <w:t>四、合同的生效</w:t>
      </w:r>
      <w:bookmarkEnd w:id="210"/>
    </w:p>
    <w:p w14:paraId="2602698D">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（一）本合同在双方签字/盖章后生效。</w:t>
      </w:r>
    </w:p>
    <w:p w14:paraId="6A43751A">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（二）本合同一式贰份，双方各执一份。</w:t>
      </w:r>
    </w:p>
    <w:p w14:paraId="4E3735F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（三）本合同在主合同授予、履行的全过程有效，并作为主合同的附件。</w:t>
      </w:r>
    </w:p>
    <w:p w14:paraId="23454646">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监督联络方式：</w:t>
      </w:r>
    </w:p>
    <w:p w14:paraId="3146CF01">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ascii="Times New Roman" w:hAnsi="Times New Roman" w:eastAsia="仿宋_GB2312" w:cs="Times New Roman"/>
          <w:sz w:val="32"/>
          <w:szCs w:val="32"/>
        </w:rPr>
      </w:pPr>
      <w:bookmarkStart w:id="211" w:name="_Hlk54615888"/>
      <w:r>
        <w:rPr>
          <w:rFonts w:ascii="Times New Roman" w:hAnsi="Times New Roman" w:eastAsia="仿宋_GB2312" w:cs="Times New Roman"/>
          <w:sz w:val="32"/>
          <w:szCs w:val="32"/>
        </w:rPr>
        <w:t>中粮糖业纪委联系方式：办公电话  010-85017235</w:t>
      </w:r>
    </w:p>
    <w:p w14:paraId="11163372">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通信地址：北京市朝阳区朝阳门南大街8号中粮福临门大厦9层905房间，中粮糖业纪委办公室收，邮编100020。          </w:t>
      </w:r>
    </w:p>
    <w:bookmarkEnd w:id="211"/>
    <w:p w14:paraId="674F3B15">
      <w:pPr>
        <w:spacing w:after="0" w:line="560" w:lineRule="exact"/>
        <w:jc w:val="both"/>
        <w:rPr>
          <w:rFonts w:ascii="Times New Roman" w:hAnsi="Times New Roman" w:eastAsia="仿宋_GB2312" w:cs="Times New Roman"/>
          <w:sz w:val="32"/>
          <w:szCs w:val="32"/>
        </w:rPr>
      </w:pPr>
    </w:p>
    <w:p w14:paraId="630DFBB5">
      <w:pPr>
        <w:spacing w:after="0" w:line="56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甲    方：中粮梁河糖业有限公司  </w:t>
      </w:r>
    </w:p>
    <w:p w14:paraId="7AA01578">
      <w:pPr>
        <w:spacing w:after="0" w:line="56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法定代表人（或授权代表）签字：______________</w:t>
      </w:r>
    </w:p>
    <w:p w14:paraId="73154E99">
      <w:pPr>
        <w:spacing w:after="0" w:line="560" w:lineRule="exact"/>
        <w:jc w:val="both"/>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签字日期：__________________________________</w:t>
      </w:r>
    </w:p>
    <w:p w14:paraId="6202F86B">
      <w:pPr>
        <w:spacing w:after="0" w:line="56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乙    方：                                        </w:t>
      </w:r>
    </w:p>
    <w:p w14:paraId="393F2F58">
      <w:pPr>
        <w:spacing w:after="0" w:line="56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法定代表人（或授权代表）签字：_______________</w:t>
      </w:r>
    </w:p>
    <w:p w14:paraId="7E9DEED2">
      <w:pPr>
        <w:spacing w:after="0" w:line="560" w:lineRule="exact"/>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签字日期：___________________________________</w:t>
      </w:r>
    </w:p>
    <w:p w14:paraId="3D0BCCAF">
      <w:pPr>
        <w:outlineLvl w:val="2"/>
        <w:rPr>
          <w:rFonts w:ascii="Times New Roman" w:hAnsi="Times New Roman" w:eastAsia="仿宋_GB2312" w:cs="Times New Roman"/>
          <w:snapToGrid w:val="0"/>
          <w:sz w:val="30"/>
          <w:szCs w:val="30"/>
        </w:rPr>
      </w:pPr>
      <w:bookmarkStart w:id="212" w:name="_Toc26586"/>
      <w:r>
        <w:rPr>
          <w:rFonts w:ascii="Times New Roman" w:hAnsi="Times New Roman" w:eastAsia="仿宋_GB2312" w:cs="Times New Roman"/>
          <w:snapToGrid w:val="0"/>
          <w:sz w:val="30"/>
          <w:szCs w:val="30"/>
        </w:rPr>
        <w:t>附件3：安全管理协议书</w:t>
      </w:r>
      <w:bookmarkEnd w:id="212"/>
    </w:p>
    <w:p w14:paraId="2AD842C8">
      <w:pPr>
        <w:spacing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乙类</w:t>
      </w:r>
      <w:bookmarkStart w:id="213" w:name="OLE_LINK80"/>
      <w:bookmarkStart w:id="214" w:name="OLE_LINK79"/>
      <w:r>
        <w:rPr>
          <w:rFonts w:hint="eastAsia" w:ascii="方正小标宋_GBK" w:hAnsi="方正小标宋_GBK" w:eastAsia="方正小标宋_GBK" w:cs="方正小标宋_GBK"/>
          <w:sz w:val="44"/>
          <w:szCs w:val="44"/>
        </w:rPr>
        <w:t>承包商安全管理协议(施工单位)</w:t>
      </w:r>
      <w:bookmarkEnd w:id="213"/>
      <w:bookmarkEnd w:id="214"/>
    </w:p>
    <w:p w14:paraId="5B3AB955">
      <w:pPr>
        <w:spacing w:line="560" w:lineRule="exact"/>
        <w:rPr>
          <w:rFonts w:hint="eastAsia" w:ascii="方正小标宋_GBK" w:hAnsi="方正小标宋_GBK" w:eastAsia="方正小标宋_GBK" w:cs="方正小标宋_GBK"/>
          <w:sz w:val="32"/>
          <w:szCs w:val="32"/>
        </w:rPr>
      </w:pPr>
    </w:p>
    <w:p w14:paraId="1364F51B">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甲方</w:t>
      </w:r>
      <w:bookmarkStart w:id="215" w:name="_Hlk132406061"/>
      <w:r>
        <w:rPr>
          <w:rFonts w:ascii="Times New Roman" w:hAnsi="Times New Roman" w:eastAsia="仿宋_GB2312" w:cs="Times New Roman"/>
          <w:sz w:val="32"/>
          <w:szCs w:val="32"/>
        </w:rPr>
        <w:t>（发包方）</w:t>
      </w:r>
      <w:bookmarkEnd w:id="215"/>
      <w:r>
        <w:rPr>
          <w:rFonts w:ascii="Times New Roman" w:hAnsi="Times New Roman" w:eastAsia="仿宋_GB2312" w:cs="Times New Roman"/>
          <w:sz w:val="32"/>
          <w:szCs w:val="32"/>
        </w:rPr>
        <w:t xml:space="preserve">：    </w:t>
      </w:r>
    </w:p>
    <w:p w14:paraId="6AC7467C">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p>
    <w:p w14:paraId="5C35D42F">
      <w:pPr>
        <w:spacing w:line="560" w:lineRule="exact"/>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乙方</w:t>
      </w:r>
      <w:bookmarkStart w:id="216" w:name="_Hlk132406074"/>
      <w:r>
        <w:rPr>
          <w:rFonts w:ascii="Times New Roman" w:hAnsi="Times New Roman" w:eastAsia="仿宋_GB2312" w:cs="Times New Roman"/>
          <w:sz w:val="32"/>
          <w:szCs w:val="32"/>
        </w:rPr>
        <w:t>（承包方）</w:t>
      </w:r>
      <w:bookmarkEnd w:id="216"/>
      <w:r>
        <w:rPr>
          <w:rFonts w:ascii="Times New Roman" w:hAnsi="Times New Roman" w:eastAsia="仿宋_GB2312" w:cs="Times New Roman"/>
          <w:sz w:val="32"/>
          <w:szCs w:val="32"/>
        </w:rPr>
        <w:t xml:space="preserve">：                                          </w:t>
      </w:r>
    </w:p>
    <w:p w14:paraId="0C2A3D3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bookmarkStart w:id="217" w:name="_Hlk132407100"/>
      <w:r>
        <w:rPr>
          <w:rFonts w:ascii="Times New Roman" w:hAnsi="Times New Roman" w:eastAsia="仿宋_GB2312" w:cs="Times New Roman"/>
          <w:sz w:val="32"/>
          <w:szCs w:val="32"/>
        </w:rPr>
        <w:t>为加强施工项目的安全生产管理，明确甲乙双方安全责任，防止生产安全事故，稳定运营，按照《安全生产法》《民法典》《建设工程安全生产管理条例》等法律法规的要求，甲乙双方遵循平等、自愿、公平和诚实信用的原则，就工程安全生产管理事项协商一致，订立本协议。</w:t>
      </w:r>
      <w:bookmarkEnd w:id="217"/>
    </w:p>
    <w:p w14:paraId="71CB72D3">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2"/>
        <w:rPr>
          <w:rFonts w:ascii="Times New Roman" w:hAnsi="Times New Roman" w:eastAsia="黑体" w:cs="Times New Roman"/>
          <w:sz w:val="32"/>
          <w:szCs w:val="32"/>
        </w:rPr>
      </w:pPr>
      <w:bookmarkStart w:id="218" w:name="_Toc19887"/>
      <w:r>
        <w:rPr>
          <w:rFonts w:ascii="Times New Roman" w:hAnsi="Times New Roman" w:eastAsia="黑体" w:cs="Times New Roman"/>
          <w:sz w:val="32"/>
          <w:szCs w:val="32"/>
        </w:rPr>
        <w:t>第一条 工程概况：</w:t>
      </w:r>
      <w:bookmarkEnd w:id="218"/>
    </w:p>
    <w:p w14:paraId="3AE3626A">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u w:val="none"/>
        </w:rPr>
      </w:pPr>
      <w:bookmarkStart w:id="219" w:name="_Toc442022097"/>
      <w:bookmarkStart w:id="220" w:name="_Toc396036406"/>
      <w:bookmarkStart w:id="221" w:name="_Toc442016138"/>
      <w:bookmarkStart w:id="222" w:name="_Toc442133367"/>
      <w:bookmarkStart w:id="223" w:name="_Toc384944713"/>
      <w:bookmarkStart w:id="224" w:name="_Toc396037050"/>
      <w:bookmarkStart w:id="225" w:name="_Toc434694359"/>
      <w:bookmarkStart w:id="226" w:name="_Toc381911462"/>
      <w:bookmarkStart w:id="227" w:name="_Toc451698736"/>
      <w:bookmarkStart w:id="228" w:name="_Toc389985355"/>
      <w:bookmarkStart w:id="229" w:name="_Toc383301023"/>
      <w:r>
        <w:rPr>
          <w:rFonts w:ascii="Times New Roman" w:hAnsi="Times New Roman" w:eastAsia="仿宋_GB2312" w:cs="Times New Roman"/>
          <w:sz w:val="32"/>
          <w:szCs w:val="32"/>
        </w:rPr>
        <w:t>(一)项目（作业）名称：</w:t>
      </w:r>
      <w:bookmarkEnd w:id="219"/>
      <w:bookmarkEnd w:id="220"/>
      <w:bookmarkEnd w:id="221"/>
      <w:bookmarkEnd w:id="222"/>
      <w:bookmarkEnd w:id="223"/>
      <w:bookmarkEnd w:id="224"/>
      <w:bookmarkEnd w:id="225"/>
      <w:bookmarkEnd w:id="226"/>
      <w:bookmarkEnd w:id="227"/>
      <w:bookmarkEnd w:id="228"/>
      <w:bookmarkEnd w:id="229"/>
      <w:r>
        <w:rPr>
          <w:rFonts w:hint="eastAsia" w:ascii="Times New Roman" w:hAnsi="Times New Roman" w:eastAsia="仿宋_GB2312" w:cs="Times New Roman"/>
          <w:sz w:val="32"/>
          <w:szCs w:val="32"/>
          <w:u w:val="none"/>
          <w:lang w:val="en-US" w:eastAsia="zh-CN"/>
        </w:rPr>
        <w:t>中粮梁河糖业公司设备购置及土建项目-</w:t>
      </w:r>
      <w:r>
        <w:rPr>
          <w:rFonts w:ascii="Times New Roman" w:hAnsi="Times New Roman" w:eastAsia="仿宋_GB2312" w:cs="Times New Roman"/>
          <w:sz w:val="32"/>
          <w:szCs w:val="32"/>
          <w:u w:val="none"/>
        </w:rPr>
        <w:t>梁河糖业2024年勐养动力车间35t/h锅炉修理项目</w:t>
      </w:r>
    </w:p>
    <w:p w14:paraId="235A8B3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bookmarkStart w:id="230" w:name="_Toc384944714"/>
      <w:bookmarkStart w:id="231" w:name="_Toc389985356"/>
      <w:bookmarkStart w:id="232" w:name="_Toc383301024"/>
      <w:bookmarkStart w:id="233" w:name="_Toc396036407"/>
      <w:bookmarkStart w:id="234" w:name="_Toc396037051"/>
      <w:bookmarkStart w:id="235" w:name="_Toc451698737"/>
      <w:bookmarkStart w:id="236" w:name="_Toc434694360"/>
      <w:bookmarkStart w:id="237" w:name="_Toc442016139"/>
      <w:bookmarkStart w:id="238" w:name="_Toc381911463"/>
      <w:bookmarkStart w:id="239" w:name="_Toc442022098"/>
      <w:bookmarkStart w:id="240" w:name="_Toc442133368"/>
      <w:bookmarkStart w:id="241" w:name="_Hlk132406144"/>
      <w:r>
        <w:rPr>
          <w:rFonts w:ascii="Times New Roman" w:hAnsi="Times New Roman" w:eastAsia="仿宋_GB2312" w:cs="Times New Roman"/>
          <w:sz w:val="32"/>
          <w:szCs w:val="32"/>
        </w:rPr>
        <w:t>(二)项目（作业）地点与范围：</w:t>
      </w:r>
      <w:bookmarkEnd w:id="230"/>
      <w:bookmarkEnd w:id="231"/>
      <w:bookmarkEnd w:id="232"/>
      <w:bookmarkEnd w:id="233"/>
      <w:bookmarkEnd w:id="234"/>
      <w:bookmarkEnd w:id="235"/>
      <w:bookmarkEnd w:id="236"/>
      <w:bookmarkEnd w:id="237"/>
      <w:bookmarkEnd w:id="238"/>
      <w:bookmarkEnd w:id="239"/>
      <w:bookmarkEnd w:id="240"/>
      <w:r>
        <w:rPr>
          <w:rFonts w:ascii="Times New Roman" w:hAnsi="Times New Roman" w:eastAsia="仿宋_GB2312" w:cs="Times New Roman"/>
          <w:sz w:val="32"/>
          <w:szCs w:val="32"/>
        </w:rPr>
        <w:t>勐养工厂动力车间锅炉房</w:t>
      </w:r>
    </w:p>
    <w:p w14:paraId="32BBC8EA">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bookmarkStart w:id="242" w:name="_Toc442133369"/>
      <w:bookmarkStart w:id="243" w:name="_Toc451698738"/>
      <w:bookmarkStart w:id="244" w:name="_Toc384944715"/>
      <w:bookmarkStart w:id="245" w:name="_Toc383301025"/>
      <w:bookmarkStart w:id="246" w:name="_Toc442016140"/>
      <w:bookmarkStart w:id="247" w:name="_Toc434694361"/>
      <w:bookmarkStart w:id="248" w:name="_Toc396037052"/>
      <w:bookmarkStart w:id="249" w:name="_Toc396036408"/>
      <w:bookmarkStart w:id="250" w:name="_Toc442022099"/>
      <w:bookmarkStart w:id="251" w:name="_Toc381911464"/>
      <w:bookmarkStart w:id="252" w:name="_Toc389985357"/>
      <w:r>
        <w:rPr>
          <w:rFonts w:ascii="Times New Roman" w:hAnsi="Times New Roman" w:eastAsia="仿宋_GB2312" w:cs="Times New Roman"/>
          <w:sz w:val="32"/>
          <w:szCs w:val="32"/>
        </w:rPr>
        <w:t>(三)项目（作业）承包主要内容：</w:t>
      </w:r>
      <w:bookmarkEnd w:id="242"/>
      <w:bookmarkEnd w:id="243"/>
      <w:bookmarkEnd w:id="244"/>
      <w:bookmarkEnd w:id="245"/>
      <w:bookmarkEnd w:id="246"/>
      <w:bookmarkEnd w:id="247"/>
      <w:bookmarkEnd w:id="248"/>
      <w:bookmarkEnd w:id="249"/>
      <w:bookmarkEnd w:id="250"/>
      <w:bookmarkEnd w:id="251"/>
      <w:bookmarkEnd w:id="252"/>
      <w:r>
        <w:rPr>
          <w:rFonts w:hint="eastAsia" w:ascii="Times New Roman" w:hAnsi="Times New Roman" w:eastAsia="仿宋_GB2312" w:cs="Times New Roman"/>
          <w:sz w:val="32"/>
          <w:szCs w:val="32"/>
          <w:lang w:val="en-US" w:eastAsia="zh-CN"/>
        </w:rPr>
        <w:t>中粮梁河糖业公司设备购置及土建项目-</w:t>
      </w:r>
      <w:r>
        <w:rPr>
          <w:rFonts w:ascii="Times New Roman" w:hAnsi="Times New Roman" w:eastAsia="仿宋_GB2312" w:cs="Times New Roman"/>
          <w:sz w:val="32"/>
          <w:szCs w:val="32"/>
        </w:rPr>
        <w:t>梁河糖业2024年勐养动力车间35t/h锅炉修理项目</w:t>
      </w:r>
    </w:p>
    <w:bookmarkEnd w:id="241"/>
    <w:p w14:paraId="2EBF327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bookmarkStart w:id="253" w:name="_Toc442016141"/>
      <w:bookmarkStart w:id="254" w:name="_Toc381911465"/>
      <w:bookmarkStart w:id="255" w:name="_Toc396036409"/>
      <w:bookmarkStart w:id="256" w:name="_Toc389985358"/>
      <w:bookmarkStart w:id="257" w:name="_Toc384944716"/>
      <w:bookmarkStart w:id="258" w:name="_Toc442133370"/>
      <w:bookmarkStart w:id="259" w:name="_Toc434694362"/>
      <w:bookmarkStart w:id="260" w:name="_Toc442022100"/>
      <w:bookmarkStart w:id="261" w:name="_Toc451698739"/>
      <w:bookmarkStart w:id="262" w:name="_Toc396037053"/>
      <w:bookmarkStart w:id="263" w:name="_Toc383301026"/>
      <w:r>
        <w:rPr>
          <w:rFonts w:ascii="Times New Roman" w:hAnsi="Times New Roman" w:eastAsia="仿宋_GB2312" w:cs="Times New Roman"/>
          <w:sz w:val="32"/>
          <w:szCs w:val="32"/>
        </w:rPr>
        <w:t>(四)项目（作业）工期：自供应商入厂之日起，至全部人员离厂之日</w:t>
      </w:r>
      <w:bookmarkEnd w:id="253"/>
      <w:bookmarkEnd w:id="254"/>
      <w:bookmarkEnd w:id="255"/>
      <w:bookmarkEnd w:id="256"/>
      <w:bookmarkEnd w:id="257"/>
      <w:bookmarkEnd w:id="258"/>
      <w:bookmarkEnd w:id="259"/>
      <w:bookmarkEnd w:id="260"/>
      <w:bookmarkEnd w:id="261"/>
      <w:bookmarkEnd w:id="262"/>
      <w:bookmarkEnd w:id="263"/>
      <w:r>
        <w:rPr>
          <w:rFonts w:ascii="Times New Roman" w:hAnsi="Times New Roman" w:eastAsia="仿宋_GB2312" w:cs="Times New Roman"/>
          <w:sz w:val="32"/>
          <w:szCs w:val="32"/>
        </w:rPr>
        <w:t>止。</w:t>
      </w:r>
    </w:p>
    <w:p w14:paraId="1C1F78A9">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2"/>
        <w:rPr>
          <w:rFonts w:ascii="Times New Roman" w:hAnsi="Times New Roman" w:eastAsia="仿宋_GB2312" w:cs="Times New Roman"/>
          <w:sz w:val="32"/>
          <w:szCs w:val="32"/>
        </w:rPr>
      </w:pPr>
      <w:bookmarkStart w:id="264" w:name="_Toc383301027"/>
      <w:bookmarkStart w:id="265" w:name="_Toc442016142"/>
      <w:bookmarkStart w:id="266" w:name="_Toc384944717"/>
      <w:bookmarkStart w:id="267" w:name="_Toc15639"/>
      <w:bookmarkStart w:id="268" w:name="_Toc381911466"/>
      <w:bookmarkStart w:id="269" w:name="_Toc434694363"/>
      <w:bookmarkStart w:id="270" w:name="_Toc442133371"/>
      <w:bookmarkStart w:id="271" w:name="_Toc442022101"/>
      <w:bookmarkStart w:id="272" w:name="_Toc396037054"/>
      <w:bookmarkStart w:id="273" w:name="_Toc451698740"/>
      <w:bookmarkStart w:id="274" w:name="_Toc396036410"/>
      <w:bookmarkStart w:id="275" w:name="_Toc389985359"/>
      <w:r>
        <w:rPr>
          <w:rFonts w:ascii="Times New Roman" w:hAnsi="Times New Roman" w:eastAsia="黑体" w:cs="Times New Roman"/>
          <w:sz w:val="32"/>
          <w:szCs w:val="32"/>
        </w:rPr>
        <w:t>第二条 承诺</w:t>
      </w:r>
      <w:bookmarkEnd w:id="264"/>
      <w:bookmarkEnd w:id="265"/>
      <w:bookmarkEnd w:id="266"/>
      <w:bookmarkEnd w:id="267"/>
      <w:bookmarkEnd w:id="268"/>
      <w:bookmarkEnd w:id="269"/>
      <w:bookmarkEnd w:id="270"/>
      <w:bookmarkEnd w:id="271"/>
      <w:bookmarkEnd w:id="272"/>
      <w:bookmarkEnd w:id="273"/>
      <w:bookmarkEnd w:id="274"/>
      <w:bookmarkEnd w:id="275"/>
    </w:p>
    <w:p w14:paraId="33EA140B">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(一)甲方承诺</w:t>
      </w:r>
    </w:p>
    <w:p w14:paraId="376A672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1.遵守《安全生产法》《建设工程安全生产管理条例》</w:t>
      </w:r>
      <w:bookmarkStart w:id="276" w:name="_Hlk132420073"/>
      <w:r>
        <w:rPr>
          <w:rFonts w:ascii="Times New Roman" w:hAnsi="Times New Roman" w:eastAsia="仿宋_GB2312" w:cs="Times New Roman"/>
          <w:sz w:val="32"/>
          <w:szCs w:val="32"/>
        </w:rPr>
        <w:t>《民法典》</w:t>
      </w:r>
      <w:bookmarkEnd w:id="276"/>
      <w:bookmarkStart w:id="277" w:name="_Hlk132701729"/>
      <w:r>
        <w:rPr>
          <w:rFonts w:ascii="Times New Roman" w:hAnsi="Times New Roman" w:eastAsia="仿宋_GB2312" w:cs="Times New Roman"/>
          <w:sz w:val="32"/>
          <w:szCs w:val="32"/>
        </w:rPr>
        <w:t>《中粮集团承包商与工程项目管理安全禁令》</w:t>
      </w:r>
      <w:bookmarkEnd w:id="277"/>
      <w:r>
        <w:rPr>
          <w:rFonts w:ascii="Times New Roman" w:hAnsi="Times New Roman" w:eastAsia="仿宋_GB2312" w:cs="Times New Roman"/>
          <w:sz w:val="32"/>
          <w:szCs w:val="32"/>
        </w:rPr>
        <w:t>及其他有关法律、法规、规章和标准的有关规定。</w:t>
      </w:r>
    </w:p>
    <w:p w14:paraId="015CC42C">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2.遵守项目设计，不违章指挥或者强令乙方人员冒险作业。</w:t>
      </w:r>
    </w:p>
    <w:p w14:paraId="3720432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3.向乙方提供甲方安全管理制度。</w:t>
      </w:r>
    </w:p>
    <w:p w14:paraId="6B3422AD">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4.对可能存在危险、有害因素应向乙方告知及相关水、电、汽等管线图等基础资料。</w:t>
      </w:r>
    </w:p>
    <w:p w14:paraId="0027A43B">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5.对乙方进行进场安全技术交底，告知甲方的安全管理制度标准、作业场所安全风险、事故应急和报告要求等。对乙方的安全奖惩情况进行告知。</w:t>
      </w:r>
    </w:p>
    <w:p w14:paraId="42AD143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6</w:t>
      </w:r>
      <w:bookmarkStart w:id="278" w:name="_Hlk132663326"/>
      <w:r>
        <w:rPr>
          <w:rFonts w:ascii="Times New Roman" w:hAnsi="Times New Roman" w:eastAsia="仿宋_GB2312" w:cs="Times New Roman"/>
          <w:sz w:val="32"/>
          <w:szCs w:val="32"/>
        </w:rPr>
        <w:t>严格遵守甲乙双方签订的本协议。</w:t>
      </w:r>
      <w:bookmarkEnd w:id="278"/>
    </w:p>
    <w:p w14:paraId="3969771D">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(二)乙方承诺</w:t>
      </w:r>
    </w:p>
    <w:p w14:paraId="3687283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1.遵守《安全生产法》《民法典》《建设工程安全生产管理条例》《中粮集团现场管理十项措施》</w:t>
      </w:r>
      <w:bookmarkStart w:id="279" w:name="_Hlk132700803"/>
      <w:r>
        <w:rPr>
          <w:rFonts w:ascii="Times New Roman" w:hAnsi="Times New Roman" w:eastAsia="仿宋_GB2312" w:cs="Times New Roman"/>
          <w:sz w:val="32"/>
          <w:szCs w:val="32"/>
        </w:rPr>
        <w:t>《中粮集团承包商与工程项目管理安全禁令》</w:t>
      </w:r>
      <w:bookmarkEnd w:id="279"/>
      <w:r>
        <w:rPr>
          <w:rFonts w:ascii="Times New Roman" w:hAnsi="Times New Roman" w:eastAsia="仿宋_GB2312" w:cs="Times New Roman"/>
          <w:sz w:val="32"/>
          <w:szCs w:val="32"/>
        </w:rPr>
        <w:t>《中粮糖业10条安全保命禁令》及其他有关法律、法规、规章、标准和甲方管理制度等有关规定。</w:t>
      </w:r>
    </w:p>
    <w:p w14:paraId="2715DCB0">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2.遵守工程设计,按工程设计、工程施工方案组织施工。</w:t>
      </w:r>
    </w:p>
    <w:p w14:paraId="5CBE83F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健全安全管理机构、全员安全生产责任制、作业现场安全管理制度、安全操作规程和应急预案，落实工作责任。配备专职安全员（至少一名），安全员必须取得当地培训部门下发的安全管理培训合格证或安全生产考核合格证书等，安全管理人员外出不能正常开展工作时，须另行指派专人负责安全管理工作，定期召开或参加甲方组织的安全会议。</w:t>
      </w:r>
    </w:p>
    <w:p w14:paraId="1C519410">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在整个项目施工过程中，保持安全管理人员和项目技术人员的连续稳定，保持与承揽项目相匹配的施工资质，保证企业负责人、安全管理人员和特种作业人员持有效证件，承担资料不真实造成的后果负法律责任；若技术人员、特种作业人员、生产工艺、施工方法、作业环境和工程设施发生变化的，乙方应当书面告知甲方并履行人员变更手续。</w:t>
      </w:r>
    </w:p>
    <w:p w14:paraId="1A243DA8">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5.不将作业项目拆包给不具备相应资质等级的作业单位或个人。</w:t>
      </w:r>
    </w:p>
    <w:p w14:paraId="2BB5C7F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6.与甲方建立日常联系和协作机制,按时参加甲方组织的安全专业会议和活动。</w:t>
      </w:r>
    </w:p>
    <w:p w14:paraId="29C6A89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7.因自身原因作业人员不足，无法按时完成甲方工作任务，为不影响作业工期，甲方有权自行或委托第三方代为执行上述工作，所产生的费用由乙方负责。</w:t>
      </w:r>
    </w:p>
    <w:p w14:paraId="54E28B60">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8.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14:paraId="457B7448">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9.进行职业病诊断、鉴定时，乙方负责处理职业病诊断、鉴定事宜，并如实提供职业病诊断、鉴定所需的劳动者职业史和职业危害接触史等资料。</w:t>
      </w:r>
    </w:p>
    <w:p w14:paraId="7E8BCCE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10.作业相关的项目资料必须保密，非经甲方书面同意不能向外透露，作业完毕后，应及时退还甲方。</w:t>
      </w:r>
    </w:p>
    <w:p w14:paraId="452AC050">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11.对项目施工现场的安全生产负直接责任。</w:t>
      </w:r>
    </w:p>
    <w:p w14:paraId="2606CDFE">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12.乙方为所有进入甲方施工的人员购买保额不低于100万元的雇主责任险或工伤保险</w:t>
      </w:r>
    </w:p>
    <w:p w14:paraId="13A82F7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13. 严格遵守甲乙双方签订的本协议。</w:t>
      </w:r>
    </w:p>
    <w:p w14:paraId="0C92658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2"/>
        <w:rPr>
          <w:rFonts w:ascii="Times New Roman" w:hAnsi="Times New Roman" w:eastAsia="黑体" w:cs="Times New Roman"/>
          <w:sz w:val="32"/>
          <w:szCs w:val="32"/>
        </w:rPr>
      </w:pPr>
      <w:bookmarkStart w:id="280" w:name="_Toc451698741"/>
      <w:bookmarkStart w:id="281" w:name="_Toc381911467"/>
      <w:bookmarkStart w:id="282" w:name="_Toc442016143"/>
      <w:bookmarkStart w:id="283" w:name="_Toc383301028"/>
      <w:bookmarkStart w:id="284" w:name="_Toc434694364"/>
      <w:bookmarkStart w:id="285" w:name="_Toc23320"/>
      <w:bookmarkStart w:id="286" w:name="_Toc396036411"/>
      <w:bookmarkStart w:id="287" w:name="_Toc442022102"/>
      <w:bookmarkStart w:id="288" w:name="_Toc442133372"/>
      <w:bookmarkStart w:id="289" w:name="_Toc396037055"/>
      <w:bookmarkStart w:id="290" w:name="_Toc389985360"/>
      <w:bookmarkStart w:id="291" w:name="_Toc384944718"/>
      <w:r>
        <w:rPr>
          <w:rFonts w:ascii="Times New Roman" w:hAnsi="Times New Roman" w:eastAsia="黑体" w:cs="Times New Roman"/>
          <w:sz w:val="32"/>
          <w:szCs w:val="32"/>
        </w:rPr>
        <w:t>第三条 安全投入和资金保障</w:t>
      </w:r>
      <w:bookmarkEnd w:id="280"/>
      <w:bookmarkEnd w:id="281"/>
      <w:bookmarkEnd w:id="282"/>
      <w:bookmarkEnd w:id="283"/>
      <w:bookmarkEnd w:id="284"/>
      <w:bookmarkEnd w:id="285"/>
      <w:bookmarkEnd w:id="286"/>
      <w:bookmarkEnd w:id="287"/>
      <w:bookmarkEnd w:id="288"/>
      <w:bookmarkEnd w:id="289"/>
      <w:bookmarkEnd w:id="290"/>
      <w:bookmarkEnd w:id="291"/>
    </w:p>
    <w:p w14:paraId="53586FA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(一)甲方是项目安全投入的责任主体，负责完善和改进项目安全生产条件的资金保障，向乙方提供保障施工作业所需的安全投入，已包含在甲方支付给乙方的合同款中。</w:t>
      </w:r>
    </w:p>
    <w:p w14:paraId="0A02F649">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乙方缴纳的项目合同履约保证金可同时用作风险抵押金，作为安全、环保风险抵押金使用。用于甲方对乙方的安全管理。当乙方发生未履新安全管理责任或者造成安全事故时，甲方可以根据协议扣除部分或全部安全管理风险押金。</w:t>
      </w:r>
    </w:p>
    <w:p w14:paraId="6E270055">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(三)乙方须和参与施工人员签订符合《民法典》要求的用工合同或劳务合同，负责为外包人员购买用工期间的工伤保险或人身意外伤害保险（购买金额不低于100万），并将购买保单复印件交甲方备案。</w:t>
      </w:r>
    </w:p>
    <w:p w14:paraId="76A18ED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四)乙方应当按照相关法律、法规、规章和标准的有关规定和本协议，保证安全生产投入落实到位、专款专用，不断完善和改进项目现场安全生产条件。甲方监督乙方将各项安全投入落实到位，乙方不落实的由甲方先期垫付。</w:t>
      </w:r>
    </w:p>
    <w:p w14:paraId="616014E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2"/>
        <w:rPr>
          <w:rFonts w:ascii="Times New Roman" w:hAnsi="Times New Roman" w:eastAsia="黑体" w:cs="Times New Roman"/>
          <w:sz w:val="32"/>
          <w:szCs w:val="32"/>
        </w:rPr>
      </w:pPr>
      <w:bookmarkStart w:id="292" w:name="_Toc383301029"/>
      <w:bookmarkStart w:id="293" w:name="_Toc396037056"/>
      <w:bookmarkStart w:id="294" w:name="_Toc3989"/>
      <w:bookmarkStart w:id="295" w:name="_Toc442133373"/>
      <w:bookmarkStart w:id="296" w:name="_Toc442022103"/>
      <w:bookmarkStart w:id="297" w:name="_Toc389985361"/>
      <w:bookmarkStart w:id="298" w:name="_Toc381911468"/>
      <w:bookmarkStart w:id="299" w:name="_Toc384944719"/>
      <w:bookmarkStart w:id="300" w:name="_Toc442016144"/>
      <w:bookmarkStart w:id="301" w:name="_Toc434694365"/>
      <w:bookmarkStart w:id="302" w:name="_Toc396036412"/>
      <w:bookmarkStart w:id="303" w:name="_Toc451698742"/>
      <w:r>
        <w:rPr>
          <w:rFonts w:ascii="Times New Roman" w:hAnsi="Times New Roman" w:eastAsia="黑体" w:cs="Times New Roman"/>
          <w:sz w:val="32"/>
          <w:szCs w:val="32"/>
        </w:rPr>
        <w:t>第四条 安全设施和施工条件</w:t>
      </w:r>
      <w:bookmarkEnd w:id="292"/>
      <w:bookmarkEnd w:id="293"/>
      <w:bookmarkEnd w:id="294"/>
      <w:bookmarkEnd w:id="295"/>
      <w:bookmarkEnd w:id="296"/>
      <w:bookmarkEnd w:id="297"/>
      <w:bookmarkEnd w:id="298"/>
      <w:bookmarkEnd w:id="299"/>
      <w:bookmarkEnd w:id="300"/>
      <w:bookmarkEnd w:id="301"/>
      <w:bookmarkEnd w:id="302"/>
      <w:bookmarkEnd w:id="303"/>
    </w:p>
    <w:p w14:paraId="40E3F679">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(一)甲方应当保证提供给外包项目有关的生产系统安全设施正常运行，保证外包项目具备法律、法规、规章和标准规定的安全生产条件。 </w:t>
      </w:r>
    </w:p>
    <w:p w14:paraId="2B59912B">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(二)甲方应当为乙方提供安全生产所必要的施工作业条件。除不可抗力外，甲方未向乙方提供安全生产所必要的施工作业条件，由此给乙方造成有关生产进度、经济等方面损失的，由甲方承担责任。</w:t>
      </w:r>
    </w:p>
    <w:p w14:paraId="249C8B0D">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三)甲方应当向乙方提供现有生产系统，以及与项目安全生产相关的勘察、设计、风险评价、检测检验和应急救援等资料，并保证资料的真实、完整和有效；同时，应当告知乙方项目施工作业过程中可能存在的主要危险有害因素，以及在紧急情况下应当采取的应急措施，对项目施工进行书面和现场的技术交底。</w:t>
      </w:r>
    </w:p>
    <w:p w14:paraId="3608E8F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甲方提供乙方图纸资料的日期(包括图纸的绘制时间)、名称和数量清单，技术交底的时间、负责人、参加人员等记录资料，应当在本协议的附件1(《技术交底记录文件》)中予以明确。</w:t>
      </w:r>
    </w:p>
    <w:p w14:paraId="71480E0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(四)乙方作业前应提交如下材料：</w:t>
      </w:r>
    </w:p>
    <w:p w14:paraId="1FCA0C7C">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 提供一份所有作业人员花名册▲</w:t>
      </w:r>
    </w:p>
    <w:p w14:paraId="46FF2609">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 提供所有作业人员身份证（复印件）▲</w:t>
      </w:r>
    </w:p>
    <w:p w14:paraId="759E8D85">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3.为每一位作业人员提供一份“健康体检”表（医院体检证明）▲</w:t>
      </w:r>
    </w:p>
    <w:p w14:paraId="487623E4">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4.项目经理及专职安全员并持证上岗▲</w:t>
      </w:r>
    </w:p>
    <w:p w14:paraId="192163F3">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5.每一位作业人员的安全规程培训考试，合格后方可上岗▲</w:t>
      </w:r>
    </w:p>
    <w:p w14:paraId="6E95748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6.承包单位与每一位员工签订劳动合同（提供复印件）</w:t>
      </w:r>
    </w:p>
    <w:p w14:paraId="6D5B302A">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7.为所有作业人员办理工伤保险或意外保险（提供保险凭证）▲</w:t>
      </w:r>
    </w:p>
    <w:p w14:paraId="20AD8228">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8.按规定缴纳安全风险抵押金▲</w:t>
      </w:r>
    </w:p>
    <w:p w14:paraId="5AE9AC25">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9.提供所有作业人员月度考勤表（进场以后执行）▲</w:t>
      </w:r>
    </w:p>
    <w:p w14:paraId="16FED3B4">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10.提供所有作业人员劳动防护用品清单（如：安全帽、工作服、工作鞋、口罩、手套、耳塞、防护眼镜等）▲</w:t>
      </w:r>
    </w:p>
    <w:p w14:paraId="1D8B3C94">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11.提供每位员工月度安全培训记录及档案（进场以后执行）</w:t>
      </w:r>
    </w:p>
    <w:p w14:paraId="755B876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12.提供安全生产管理办法、安全生产责任制、操作规程▲</w:t>
      </w:r>
    </w:p>
    <w:p w14:paraId="4C483CC0">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13.提供有效的营业执照、施工资质等文件▲ </w:t>
      </w:r>
    </w:p>
    <w:p w14:paraId="6CD1ED8A">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14.项目经理和安全员委托书（承包商单位有效文函）▲</w:t>
      </w:r>
    </w:p>
    <w:p w14:paraId="26473F5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15.项目安全管理组织机构图，及安全生产责任制；</w:t>
      </w:r>
    </w:p>
    <w:p w14:paraId="294F25A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16.签订外来施工作业人员的安全承诺▲（进场前签定）</w:t>
      </w:r>
    </w:p>
    <w:p w14:paraId="5C52541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17.提供现场“应急施救药品”▲(附药品清单)</w:t>
      </w:r>
    </w:p>
    <w:p w14:paraId="12A024B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18.施工项目开工申请▲</w:t>
      </w:r>
    </w:p>
    <w:p w14:paraId="4BE535C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19.提供承包合同、安全协议（复印件）▲</w:t>
      </w:r>
    </w:p>
    <w:p w14:paraId="0973955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20.提供作业工器具清单、合格证</w:t>
      </w:r>
    </w:p>
    <w:p w14:paraId="434FFA45">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21.特殊作业人员清单、特种作业资格证▲</w:t>
      </w:r>
    </w:p>
    <w:p w14:paraId="22AB40FB">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22．施工队人员必需至少有一人持安全员资质证书、方能施工。▲</w:t>
      </w:r>
    </w:p>
    <w:p w14:paraId="279A63D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23乙方自行配备施工场地围挡</w:t>
      </w:r>
    </w:p>
    <w:p w14:paraId="5E795EFC">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p>
    <w:p w14:paraId="10980E6E">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以上资料作为外包项目承包商进入招标人作业的安全管理软件资料。有注▲的为必须合格项目，否则不具备入厂作业</w:t>
      </w:r>
    </w:p>
    <w:p w14:paraId="3B52B72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五）乙方应当制定项目施工方案。包括：施工负责人、施工步骤（实施的具体内容）、施工进度，明确作业过程可能发生的风险分析及防控措施和应急处置方案，经甲方审核批准后，须对作业人员进行三级安全教育及危险、有危害因素告知，明确告知作业过程的各种风险及防控措施，提升作业人员的安全意识及应急处理能力。特种作业人员及特种工程作业人员必须具备相应合格有效的特种作业资质。现场公示告知风险分析及防控措施和应急处置方案。</w:t>
      </w:r>
    </w:p>
    <w:p w14:paraId="391A7A78">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注意：不得安排未经上岗前职业健康检查的人员从事接触职业病危害的作业，不得安排有职业禁忌的人员从事其所禁忌的作业。</w:t>
      </w:r>
    </w:p>
    <w:p w14:paraId="47103039">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（六）乙方在作业时必须履行好如下工作要求：</w:t>
      </w:r>
    </w:p>
    <w:p w14:paraId="6302767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乙方携带的工具、工程设施必须符合国家法律法规、规范等安全要求（如室外电箱为防水型、主电缆要有火线、零线和地线之分、接地线为黄绿相间颜色、箱门要有跨接线、符合一机一闸一漏保箱门能正常关门和上锁管理、禁止使用无生产合格证的花线、各类电缆禁止出现破损、砂轮机要有防护罩、电焊机必须完好无损，电线进出端禁止裸露，焊机各类线禁止使用铝线，地线只能搭接在焊点附近，做到双线到焊件上，禁止将防护栏杆和固定钢构等作为地线、切割机必须有可靠的防护罩和接地等措施）</w:t>
      </w:r>
    </w:p>
    <w:p w14:paraId="2DBCAAF4">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2.作业时如需拉设警戒带的，提前采购好。</w:t>
      </w:r>
    </w:p>
    <w:p w14:paraId="68C2C878">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3.乙方每日作业前，必须参加甲方组织的班前会（安全技术交底）活动后方可安排作业。</w:t>
      </w:r>
    </w:p>
    <w:p w14:paraId="40D9534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所有人员进入甲方区域前，应佩戴好安全帽，统一穿前、后有反光条的工装（有公司简称）或穿反光背心，衣冠要整齐，反光背心前、后需印有乙方公司简称，如“广西一安”、“中国建筑”等明显字眼。乙方入厂作业前应准备好2-4件红色反光衣，前、后印刷有“安全监护人”字样，供专职安全监护人穿用。</w:t>
      </w:r>
    </w:p>
    <w:p w14:paraId="1F05F285">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5.乙方安排进入甲方区域的工程、运输车辆必须按照甲方要求配置爆闪灯、前后录像仪、倒车语音提示、前后影像、倒车雷达、示宽灯、车辆左右和后侧张贴反光条等。</w:t>
      </w:r>
    </w:p>
    <w:p w14:paraId="699AE749">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6.乙方禁止私自在甲方区域接施工电箱主电源，由乙方向甲方申请临时用电，甲方派人接电，电气作业人员必须穿绝缘鞋。</w:t>
      </w:r>
    </w:p>
    <w:p w14:paraId="008C437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7.乙方人员从事气割作业，除穿戴最基本的安全帽和反光背心外，必须戴难燃手套和墨镜。</w:t>
      </w:r>
    </w:p>
    <w:p w14:paraId="3E4FE77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8.乙方人员从事焊接作业，必须佩戴安全帽、绝缘鞋、电焊手套、电焊面罩，作业过程中禁止穿易燃的反光衣等，作业完毕后及时穿反光衣。</w:t>
      </w:r>
    </w:p>
    <w:p w14:paraId="2432801D">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9.从事高处、临边作业必须佩戴安全带并挂好，没有条件要创造条件。搭设的脚手架必须符合规范等安全要求，禁止使用竹、木头等易断材质作为搭设材料（锅炉炉膛除外），脚手架上的踏板必须铺满并固定好。</w:t>
      </w:r>
    </w:p>
    <w:p w14:paraId="6FE4166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10.从事吊装、有限空间、高处、临时用电、动火作业等危险作业时，必须按照甲方要求开展作业许可，禁止从事交叉作业。提前准备好作业人员相关信息报备甲方备案成功后方可安排从事危险作业。从事吊装作业禁止用手扶吊件，如有需要必须使用专用工具（如绳、专用工具等）。</w:t>
      </w:r>
    </w:p>
    <w:p w14:paraId="2897653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11.氧气乙炔瓶的管理，同一地点不允许存放超过5瓶及以上，作业时氧气乙炔两者应相距5米以上，气瓶距动火点相距10米以上，同时做好防晒、防回火和防倾倒措施，气管、压力表等要符合国标要求。</w:t>
      </w:r>
    </w:p>
    <w:p w14:paraId="63BAEB2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12.砂轮机、切割、敲击、风炮机等作业必须佩戴防冲击眼镜。</w:t>
      </w:r>
    </w:p>
    <w:p w14:paraId="53BB9C0E">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13.禁止开展高处抛物作业，上下梯子禁止手拿工具或其它物品。</w:t>
      </w:r>
    </w:p>
    <w:p w14:paraId="1198A81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14.现场施工用电线横跨人行通道要求悬挂高度2米以上（悬挂点必须做好绝缘措施）或做好警戒隔离措施。</w:t>
      </w:r>
    </w:p>
    <w:p w14:paraId="1880461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15.乙方须为作业人员统一配发符合国家或行业标准的劳动防护用品，并监督按照规则标准，正确佩戴、使用。乙方负责其工作人员按标准佩戴、使用劳动防护用品。除电焊、电工作业要求穿绝缘鞋外，其他人员进入施工现场禁止穿拖鞋、凉鞋、高跟鞋，应选择与工种相适应的鞋子，如存在高能量物体冲击砸伤足部的危险作业应穿保护足趾安全鞋、存在锐利物的作业场所应穿防刺穿鞋、涉及酸、碱、化学药品等作业应穿耐化学品的工业用橡胶靴或模压塑料靴。具体详见《GBT 29510 个体防护装备配备基本要求》。</w:t>
      </w:r>
    </w:p>
    <w:p w14:paraId="48A3D7A4">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16.基坑开挖和物料堆放必须符合规范要求，防止出现坍塌事件。</w:t>
      </w:r>
    </w:p>
    <w:p w14:paraId="594FDF9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17.凡未经确认的线路、管道、容器一律视为有电、有压力、正在运行。不得挪用或者擅自拆除、停用消防设施、器材，不得埋压圈占、遮挡消防栓、不得占用防火间距，不得占用、堵塞、封闭疏散通道、安全出口与消防车通道。</w:t>
      </w:r>
    </w:p>
    <w:p w14:paraId="30CD60F5">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18.人员在厂区行走时，原则上只允许行走人行通道、斑马线和甲方指定的区域，禁止跨越隔离栏，乱走、乱跑，不得擅自进入与作业无关的区域。</w:t>
      </w:r>
    </w:p>
    <w:p w14:paraId="4CC5AF39">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19.乙方要按规定的路线进出，不得擅自进入与作业无关的区域。乙方完成当日作业后应做到人走场地清，确保安全文明作业。作业人员原则上必须穿长裤（涉水作业和仓储搬运等特定作业做好其它安全措施除外），禁止裸体作业。</w:t>
      </w:r>
    </w:p>
    <w:p w14:paraId="6314666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20.乙方施工（安装）区域的施工（安装）工程、临时用电设施、脚手架、出入通道口、楼梯口、危险有害气体或液体存放处等危险部位，应设置明显的安全警示标志、围栏，危险警示标志、围栏符合国家标准。</w:t>
      </w:r>
    </w:p>
    <w:p w14:paraId="04742DA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21.乙方所用工具、材料、备品备件应码放平稳，不得存在有倾翻、滚动、坠落和其它危险隐患。</w:t>
      </w:r>
    </w:p>
    <w:p w14:paraId="61E17594">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22.乙方缴纳的履约保证金同时作为安全、环保风险抵押金使用，乙方发生事故罚款时，履约保证金不足，可从合同金额中扣除。项目验收结束且确认乙方无违规、事故后，甲方无息返还乙方风险抵押金。若乙方发生安全事故或违规，甲方根据事故或违规考核情况，按本协议第二条扣罚部分或全部风险抵押金。</w:t>
      </w:r>
    </w:p>
    <w:p w14:paraId="3D709D9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23.乙方作业现场发生事故的，应立即报告监理和甲方，乙方应按《生产安全事故报告和调查处理条例》等法律、法规、规章的规定报告，并按照专项应急预案或者应急处置方案立即开展事故救援。</w:t>
      </w:r>
    </w:p>
    <w:p w14:paraId="5FE14E8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24.乙方不得随意更换项目关键人员，关键人员离开现场应提前告知甲方，并办理相关审批手续。</w:t>
      </w:r>
    </w:p>
    <w:p w14:paraId="263E149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25.作业现场暂时停工的，乙方须做好现场安全防护工作。</w:t>
      </w:r>
    </w:p>
    <w:p w14:paraId="7C969F24">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26.乙方在施工前，须提前为施工人员办理好出入卡、门禁卡等，配合甲方做好治安及文明出入工作。乙方人员每日到甲方区域作业前应主动与甲方对接人员报告经同意后方可开展作业，当日作业结束后，应主动向甲方对接人报备当日作业结束并安全离开作业区域。</w:t>
      </w:r>
    </w:p>
    <w:p w14:paraId="039E7EB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27.乙方到甲方开展的施工项目，项目各施工小组（点）人数达3-7人的要设1名现场负责人，7人以上共同作业或从事危险作业的要设1名专职安全监护人，监护人专门负责小组（点）施工安全监护。施工方作业人数大于或等于7人的必须要配置专职监护人。</w:t>
      </w:r>
    </w:p>
    <w:p w14:paraId="30F1BC3D">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28.专职监护人禁止参与任何作业活动，主要履行现场安全监护职责,专职监护人必须穿专用红色“安全监护人”反光背心。</w:t>
      </w:r>
    </w:p>
    <w:p w14:paraId="2479A16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29.乙方必须设置安全管理员及卫生专员，每日负责做好作业区域内的安全、文明施工工作，做到有轮必有罩、有轴必有套、梯台必有栏、井沟必有盖及工完场清等，营造良好的安全、文明工作环境。</w:t>
      </w:r>
    </w:p>
    <w:p w14:paraId="3B05618D">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30.其它法律、法规、标准、规范、地方文件等要求的事项。</w:t>
      </w:r>
    </w:p>
    <w:p w14:paraId="44755FC5">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2"/>
        <w:rPr>
          <w:rFonts w:ascii="Times New Roman" w:hAnsi="Times New Roman" w:eastAsia="黑体" w:cs="Times New Roman"/>
          <w:sz w:val="32"/>
          <w:szCs w:val="32"/>
        </w:rPr>
      </w:pPr>
      <w:bookmarkStart w:id="304" w:name="_Toc383301030"/>
      <w:bookmarkStart w:id="305" w:name="_Toc396037057"/>
      <w:bookmarkStart w:id="306" w:name="_Toc451698743"/>
      <w:bookmarkStart w:id="307" w:name="_Toc389985362"/>
      <w:bookmarkStart w:id="308" w:name="_Toc434694366"/>
      <w:bookmarkStart w:id="309" w:name="_Toc442016145"/>
      <w:bookmarkStart w:id="310" w:name="_Toc442133374"/>
      <w:bookmarkStart w:id="311" w:name="_Toc384944720"/>
      <w:bookmarkStart w:id="312" w:name="_Toc396036413"/>
      <w:bookmarkStart w:id="313" w:name="_Toc381911469"/>
      <w:bookmarkStart w:id="314" w:name="_Toc3344"/>
      <w:bookmarkStart w:id="315" w:name="_Toc442022104"/>
      <w:bookmarkStart w:id="316" w:name="_Hlk132406554"/>
      <w:r>
        <w:rPr>
          <w:rFonts w:ascii="Times New Roman" w:hAnsi="Times New Roman" w:eastAsia="黑体" w:cs="Times New Roman"/>
          <w:sz w:val="32"/>
          <w:szCs w:val="32"/>
        </w:rPr>
        <w:t>第五条 隐患排查与治理</w:t>
      </w:r>
      <w:bookmarkEnd w:id="304"/>
      <w:bookmarkEnd w:id="305"/>
      <w:bookmarkEnd w:id="306"/>
      <w:bookmarkEnd w:id="307"/>
      <w:bookmarkEnd w:id="308"/>
      <w:bookmarkEnd w:id="309"/>
      <w:bookmarkEnd w:id="310"/>
      <w:bookmarkEnd w:id="311"/>
      <w:bookmarkEnd w:id="312"/>
      <w:bookmarkEnd w:id="313"/>
      <w:bookmarkEnd w:id="314"/>
      <w:bookmarkEnd w:id="315"/>
    </w:p>
    <w:p w14:paraId="09735D9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（一）甲方应当建立健全事故隐患排查治理和建档、监控等项制度，对项目现场进行隐患排查并督促乙方整改，定期对隐患排查治理情况进行统计分析与报告。</w:t>
      </w:r>
    </w:p>
    <w:p w14:paraId="651E4A74">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(二)乙方应组织相关单位及外包单位对其所从事的作业活动开展危险源辨识工作。</w:t>
      </w:r>
    </w:p>
    <w:p w14:paraId="3C43BEE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(三)乙方应当定期排查并及时治理项目作业范围内的事故隐患（包括甲方人员排查及要求整改的事故隐患），建立台账，做好相关记录，并及时向甲方报告。</w:t>
      </w:r>
    </w:p>
    <w:p w14:paraId="324DAB7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(四)乙方在项目作业范围内发现重大事故隐患后不能立即治理的，应当采取必要的防范措施，并及时书面报告甲方协商解决，消除事故隐患。</w:t>
      </w:r>
    </w:p>
    <w:p w14:paraId="225C1AD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2"/>
        <w:rPr>
          <w:rFonts w:ascii="Times New Roman" w:hAnsi="Times New Roman" w:eastAsia="仿宋_GB2312" w:cs="Times New Roman"/>
          <w:sz w:val="32"/>
          <w:szCs w:val="32"/>
        </w:rPr>
      </w:pPr>
      <w:bookmarkStart w:id="317" w:name="_Toc434694367"/>
      <w:bookmarkStart w:id="318" w:name="_Toc383301031"/>
      <w:bookmarkStart w:id="319" w:name="_Toc442022105"/>
      <w:bookmarkStart w:id="320" w:name="_Toc451698744"/>
      <w:bookmarkStart w:id="321" w:name="_Toc384944721"/>
      <w:bookmarkStart w:id="322" w:name="_Toc389985363"/>
      <w:bookmarkStart w:id="323" w:name="_Toc396036414"/>
      <w:bookmarkStart w:id="324" w:name="_Toc12405"/>
      <w:bookmarkStart w:id="325" w:name="_Toc396037058"/>
      <w:bookmarkStart w:id="326" w:name="_Toc381911470"/>
      <w:bookmarkStart w:id="327" w:name="_Toc442133375"/>
      <w:bookmarkStart w:id="328" w:name="_Toc442016146"/>
      <w:r>
        <w:rPr>
          <w:rFonts w:ascii="Times New Roman" w:hAnsi="Times New Roman" w:eastAsia="黑体" w:cs="Times New Roman"/>
          <w:sz w:val="32"/>
          <w:szCs w:val="32"/>
        </w:rPr>
        <w:t>第六条 安全教育与培训</w:t>
      </w:r>
      <w:bookmarkEnd w:id="317"/>
      <w:bookmarkEnd w:id="318"/>
      <w:bookmarkEnd w:id="319"/>
      <w:bookmarkEnd w:id="320"/>
      <w:bookmarkEnd w:id="321"/>
      <w:bookmarkEnd w:id="322"/>
      <w:bookmarkEnd w:id="323"/>
      <w:bookmarkEnd w:id="324"/>
      <w:bookmarkEnd w:id="325"/>
      <w:bookmarkEnd w:id="326"/>
      <w:bookmarkEnd w:id="327"/>
      <w:bookmarkEnd w:id="328"/>
    </w:p>
    <w:p w14:paraId="2AB1893A">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(一)甲方应当对乙方的安全教育与培训工作进行指导。</w:t>
      </w:r>
    </w:p>
    <w:p w14:paraId="5DA1F46C">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(二)甲方应当监督检查乙方开展员工安全教育培训工作情况。</w:t>
      </w:r>
    </w:p>
    <w:p w14:paraId="6CF88F3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三)乙方应当制定本单位的安全教育培训工作计划。在作业项目开工前必须对参加作业人员进行安全教育培训和考试，保证从业人员掌握必需的安全生产知识、提高安全生产技能和应急逃生知识，同时对本单位员工开展“三级”安全教育。</w:t>
      </w:r>
    </w:p>
    <w:p w14:paraId="38A99B1D">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(四)乙方应当按照相关法律、法规、规章和标准对本单位从业人员进行安全教育培训，保证从业人员掌握必需的安全生产知识、操作技能和应急逃生知识。</w:t>
      </w:r>
    </w:p>
    <w:p w14:paraId="6922752B">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（五）乙方应加强作业现场应急管理，完善应急预案，配备现场作业所需的应急资源，并加强培训和演练。</w:t>
      </w:r>
    </w:p>
    <w:p w14:paraId="6BBB517D">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乙方应对作业人员进行安全生产教育和培训，确保作业人员掌握本职工作所需的安全生产知识， </w:t>
      </w:r>
    </w:p>
    <w:p w14:paraId="7930F3FE">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2"/>
        <w:rPr>
          <w:rFonts w:ascii="Times New Roman" w:hAnsi="Times New Roman" w:eastAsia="仿宋_GB2312" w:cs="Times New Roman"/>
          <w:sz w:val="32"/>
          <w:szCs w:val="32"/>
        </w:rPr>
      </w:pPr>
      <w:bookmarkStart w:id="329" w:name="_Toc383301032"/>
      <w:bookmarkStart w:id="330" w:name="_Toc381911471"/>
      <w:bookmarkStart w:id="331" w:name="_Toc442133376"/>
      <w:bookmarkStart w:id="332" w:name="_Toc451698745"/>
      <w:bookmarkStart w:id="333" w:name="_Toc442016147"/>
      <w:bookmarkStart w:id="334" w:name="_Toc396037059"/>
      <w:bookmarkStart w:id="335" w:name="_Toc384944722"/>
      <w:bookmarkStart w:id="336" w:name="_Toc389985364"/>
      <w:bookmarkStart w:id="337" w:name="_Toc434694368"/>
      <w:bookmarkStart w:id="338" w:name="_Toc27831"/>
      <w:bookmarkStart w:id="339" w:name="_Toc442022106"/>
      <w:bookmarkStart w:id="340" w:name="_Toc396036415"/>
      <w:r>
        <w:rPr>
          <w:rFonts w:ascii="Times New Roman" w:hAnsi="Times New Roman" w:eastAsia="黑体" w:cs="Times New Roman"/>
          <w:sz w:val="32"/>
          <w:szCs w:val="32"/>
        </w:rPr>
        <w:t>第七条 事故应急救援</w:t>
      </w:r>
      <w:bookmarkEnd w:id="329"/>
      <w:bookmarkEnd w:id="330"/>
      <w:bookmarkEnd w:id="331"/>
      <w:bookmarkEnd w:id="332"/>
      <w:bookmarkEnd w:id="333"/>
      <w:bookmarkEnd w:id="334"/>
      <w:bookmarkEnd w:id="335"/>
      <w:bookmarkEnd w:id="336"/>
      <w:bookmarkEnd w:id="337"/>
      <w:bookmarkEnd w:id="338"/>
      <w:bookmarkEnd w:id="339"/>
      <w:bookmarkEnd w:id="340"/>
    </w:p>
    <w:p w14:paraId="4C7FF22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hint="eastAsia" w:ascii="楷体_GB2312" w:hAnsi="Times New Roman" w:eastAsia="楷体_GB2312" w:cs="Times New Roman"/>
          <w:sz w:val="32"/>
          <w:szCs w:val="32"/>
        </w:rPr>
      </w:pPr>
      <w:r>
        <w:rPr>
          <w:rFonts w:hint="eastAsia" w:ascii="楷体_GB2312" w:hAnsi="Times New Roman" w:eastAsia="楷体_GB2312" w:cs="Times New Roman"/>
          <w:sz w:val="32"/>
          <w:szCs w:val="32"/>
        </w:rPr>
        <w:t>(一)应急准备</w:t>
      </w:r>
    </w:p>
    <w:p w14:paraId="0092C813">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1.甲方应当按照国家有关规定建立应急救援组织或者与其他应急救援组织签订救援协议，编制本单位事故应急预案，并定期组织演练。</w:t>
      </w:r>
    </w:p>
    <w:p w14:paraId="0248856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2.甲方负责向乙方如实告知根据甲方能力所知的作业场所和岗位存在的危险因素，要求乙方制订防范措施以及事故应急预案。</w:t>
      </w:r>
    </w:p>
    <w:p w14:paraId="5742B50E">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3.甲方配置的应急救援工程设施和器材包括： 项目现场及附近车间的消防器材、正压式空气呼吸器、防毒面具、担架、应急通风机、四合一气体检测仪、应急药箱、救援绳等。</w:t>
      </w:r>
    </w:p>
    <w:p w14:paraId="5868945B">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4.乙方应当编制与项目相适应的应急预案或者应急处置预案，并与甲方的相关预案接口,并定期组织演练或者参加甲方组织的演练。</w:t>
      </w:r>
    </w:p>
    <w:p w14:paraId="70E15AD0">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 xml:space="preserve">4.乙方配置的应急救援工程设施和器材包括：                           </w:t>
      </w:r>
    </w:p>
    <w:p w14:paraId="75AE82FE">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hint="eastAsia" w:ascii="楷体_GB2312" w:hAnsi="Times New Roman" w:eastAsia="楷体_GB2312" w:cs="Times New Roman"/>
          <w:sz w:val="32"/>
          <w:szCs w:val="32"/>
        </w:rPr>
      </w:pPr>
      <w:r>
        <w:rPr>
          <w:rFonts w:ascii="楷体_GB2312" w:hAnsi="Times New Roman" w:eastAsia="楷体_GB2312" w:cs="Times New Roman"/>
          <w:sz w:val="32"/>
          <w:szCs w:val="32"/>
        </w:rPr>
        <w:t>(二)事故报告</w:t>
      </w:r>
    </w:p>
    <w:p w14:paraId="563E371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1.项目施工发生事故后，事故现场有关人员应当立即向乙方项目负责人报告；乙方项目负责人接到报告后，应当及时向甲乙双方的负责人报告。</w:t>
      </w:r>
    </w:p>
    <w:p w14:paraId="7FD61F13">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2.项目施工发生事故后，甲方负责人应当按照《生产安全事故报告和调查处理条例》(国务院令第493号)等法律、法规、规章的规定报告。</w:t>
      </w:r>
    </w:p>
    <w:p w14:paraId="41CCC06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hint="eastAsia" w:ascii="楷体_GB2312" w:hAnsi="Times New Roman" w:eastAsia="楷体_GB2312" w:cs="Times New Roman"/>
          <w:sz w:val="32"/>
          <w:szCs w:val="32"/>
        </w:rPr>
      </w:pPr>
      <w:r>
        <w:rPr>
          <w:rFonts w:ascii="楷体_GB2312" w:hAnsi="Times New Roman" w:eastAsia="楷体_GB2312" w:cs="Times New Roman"/>
          <w:sz w:val="32"/>
          <w:szCs w:val="32"/>
        </w:rPr>
        <w:t>(三)事故救援</w:t>
      </w:r>
    </w:p>
    <w:p w14:paraId="229233C3">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1.项目施工发生事故后，乙方应当按照专项应急预案或者应急处置方案立即开展事故救援。保护好事故现场。</w:t>
      </w:r>
    </w:p>
    <w:p w14:paraId="445F207D">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2.项目施工发生事故后，甲方应当按照应急预案要求，立即开展应急救援，负责指挥、协调事故救援工作，充分调动甲乙双方的应急资源。</w:t>
      </w:r>
    </w:p>
    <w:p w14:paraId="4EC9413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hint="eastAsia" w:ascii="楷体_GB2312" w:hAnsi="Times New Roman" w:eastAsia="楷体_GB2312" w:cs="Times New Roman"/>
          <w:sz w:val="32"/>
          <w:szCs w:val="32"/>
        </w:rPr>
      </w:pPr>
      <w:r>
        <w:rPr>
          <w:rFonts w:ascii="楷体_GB2312" w:hAnsi="Times New Roman" w:eastAsia="楷体_GB2312" w:cs="Times New Roman"/>
          <w:sz w:val="32"/>
          <w:szCs w:val="32"/>
        </w:rPr>
        <w:t>(四)事故处理</w:t>
      </w:r>
    </w:p>
    <w:p w14:paraId="7840A95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 在发生安全事故后应积极配合甲方组织开展的对事故的相关调查。</w:t>
      </w:r>
    </w:p>
    <w:p w14:paraId="0886D60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2.事故调查结案后，甲乙双方根据事故调查处理结论承担各自相应责任。</w:t>
      </w:r>
    </w:p>
    <w:p w14:paraId="47D72139">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3.甲方应当承担的经济处罚不得转嫁或者变相转嫁给乙方。</w:t>
      </w:r>
    </w:p>
    <w:p w14:paraId="7A797E0C">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4.乙方对发生安全事故坚持“四不放过”原则的指导思想，不隐瞒、谎报，并在员工中开展事故分析、教育，防止同类事故的再次发生。</w:t>
      </w:r>
    </w:p>
    <w:p w14:paraId="60081D9B">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第八条 信息沟通：</w:t>
      </w:r>
      <w:r>
        <w:rPr>
          <w:rFonts w:ascii="Times New Roman" w:hAnsi="Times New Roman" w:eastAsia="仿宋_GB2312" w:cs="Times New Roman"/>
          <w:sz w:val="32"/>
          <w:szCs w:val="32"/>
        </w:rPr>
        <w:t>甲乙双方定期召开安全沟通会议，其他安全环保重大事项应立即报告甲方或备案。</w:t>
      </w:r>
    </w:p>
    <w:p w14:paraId="17FA602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2"/>
        <w:rPr>
          <w:rFonts w:ascii="Times New Roman" w:hAnsi="Times New Roman" w:eastAsia="黑体" w:cs="Times New Roman"/>
          <w:sz w:val="32"/>
          <w:szCs w:val="32"/>
        </w:rPr>
      </w:pPr>
      <w:bookmarkStart w:id="341" w:name="_Toc434694369"/>
      <w:bookmarkStart w:id="342" w:name="_Toc442133377"/>
      <w:bookmarkStart w:id="343" w:name="_Toc384944723"/>
      <w:bookmarkStart w:id="344" w:name="_Toc451698746"/>
      <w:bookmarkStart w:id="345" w:name="_Toc5845"/>
      <w:bookmarkStart w:id="346" w:name="_Toc396037060"/>
      <w:bookmarkStart w:id="347" w:name="_Toc396036416"/>
      <w:bookmarkStart w:id="348" w:name="_Toc381911472"/>
      <w:bookmarkStart w:id="349" w:name="_Toc442022107"/>
      <w:bookmarkStart w:id="350" w:name="_Toc442016148"/>
      <w:bookmarkStart w:id="351" w:name="_Toc383301033"/>
      <w:bookmarkStart w:id="352" w:name="_Toc389985365"/>
      <w:r>
        <w:rPr>
          <w:rFonts w:ascii="Times New Roman" w:hAnsi="Times New Roman" w:eastAsia="黑体" w:cs="Times New Roman"/>
          <w:sz w:val="32"/>
          <w:szCs w:val="32"/>
        </w:rPr>
        <w:t>第九条 安全检查与考评</w:t>
      </w:r>
      <w:bookmarkEnd w:id="341"/>
      <w:bookmarkEnd w:id="342"/>
      <w:bookmarkEnd w:id="343"/>
      <w:bookmarkEnd w:id="344"/>
      <w:bookmarkEnd w:id="345"/>
      <w:bookmarkEnd w:id="346"/>
      <w:bookmarkEnd w:id="347"/>
      <w:bookmarkEnd w:id="348"/>
      <w:bookmarkEnd w:id="349"/>
      <w:bookmarkEnd w:id="350"/>
      <w:bookmarkEnd w:id="351"/>
      <w:bookmarkEnd w:id="352"/>
    </w:p>
    <w:p w14:paraId="7BC222C4">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1.甲方应当建立健全项目施工的安全生产考核机制，制定考核办法，对乙方进行安全生产考核。</w:t>
      </w:r>
    </w:p>
    <w:p w14:paraId="71892BE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2.甲方应当加强项目监督检查工作，发现乙方违反法律、法规、规章和标准的违章违纪行为，及时进行教育，有权纠正和考核，对不听劝告、直至清退出场。</w:t>
      </w:r>
    </w:p>
    <w:p w14:paraId="6377E83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3.甲方审查乙方相应的作业资格证书、作业方案和外包商、作业现场的工程、设施、建（构）筑物和人员作业安全状况等。</w:t>
      </w:r>
    </w:p>
    <w:p w14:paraId="728830B5">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甲方对乙方的安全生产工作统一协调、管理，甲方有权对乙方施工作业区的工程、设施、建（构）筑物和人员作业安全状况进行安全检查，发现安全问题的，应当及时督促乙方进行整改。甲方有权提出撤换外包方项目经理、安全管理负责人。</w:t>
      </w:r>
    </w:p>
    <w:p w14:paraId="7F51E230">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5.乙方负责项目范围内的作业安全管理，制定施工方案，加强项目作业现场的日常安全检查，做好相关记录，落实各项规章制度和安全操作规程，消除人的不安全行为和物的不安全状态。在项目作业范围内发现重大事故隐患后不能立即治理的，应当采取必要的防范措施，并及时书面报告甲方协商解决，消除事故隐患。</w:t>
      </w:r>
    </w:p>
    <w:p w14:paraId="12C334CC">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6.乙方应当接受甲方的监督管理，遵守甲方的有关规章制度的要求。同时，乙方有权拒绝甲方违章指挥和强令冒险作业。</w:t>
      </w:r>
    </w:p>
    <w:p w14:paraId="1AE05250">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7.乙方应当向甲方提供安全生产考核所需资料，接受甲方的考核与奖惩。</w:t>
      </w:r>
      <w:bookmarkEnd w:id="316"/>
    </w:p>
    <w:p w14:paraId="57BF5E5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2"/>
        <w:rPr>
          <w:rFonts w:hint="eastAsia" w:ascii="黑体" w:hAnsi="黑体" w:eastAsia="黑体" w:cs="Times New Roman"/>
          <w:sz w:val="32"/>
          <w:szCs w:val="32"/>
        </w:rPr>
      </w:pPr>
      <w:bookmarkStart w:id="353" w:name="_Toc17727"/>
      <w:r>
        <w:rPr>
          <w:rFonts w:hint="eastAsia" w:ascii="黑体" w:hAnsi="黑体" w:eastAsia="黑体" w:cs="Times New Roman"/>
          <w:sz w:val="32"/>
          <w:szCs w:val="32"/>
        </w:rPr>
        <w:t>第十条 风险抵押金考核</w:t>
      </w:r>
      <w:bookmarkEnd w:id="353"/>
    </w:p>
    <w:p w14:paraId="029A4E4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乙方违反甲方各项安全管理规定的，（如违反甲方危险作业要求、使用不安全的工具、工程、未按要求佩戴相对应的劳保防护用品、未做到工完场清或未及时搞好现场卫生、作业过程违反操作规程等），一般违规扣200元/次；严重违规（糖业10条禁令）扣500元/次，重复违反扣1000元/次，违反《中粮集团</w:t>
      </w:r>
      <w:bookmarkStart w:id="354" w:name="_Hlk132701874"/>
      <w:r>
        <w:rPr>
          <w:rFonts w:ascii="Times New Roman" w:hAnsi="Times New Roman" w:eastAsia="仿宋_GB2312" w:cs="Times New Roman"/>
          <w:sz w:val="32"/>
          <w:szCs w:val="32"/>
        </w:rPr>
        <w:t>承包商与工程项目管理安全</w:t>
      </w:r>
      <w:bookmarkEnd w:id="354"/>
      <w:r>
        <w:rPr>
          <w:rFonts w:ascii="Times New Roman" w:hAnsi="Times New Roman" w:eastAsia="仿宋_GB2312" w:cs="Times New Roman"/>
          <w:sz w:val="32"/>
          <w:szCs w:val="32"/>
        </w:rPr>
        <w:t>禁令》和中粮集团承包商与工程项目安全管理严重违规应当停工整顿的情形，由甲方作停工整顿处理，停工所造成的损失由乙方负责，由乙方到甲方财务部缴纳违章处罚金额，未按时足额缴纳处罚金额的，待甲方组织内部专家验收合格后方可支付相应进度款。</w:t>
      </w:r>
    </w:p>
    <w:p w14:paraId="25BCB6D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乙方发生事故罚款时，履约保证金不足，可从合同金额中扣除。</w:t>
      </w:r>
    </w:p>
    <w:p w14:paraId="0B18009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对安全管理漏洞及事故隐患未能限期整改，必要时进行停工整顿。由于乙方作业活动中严重违反甲方安全管理制度，对甲方造成严重影响的已未遂事故时，甲方有权单方解除合同，并要求乙方承担由此给甲方造成的实际损失的赔偿责任。</w:t>
      </w:r>
    </w:p>
    <w:p w14:paraId="3FEA502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3.乙方作业过程中违反国家有关法律法规，受到行政、经济、刑事处罚的，由乙方自行承担责任。</w:t>
      </w:r>
    </w:p>
    <w:p w14:paraId="29DDE35B">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乙方施工现场发生重伤1-2人责任事故，甲方扣罚该项目风险抵押金总额的20％（1人）、60%（2人）；若乙方施工现场发生死亡1人及以上或重伤3人及以上责任事故，甲方扣罚该项目全部风险抵押金。项目验收结束且确认乙方无违规、事故后，甲方无息返还乙方风险抵押金。</w:t>
      </w:r>
    </w:p>
    <w:p w14:paraId="3637C783">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2"/>
        <w:rPr>
          <w:rFonts w:ascii="Times New Roman" w:hAnsi="Times New Roman" w:eastAsia="黑体" w:cs="Times New Roman"/>
          <w:sz w:val="32"/>
          <w:szCs w:val="32"/>
        </w:rPr>
      </w:pPr>
      <w:bookmarkStart w:id="355" w:name="_Toc434694370"/>
      <w:bookmarkStart w:id="356" w:name="_Toc384944724"/>
      <w:bookmarkStart w:id="357" w:name="_Toc381911473"/>
      <w:bookmarkStart w:id="358" w:name="_Toc389985366"/>
      <w:bookmarkStart w:id="359" w:name="_Toc383301034"/>
      <w:bookmarkStart w:id="360" w:name="_Toc442016149"/>
      <w:bookmarkStart w:id="361" w:name="_Toc442133378"/>
      <w:bookmarkStart w:id="362" w:name="_Toc5984"/>
      <w:bookmarkStart w:id="363" w:name="_Toc442022108"/>
      <w:bookmarkStart w:id="364" w:name="_Toc396036417"/>
      <w:bookmarkStart w:id="365" w:name="_Toc451698747"/>
      <w:bookmarkStart w:id="366" w:name="_Toc396037061"/>
      <w:r>
        <w:rPr>
          <w:rFonts w:ascii="Times New Roman" w:hAnsi="Times New Roman" w:eastAsia="黑体" w:cs="Times New Roman"/>
          <w:sz w:val="32"/>
          <w:szCs w:val="32"/>
        </w:rPr>
        <w:t>第十</w:t>
      </w:r>
      <w:r>
        <w:rPr>
          <w:rFonts w:hint="eastAsia" w:ascii="Times New Roman" w:hAnsi="Times New Roman" w:eastAsia="黑体" w:cs="Times New Roman"/>
          <w:sz w:val="32"/>
          <w:szCs w:val="32"/>
        </w:rPr>
        <w:t>一</w:t>
      </w:r>
      <w:r>
        <w:rPr>
          <w:rFonts w:ascii="Times New Roman" w:hAnsi="Times New Roman" w:eastAsia="黑体" w:cs="Times New Roman"/>
          <w:sz w:val="32"/>
          <w:szCs w:val="32"/>
        </w:rPr>
        <w:t>条 违约责任</w:t>
      </w:r>
      <w:bookmarkEnd w:id="355"/>
      <w:bookmarkEnd w:id="356"/>
      <w:bookmarkEnd w:id="357"/>
      <w:bookmarkEnd w:id="358"/>
      <w:bookmarkEnd w:id="359"/>
      <w:bookmarkEnd w:id="360"/>
      <w:bookmarkEnd w:id="361"/>
      <w:bookmarkEnd w:id="362"/>
      <w:bookmarkEnd w:id="363"/>
      <w:bookmarkEnd w:id="364"/>
      <w:bookmarkEnd w:id="365"/>
      <w:bookmarkEnd w:id="366"/>
    </w:p>
    <w:p w14:paraId="758DC457">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(一)甲乙双方遵守法律、法规、规章规定的义务，并享有相应的权利。</w:t>
      </w:r>
    </w:p>
    <w:p w14:paraId="7CA07C13">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hint="eastAsia" w:ascii="楷体_GB2312" w:hAnsi="Times New Roman" w:eastAsia="楷体_GB2312" w:cs="Times New Roman"/>
          <w:sz w:val="32"/>
          <w:szCs w:val="32"/>
        </w:rPr>
      </w:pPr>
      <w:r>
        <w:rPr>
          <w:rFonts w:hint="eastAsia" w:ascii="楷体_GB2312" w:hAnsi="Times New Roman" w:eastAsia="楷体_GB2312" w:cs="Times New Roman"/>
          <w:sz w:val="32"/>
          <w:szCs w:val="32"/>
        </w:rPr>
        <w:t>(二)甲方违约</w:t>
      </w:r>
    </w:p>
    <w:p w14:paraId="7916AD5E">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当发生下列情况之一的，甲方承担违约责任，依法赔偿给乙方造成的经济损失；因违约造成生产安全事故的，按照相关法律、法规、规章的规定，甲方依法承担相应责任：</w:t>
      </w:r>
    </w:p>
    <w:p w14:paraId="6159888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1.甲方擅自压缩项目合同约定的工期，违章指挥或者强令乙方及其从业人员冒险作业的；</w:t>
      </w:r>
    </w:p>
    <w:p w14:paraId="149828C3">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2.甲方未提供项目施工作业所必要的图纸资料，未向乙方进行技术交底的；</w:t>
      </w:r>
    </w:p>
    <w:p w14:paraId="33EE51AB">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3.甲方不能提供合法的外包项目的；</w:t>
      </w:r>
    </w:p>
    <w:p w14:paraId="161455D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4.甲方不能保证与外包项目有关的生产系统安全设施正常运行的；</w:t>
      </w:r>
    </w:p>
    <w:p w14:paraId="6F1E8295">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5.甲方违反项目设计安排乙方施工作业的；</w:t>
      </w:r>
    </w:p>
    <w:p w14:paraId="0DB9A830">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6.甲方未按照合同或者协议约定支付应当由甲方承担的项目安全生产费用的；</w:t>
      </w:r>
    </w:p>
    <w:p w14:paraId="4018AFCB">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7.发生事故后，甲方未及时组织开展应急救援工作的；</w:t>
      </w:r>
    </w:p>
    <w:p w14:paraId="655E008A">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8.甲方不履行协议义务或不按协议约定履行义务的其他情况。</w:t>
      </w:r>
    </w:p>
    <w:p w14:paraId="579EAF7F">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hint="eastAsia" w:ascii="楷体_GB2312" w:hAnsi="Times New Roman" w:eastAsia="楷体_GB2312" w:cs="Times New Roman"/>
          <w:sz w:val="32"/>
          <w:szCs w:val="32"/>
        </w:rPr>
      </w:pPr>
      <w:r>
        <w:rPr>
          <w:rFonts w:hint="eastAsia" w:ascii="楷体_GB2312" w:hAnsi="Times New Roman" w:eastAsia="楷体_GB2312" w:cs="Times New Roman"/>
          <w:sz w:val="32"/>
          <w:szCs w:val="32"/>
        </w:rPr>
        <w:t>(三)乙方违约</w:t>
      </w:r>
    </w:p>
    <w:p w14:paraId="380CF877">
      <w:pPr>
        <w:keepNext w:val="0"/>
        <w:keepLines w:val="0"/>
        <w:pageBreakBefore w:val="0"/>
        <w:widowControl/>
        <w:kinsoku/>
        <w:wordWrap/>
        <w:overflowPunct/>
        <w:topLinePunct w:val="0"/>
        <w:autoSpaceDE/>
        <w:autoSpaceDN/>
        <w:bidi w:val="0"/>
        <w:adjustRightInd/>
        <w:snapToGrid/>
        <w:spacing w:after="0" w:line="520" w:lineRule="exact"/>
        <w:ind w:firstLine="454"/>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当发生下列情况之一的，乙方承担违约责任，依法赔偿给甲方造成的损失；因违约造成生产安全事故的，按照相关法律、法规、规章的规定，依法承担相应责任：</w:t>
      </w:r>
    </w:p>
    <w:p w14:paraId="774B5C63">
      <w:pPr>
        <w:keepNext w:val="0"/>
        <w:keepLines w:val="0"/>
        <w:pageBreakBefore w:val="0"/>
        <w:widowControl/>
        <w:kinsoku/>
        <w:wordWrap/>
        <w:overflowPunct/>
        <w:topLinePunct w:val="0"/>
        <w:autoSpaceDE/>
        <w:autoSpaceDN/>
        <w:bidi w:val="0"/>
        <w:adjustRightInd/>
        <w:snapToGrid/>
        <w:spacing w:after="0" w:line="520" w:lineRule="exact"/>
        <w:ind w:firstLine="454"/>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1.乙方未按照合同或者协议约定将甲方提供的安全生产费用落实到位、专款专用的；</w:t>
      </w:r>
    </w:p>
    <w:p w14:paraId="70051A2E">
      <w:pPr>
        <w:keepNext w:val="0"/>
        <w:keepLines w:val="0"/>
        <w:pageBreakBefore w:val="0"/>
        <w:widowControl/>
        <w:kinsoku/>
        <w:wordWrap/>
        <w:overflowPunct/>
        <w:topLinePunct w:val="0"/>
        <w:autoSpaceDE/>
        <w:autoSpaceDN/>
        <w:bidi w:val="0"/>
        <w:adjustRightInd/>
        <w:snapToGrid/>
        <w:spacing w:after="0" w:line="520" w:lineRule="exact"/>
        <w:ind w:firstLine="454"/>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2.乙方不能保证与承揽项目规模相匹配的施工资质、技术人员、特种作业人员和工程设施的；</w:t>
      </w:r>
    </w:p>
    <w:p w14:paraId="0A36B022">
      <w:pPr>
        <w:keepNext w:val="0"/>
        <w:keepLines w:val="0"/>
        <w:pageBreakBefore w:val="0"/>
        <w:widowControl/>
        <w:kinsoku/>
        <w:wordWrap/>
        <w:overflowPunct/>
        <w:topLinePunct w:val="0"/>
        <w:autoSpaceDE/>
        <w:autoSpaceDN/>
        <w:bidi w:val="0"/>
        <w:adjustRightInd/>
        <w:snapToGrid/>
        <w:spacing w:after="0" w:line="520" w:lineRule="exact"/>
        <w:ind w:firstLine="454"/>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3.乙方有关资质、证照已过期的，或者安排证件已过期的各类应持证人员上岗作业的；</w:t>
      </w:r>
    </w:p>
    <w:p w14:paraId="22D0B36C">
      <w:pPr>
        <w:keepNext w:val="0"/>
        <w:keepLines w:val="0"/>
        <w:pageBreakBefore w:val="0"/>
        <w:widowControl/>
        <w:kinsoku/>
        <w:wordWrap/>
        <w:overflowPunct/>
        <w:topLinePunct w:val="0"/>
        <w:autoSpaceDE/>
        <w:autoSpaceDN/>
        <w:bidi w:val="0"/>
        <w:adjustRightInd/>
        <w:snapToGrid/>
        <w:spacing w:after="0" w:line="520" w:lineRule="exact"/>
        <w:ind w:firstLine="454"/>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4.乙方人员违章指挥或者违章作业的；</w:t>
      </w:r>
    </w:p>
    <w:p w14:paraId="7B172062">
      <w:pPr>
        <w:keepNext w:val="0"/>
        <w:keepLines w:val="0"/>
        <w:pageBreakBefore w:val="0"/>
        <w:widowControl/>
        <w:kinsoku/>
        <w:wordWrap/>
        <w:overflowPunct/>
        <w:topLinePunct w:val="0"/>
        <w:autoSpaceDE/>
        <w:autoSpaceDN/>
        <w:bidi w:val="0"/>
        <w:adjustRightInd/>
        <w:snapToGrid/>
        <w:spacing w:after="0" w:line="520" w:lineRule="exact"/>
        <w:ind w:firstLine="454"/>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5.乙方现场安全管理不到位的；</w:t>
      </w:r>
    </w:p>
    <w:p w14:paraId="476495AE">
      <w:pPr>
        <w:keepNext w:val="0"/>
        <w:keepLines w:val="0"/>
        <w:pageBreakBefore w:val="0"/>
        <w:widowControl/>
        <w:kinsoku/>
        <w:wordWrap/>
        <w:overflowPunct/>
        <w:topLinePunct w:val="0"/>
        <w:autoSpaceDE/>
        <w:autoSpaceDN/>
        <w:bidi w:val="0"/>
        <w:adjustRightInd/>
        <w:snapToGrid/>
        <w:spacing w:after="0" w:line="520" w:lineRule="exact"/>
        <w:ind w:firstLine="454"/>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6.发生事故后，乙方未及时开展应急救援工作的；</w:t>
      </w:r>
    </w:p>
    <w:p w14:paraId="0C99765A">
      <w:pPr>
        <w:keepNext w:val="0"/>
        <w:keepLines w:val="0"/>
        <w:pageBreakBefore w:val="0"/>
        <w:widowControl/>
        <w:kinsoku/>
        <w:wordWrap/>
        <w:overflowPunct/>
        <w:topLinePunct w:val="0"/>
        <w:autoSpaceDE/>
        <w:autoSpaceDN/>
        <w:bidi w:val="0"/>
        <w:adjustRightInd/>
        <w:snapToGrid/>
        <w:spacing w:after="0" w:line="520" w:lineRule="exact"/>
        <w:ind w:firstLine="454"/>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7.乙方不履行协议义务或者未按协议约定履行义务的其他情况。</w:t>
      </w:r>
    </w:p>
    <w:p w14:paraId="308EDEA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2"/>
        <w:rPr>
          <w:rFonts w:ascii="Times New Roman" w:hAnsi="Times New Roman" w:eastAsia="黑体" w:cs="Times New Roman"/>
          <w:sz w:val="32"/>
          <w:szCs w:val="32"/>
        </w:rPr>
      </w:pPr>
      <w:bookmarkStart w:id="367" w:name="_Toc384944725"/>
      <w:bookmarkStart w:id="368" w:name="_Toc434694371"/>
      <w:bookmarkStart w:id="369" w:name="_Toc381911474"/>
      <w:bookmarkStart w:id="370" w:name="_Toc383301035"/>
      <w:bookmarkStart w:id="371" w:name="_Toc451698748"/>
      <w:bookmarkStart w:id="372" w:name="_Toc7628"/>
      <w:bookmarkStart w:id="373" w:name="_Toc442022109"/>
      <w:bookmarkStart w:id="374" w:name="_Toc396036418"/>
      <w:bookmarkStart w:id="375" w:name="_Toc442016150"/>
      <w:bookmarkStart w:id="376" w:name="_Toc396037062"/>
      <w:bookmarkStart w:id="377" w:name="_Toc389985367"/>
      <w:bookmarkStart w:id="378" w:name="_Toc442133379"/>
      <w:r>
        <w:rPr>
          <w:rFonts w:ascii="Times New Roman" w:hAnsi="Times New Roman" w:eastAsia="黑体" w:cs="Times New Roman"/>
          <w:sz w:val="32"/>
          <w:szCs w:val="32"/>
        </w:rPr>
        <w:t>第十</w:t>
      </w:r>
      <w:r>
        <w:rPr>
          <w:rFonts w:hint="eastAsia" w:ascii="Times New Roman" w:hAnsi="Times New Roman" w:eastAsia="黑体" w:cs="Times New Roman"/>
          <w:sz w:val="32"/>
          <w:szCs w:val="32"/>
        </w:rPr>
        <w:t>二</w:t>
      </w:r>
      <w:r>
        <w:rPr>
          <w:rFonts w:ascii="Times New Roman" w:hAnsi="Times New Roman" w:eastAsia="黑体" w:cs="Times New Roman"/>
          <w:sz w:val="32"/>
          <w:szCs w:val="32"/>
        </w:rPr>
        <w:t>条 补充条款</w:t>
      </w:r>
      <w:bookmarkEnd w:id="367"/>
      <w:bookmarkEnd w:id="368"/>
      <w:bookmarkEnd w:id="369"/>
      <w:bookmarkEnd w:id="370"/>
      <w:bookmarkEnd w:id="371"/>
      <w:bookmarkEnd w:id="372"/>
      <w:bookmarkEnd w:id="373"/>
      <w:bookmarkEnd w:id="374"/>
      <w:bookmarkEnd w:id="375"/>
      <w:bookmarkEnd w:id="376"/>
      <w:bookmarkEnd w:id="377"/>
      <w:bookmarkEnd w:id="378"/>
    </w:p>
    <w:p w14:paraId="793CD345">
      <w:pPr>
        <w:keepNext w:val="0"/>
        <w:keepLines w:val="0"/>
        <w:pageBreakBefore w:val="0"/>
        <w:widowControl/>
        <w:kinsoku/>
        <w:wordWrap/>
        <w:overflowPunct/>
        <w:topLinePunct w:val="0"/>
        <w:autoSpaceDE/>
        <w:autoSpaceDN/>
        <w:bidi w:val="0"/>
        <w:adjustRightInd/>
        <w:snapToGrid/>
        <w:spacing w:after="0" w:line="520" w:lineRule="exact"/>
        <w:ind w:firstLine="454"/>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甲乙双方在遵守有关法律、法规、规章和标准的前提下，结合项目施工实际，经协商一致后，可对以上条款内容进行补充但不得相悖，补充条款与本协议其他条款具有同等法律效力。 </w:t>
      </w:r>
    </w:p>
    <w:p w14:paraId="6A0E051E">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2"/>
        <w:rPr>
          <w:rFonts w:ascii="Times New Roman" w:hAnsi="Times New Roman" w:eastAsia="黑体" w:cs="Times New Roman"/>
          <w:sz w:val="32"/>
          <w:szCs w:val="32"/>
        </w:rPr>
      </w:pPr>
      <w:bookmarkStart w:id="379" w:name="_Toc389985368"/>
      <w:bookmarkStart w:id="380" w:name="_Toc434694372"/>
      <w:bookmarkStart w:id="381" w:name="_Toc5453"/>
      <w:bookmarkStart w:id="382" w:name="_Toc396036419"/>
      <w:bookmarkStart w:id="383" w:name="_Toc384944726"/>
      <w:bookmarkStart w:id="384" w:name="_Toc396037063"/>
      <w:bookmarkStart w:id="385" w:name="_Toc381911475"/>
      <w:bookmarkStart w:id="386" w:name="_Toc442133380"/>
      <w:bookmarkStart w:id="387" w:name="_Toc442022110"/>
      <w:bookmarkStart w:id="388" w:name="_Toc383301036"/>
      <w:bookmarkStart w:id="389" w:name="_Toc442016151"/>
      <w:bookmarkStart w:id="390" w:name="_Toc451698749"/>
      <w:r>
        <w:rPr>
          <w:rFonts w:ascii="Times New Roman" w:hAnsi="Times New Roman" w:eastAsia="黑体" w:cs="Times New Roman"/>
          <w:sz w:val="32"/>
          <w:szCs w:val="32"/>
        </w:rPr>
        <w:t>第十</w:t>
      </w:r>
      <w:r>
        <w:rPr>
          <w:rFonts w:hint="eastAsia" w:ascii="Times New Roman" w:hAnsi="Times New Roman" w:eastAsia="黑体" w:cs="Times New Roman"/>
          <w:sz w:val="32"/>
          <w:szCs w:val="32"/>
        </w:rPr>
        <w:t>三</w:t>
      </w:r>
      <w:r>
        <w:rPr>
          <w:rFonts w:ascii="Times New Roman" w:hAnsi="Times New Roman" w:eastAsia="黑体" w:cs="Times New Roman"/>
          <w:sz w:val="32"/>
          <w:szCs w:val="32"/>
        </w:rPr>
        <w:t>条 协议生效</w:t>
      </w:r>
      <w:bookmarkEnd w:id="379"/>
      <w:bookmarkEnd w:id="380"/>
      <w:bookmarkEnd w:id="381"/>
      <w:bookmarkEnd w:id="382"/>
      <w:bookmarkEnd w:id="383"/>
      <w:bookmarkEnd w:id="384"/>
      <w:bookmarkEnd w:id="385"/>
      <w:bookmarkEnd w:id="386"/>
      <w:bookmarkEnd w:id="387"/>
      <w:bookmarkEnd w:id="388"/>
      <w:bookmarkEnd w:id="389"/>
      <w:bookmarkEnd w:id="390"/>
    </w:p>
    <w:p w14:paraId="55967EAC">
      <w:pPr>
        <w:keepNext w:val="0"/>
        <w:keepLines w:val="0"/>
        <w:pageBreakBefore w:val="0"/>
        <w:widowControl/>
        <w:kinsoku/>
        <w:wordWrap/>
        <w:overflowPunct/>
        <w:topLinePunct w:val="0"/>
        <w:autoSpaceDE/>
        <w:autoSpaceDN/>
        <w:bidi w:val="0"/>
        <w:adjustRightInd/>
        <w:snapToGrid/>
        <w:spacing w:after="0" w:line="520" w:lineRule="exact"/>
        <w:ind w:firstLine="454"/>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本协议自甲乙双方签字盖章之日起生效，其时效与双方所签订项目承包合同相同。</w:t>
      </w:r>
    </w:p>
    <w:p w14:paraId="55F3DDCD">
      <w:pPr>
        <w:spacing w:after="0" w:line="560" w:lineRule="exact"/>
        <w:ind w:firstLine="454"/>
        <w:jc w:val="both"/>
        <w:rPr>
          <w:rFonts w:ascii="Times New Roman" w:hAnsi="Times New Roman" w:eastAsia="仿宋_GB2312" w:cs="Times New Roman"/>
          <w:sz w:val="32"/>
          <w:szCs w:val="32"/>
        </w:rPr>
      </w:pPr>
    </w:p>
    <w:p w14:paraId="6E22FE83">
      <w:pPr>
        <w:spacing w:after="0" w:line="560" w:lineRule="exact"/>
        <w:ind w:firstLine="454"/>
        <w:jc w:val="both"/>
        <w:rPr>
          <w:rFonts w:ascii="Times New Roman" w:hAnsi="Times New Roman" w:eastAsia="仿宋_GB2312" w:cs="Times New Roman"/>
          <w:sz w:val="32"/>
          <w:szCs w:val="32"/>
        </w:rPr>
      </w:pPr>
    </w:p>
    <w:p w14:paraId="6EDF4F52">
      <w:pPr>
        <w:spacing w:after="0" w:line="560" w:lineRule="exact"/>
        <w:ind w:firstLine="454"/>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甲方(盖章)：                           乙方(盖章)：</w:t>
      </w:r>
    </w:p>
    <w:p w14:paraId="40E3F027">
      <w:pPr>
        <w:spacing w:after="0" w:line="560" w:lineRule="exact"/>
        <w:ind w:firstLine="454"/>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企业负责人(签字)：                企业负责人(签字)：　</w:t>
      </w:r>
    </w:p>
    <w:p w14:paraId="21EBB800">
      <w:pPr>
        <w:spacing w:after="0" w:line="560" w:lineRule="exact"/>
        <w:ind w:firstLine="454"/>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或委托代理人(签字) ：           或委托代理人(签字)：</w:t>
      </w:r>
    </w:p>
    <w:p w14:paraId="4CF32963">
      <w:pPr>
        <w:spacing w:after="0" w:line="560" w:lineRule="exact"/>
        <w:ind w:firstLine="454"/>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联系电话：                               联系电话：</w:t>
      </w:r>
    </w:p>
    <w:p w14:paraId="35ACE937">
      <w:pPr>
        <w:spacing w:after="0" w:line="560" w:lineRule="exact"/>
        <w:ind w:firstLine="454"/>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日期：     年   月   日                日期：      年   月    日</w:t>
      </w:r>
    </w:p>
    <w:p w14:paraId="63E4A391">
      <w:pPr>
        <w:rPr>
          <w:rFonts w:ascii="Times New Roman" w:hAnsi="Times New Roman" w:eastAsia="仿宋_GB2312" w:cs="Times New Roman"/>
          <w:sz w:val="32"/>
          <w:szCs w:val="32"/>
        </w:rPr>
      </w:pPr>
    </w:p>
    <w:p w14:paraId="33EBC64B">
      <w:pPr>
        <w:rPr>
          <w:rFonts w:ascii="Times New Roman" w:hAnsi="Times New Roman" w:eastAsia="仿宋_GB2312" w:cs="Times New Roman"/>
          <w:sz w:val="32"/>
          <w:szCs w:val="32"/>
        </w:rPr>
      </w:pPr>
    </w:p>
    <w:p w14:paraId="0C7CF986">
      <w:pPr>
        <w:rPr>
          <w:rFonts w:ascii="Times New Roman" w:hAnsi="Times New Roman" w:eastAsia="仿宋_GB2312" w:cs="Times New Roman"/>
          <w:sz w:val="32"/>
          <w:szCs w:val="32"/>
        </w:rPr>
      </w:pPr>
    </w:p>
    <w:p w14:paraId="33BC9246">
      <w:pPr>
        <w:rPr>
          <w:rFonts w:ascii="Times New Roman" w:hAnsi="Times New Roman" w:eastAsia="仿宋_GB2312" w:cs="Times New Roman"/>
          <w:sz w:val="32"/>
          <w:szCs w:val="32"/>
        </w:rPr>
      </w:pPr>
    </w:p>
    <w:p w14:paraId="73A70C27">
      <w:pPr>
        <w:rPr>
          <w:rFonts w:ascii="Times New Roman" w:hAnsi="Times New Roman" w:eastAsia="仿宋_GB2312" w:cs="Times New Roman"/>
          <w:sz w:val="32"/>
          <w:szCs w:val="32"/>
        </w:rPr>
      </w:pPr>
    </w:p>
    <w:p w14:paraId="3236C606">
      <w:pPr>
        <w:rPr>
          <w:rFonts w:ascii="Times New Roman" w:hAnsi="Times New Roman" w:eastAsia="仿宋_GB2312" w:cs="Times New Roman"/>
          <w:sz w:val="32"/>
          <w:szCs w:val="32"/>
        </w:rPr>
      </w:pPr>
    </w:p>
    <w:p w14:paraId="15B042F6">
      <w:pPr>
        <w:rPr>
          <w:rFonts w:ascii="Times New Roman" w:hAnsi="Times New Roman" w:eastAsia="仿宋_GB2312" w:cs="Times New Roman"/>
          <w:sz w:val="32"/>
          <w:szCs w:val="32"/>
        </w:rPr>
      </w:pPr>
    </w:p>
    <w:p w14:paraId="53374700">
      <w:pPr>
        <w:rPr>
          <w:rFonts w:ascii="Times New Roman" w:hAnsi="Times New Roman" w:eastAsia="仿宋_GB2312" w:cs="Times New Roman"/>
          <w:sz w:val="32"/>
          <w:szCs w:val="32"/>
        </w:rPr>
      </w:pPr>
    </w:p>
    <w:p w14:paraId="6DF8C615">
      <w:pPr>
        <w:rPr>
          <w:rFonts w:ascii="Times New Roman" w:hAnsi="Times New Roman" w:eastAsia="仿宋_GB2312" w:cs="Times New Roman"/>
          <w:sz w:val="32"/>
          <w:szCs w:val="32"/>
        </w:rPr>
      </w:pPr>
    </w:p>
    <w:p w14:paraId="255582BA">
      <w:pPr>
        <w:outlineLvl w:val="2"/>
        <w:rPr>
          <w:rFonts w:ascii="Times New Roman" w:hAnsi="Times New Roman" w:eastAsia="仿宋_GB2312" w:cs="Times New Roman"/>
          <w:snapToGrid w:val="0"/>
          <w:sz w:val="30"/>
          <w:szCs w:val="30"/>
        </w:rPr>
      </w:pPr>
      <w:bookmarkStart w:id="391" w:name="_Toc19181"/>
      <w:r>
        <w:rPr>
          <w:rFonts w:ascii="Times New Roman" w:hAnsi="Times New Roman" w:eastAsia="仿宋_GB2312" w:cs="Times New Roman"/>
          <w:snapToGrid w:val="0"/>
          <w:sz w:val="30"/>
          <w:szCs w:val="30"/>
        </w:rPr>
        <w:t>附件4：环保管理协议书</w:t>
      </w:r>
      <w:bookmarkEnd w:id="391"/>
    </w:p>
    <w:p w14:paraId="55A74465">
      <w:pPr>
        <w:spacing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甲、乙类</w:t>
      </w:r>
      <w:bookmarkStart w:id="392" w:name="OLE_LINK82"/>
      <w:bookmarkStart w:id="393" w:name="OLE_LINK81"/>
      <w:r>
        <w:rPr>
          <w:rFonts w:hint="eastAsia" w:ascii="方正小标宋_GBK" w:hAnsi="方正小标宋_GBK" w:eastAsia="方正小标宋_GBK" w:cs="方正小标宋_GBK"/>
          <w:sz w:val="44"/>
          <w:szCs w:val="44"/>
        </w:rPr>
        <w:t>承包商环保管理协议</w:t>
      </w:r>
      <w:bookmarkEnd w:id="392"/>
      <w:bookmarkEnd w:id="393"/>
    </w:p>
    <w:p w14:paraId="048CFF17">
      <w:pPr>
        <w:spacing w:line="560" w:lineRule="exact"/>
        <w:rPr>
          <w:rFonts w:hint="eastAsia" w:ascii="方正小标宋_GBK" w:hAnsi="方正小标宋_GBK" w:eastAsia="方正小标宋_GBK" w:cs="方正小标宋_GBK"/>
        </w:rPr>
      </w:pPr>
    </w:p>
    <w:p w14:paraId="3B8D72EA">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发包方：                                 （以下称甲方）</w:t>
      </w:r>
    </w:p>
    <w:p w14:paraId="0E8CD0A8">
      <w:pPr>
        <w:spacing w:line="560" w:lineRule="exact"/>
        <w:rPr>
          <w:rFonts w:ascii="Times New Roman" w:hAnsi="Times New Roman" w:eastAsia="仿宋_GB2312" w:cs="Times New Roman"/>
          <w:sz w:val="32"/>
          <w:szCs w:val="32"/>
        </w:rPr>
      </w:pPr>
    </w:p>
    <w:p w14:paraId="0D2AA9F2">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承包方：                                  （以下称乙方）</w:t>
      </w:r>
    </w:p>
    <w:p w14:paraId="09778E15">
      <w:pPr>
        <w:spacing w:line="560" w:lineRule="exact"/>
        <w:rPr>
          <w:rFonts w:ascii="Times New Roman" w:hAnsi="Times New Roman" w:eastAsia="仿宋_GB2312" w:cs="Times New Roman"/>
          <w:sz w:val="32"/>
          <w:szCs w:val="32"/>
        </w:rPr>
      </w:pPr>
    </w:p>
    <w:p w14:paraId="66459238">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为做好甲方在劳务外包期间厂区及周边环境保护工作，减少作业对厂区环境的污染，认真贯彻执行环境保护等有关法律法规，结合本单位实际情况，经甲乙双方同意特签订环境保护协议如下：</w:t>
      </w:r>
    </w:p>
    <w:p w14:paraId="1B2576DD">
      <w:pPr>
        <w:spacing w:after="0" w:line="560" w:lineRule="exact"/>
        <w:ind w:firstLine="640" w:firstLineChars="200"/>
        <w:jc w:val="both"/>
        <w:outlineLvl w:val="2"/>
        <w:rPr>
          <w:rFonts w:ascii="Times New Roman" w:hAnsi="Times New Roman" w:eastAsia="黑体" w:cs="Times New Roman"/>
          <w:sz w:val="32"/>
          <w:szCs w:val="32"/>
        </w:rPr>
      </w:pPr>
      <w:bookmarkStart w:id="394" w:name="_Toc24660"/>
      <w:r>
        <w:rPr>
          <w:rFonts w:ascii="Times New Roman" w:hAnsi="Times New Roman" w:eastAsia="黑体" w:cs="Times New Roman"/>
          <w:sz w:val="32"/>
          <w:szCs w:val="32"/>
        </w:rPr>
        <w:t>第一条乙方为甲方劳务外包期间，应满足如下要求：</w:t>
      </w:r>
      <w:bookmarkEnd w:id="394"/>
    </w:p>
    <w:p w14:paraId="6033FC4A">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（一）乙方在甲方现场的所有活动必须遵守国家相关法律法规。</w:t>
      </w:r>
    </w:p>
    <w:p w14:paraId="08B601B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（二）乙方进入甲方厂内必须对因施工或其他生产行为可能对环境造成的污染应采取积极预防并不断改进的措施，确保污染物达标排放，同时应做出持续改进 的承诺。</w:t>
      </w:r>
    </w:p>
    <w:p w14:paraId="57EB88E1">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（三）乙方在甲方厂内工作前有义务主动向甲方了解作业区域内环保管理要求。</w:t>
      </w:r>
    </w:p>
    <w:p w14:paraId="31F1BB60">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（四）甲乙双方合同履行期间，乙方必须采取有效措施将乙方人员在劳动过程对产生环境影响的主要因 素进行有效控制。</w:t>
      </w:r>
    </w:p>
    <w:p w14:paraId="6F186125">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（五）乙方人员在上岗前必须对现场作业人员进行环保教育或培训，提高现场人员的环保意识。</w:t>
      </w:r>
    </w:p>
    <w:p w14:paraId="4C216D2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（六）乙方必须建立一套环境事故应急反应预案并且在甲方处备案。</w:t>
      </w:r>
    </w:p>
    <w:p w14:paraId="1C5CBB20">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（七）甲方将不定期对乙方在环境保护方面的工作落实情况进行检查，乙方应积极配合，如有检查确认的不合格项，乙方须予以整改。</w:t>
      </w:r>
    </w:p>
    <w:p w14:paraId="13278EF5">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八）乙方在环境保护工作落实期间如遇突发问题,甲方应予以积极协助和指导。乙方在整个劳务外包期间,始终具有履行环境保护工作的责任和义务。甲方负责检查、指导和监督，乙方在作业过程必须做好如下工作要求：</w:t>
      </w:r>
    </w:p>
    <w:p w14:paraId="38317450">
      <w:pPr>
        <w:spacing w:after="0" w:line="560" w:lineRule="exact"/>
        <w:ind w:firstLine="643" w:firstLineChars="200"/>
        <w:jc w:val="both"/>
        <w:rPr>
          <w:rFonts w:ascii="Times New Roman" w:hAnsi="Times New Roman" w:eastAsia="仿宋_GB2312" w:cs="Times New Roman"/>
          <w:b/>
          <w:sz w:val="32"/>
          <w:szCs w:val="32"/>
        </w:rPr>
      </w:pPr>
      <w:r>
        <w:rPr>
          <w:rFonts w:ascii="Times New Roman" w:hAnsi="Times New Roman" w:eastAsia="仿宋_GB2312" w:cs="Times New Roman"/>
          <w:b/>
          <w:sz w:val="32"/>
          <w:szCs w:val="32"/>
        </w:rPr>
        <w:t>1.固废</w:t>
      </w:r>
    </w:p>
    <w:p w14:paraId="1BE9F7E0">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(1)施工作业产生的固废分类定点放置并及时合法合规处置。处置时向甲方报告处置地点，提供处置单位资质。</w:t>
      </w:r>
    </w:p>
    <w:p w14:paraId="5115D5EB">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(2)土建施工挖出的泥土砂石等须及时填埋洒水，恢复原状。</w:t>
      </w:r>
    </w:p>
    <w:p w14:paraId="72F4919B">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(3)滤泥、白泥、环保污泥、锅炉灰渣等固废拉运处置时保持现场及路面干净，如有掉落及时清扫。</w:t>
      </w:r>
    </w:p>
    <w:p w14:paraId="782B8174">
      <w:pPr>
        <w:spacing w:after="0" w:line="560" w:lineRule="exact"/>
        <w:ind w:firstLine="643" w:firstLineChars="200"/>
        <w:jc w:val="both"/>
        <w:rPr>
          <w:rFonts w:ascii="Times New Roman" w:hAnsi="Times New Roman" w:eastAsia="仿宋_GB2312" w:cs="Times New Roman"/>
          <w:b/>
          <w:sz w:val="32"/>
          <w:szCs w:val="32"/>
        </w:rPr>
      </w:pPr>
      <w:r>
        <w:rPr>
          <w:rFonts w:ascii="Times New Roman" w:hAnsi="Times New Roman" w:eastAsia="仿宋_GB2312" w:cs="Times New Roman"/>
          <w:b/>
          <w:sz w:val="32"/>
          <w:szCs w:val="32"/>
        </w:rPr>
        <w:t>2.危废</w:t>
      </w:r>
    </w:p>
    <w:p w14:paraId="6A71314C">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(1)乙方在施工过程中使用有毒有害物质如油漆、涂料、机油等，应做好防泄漏储存措施，以免泄漏危害环境。</w:t>
      </w:r>
    </w:p>
    <w:p w14:paraId="7755F393">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(2)施工过程产生的废机油、废机油桶、废油漆桶、石棉废物等危险废物联系有资质的第三方进行处置。处置时向甲方报告处置地点，提供处置单位资质。</w:t>
      </w:r>
    </w:p>
    <w:p w14:paraId="3DA642F1">
      <w:pPr>
        <w:spacing w:after="0" w:line="560" w:lineRule="exact"/>
        <w:ind w:firstLine="643" w:firstLineChars="200"/>
        <w:jc w:val="both"/>
        <w:rPr>
          <w:rFonts w:ascii="Times New Roman" w:hAnsi="Times New Roman" w:eastAsia="仿宋_GB2312" w:cs="Times New Roman"/>
          <w:b/>
          <w:sz w:val="32"/>
          <w:szCs w:val="32"/>
        </w:rPr>
      </w:pPr>
      <w:r>
        <w:rPr>
          <w:rFonts w:ascii="Times New Roman" w:hAnsi="Times New Roman" w:eastAsia="仿宋_GB2312" w:cs="Times New Roman"/>
          <w:b/>
          <w:sz w:val="32"/>
          <w:szCs w:val="32"/>
        </w:rPr>
        <w:t>3.噪声</w:t>
      </w:r>
    </w:p>
    <w:p w14:paraId="0D5D099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(1)乙方施工产生的噪声，须符合国家规定的施工环境噪声排放标准。同时应采取有效措施，减轻噪声对周围生活环境的影响。</w:t>
      </w:r>
    </w:p>
    <w:p w14:paraId="5A7A219B">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(2)乙方应加强机动车辆维修和保养，机动车辆噪声符合国家规定的排放标准。</w:t>
      </w:r>
    </w:p>
    <w:p w14:paraId="246DB546">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(3)乙方机动车辆进入甲方项目/服务现场严禁使用喇叭。</w:t>
      </w:r>
    </w:p>
    <w:p w14:paraId="4E0CEF3D">
      <w:pPr>
        <w:spacing w:after="0" w:line="560" w:lineRule="exact"/>
        <w:ind w:firstLine="643" w:firstLineChars="200"/>
        <w:jc w:val="both"/>
        <w:rPr>
          <w:rFonts w:ascii="Times New Roman" w:hAnsi="Times New Roman" w:eastAsia="仿宋_GB2312" w:cs="Times New Roman"/>
          <w:b/>
          <w:sz w:val="32"/>
          <w:szCs w:val="32"/>
        </w:rPr>
      </w:pPr>
      <w:r>
        <w:rPr>
          <w:rFonts w:ascii="Times New Roman" w:hAnsi="Times New Roman" w:eastAsia="仿宋_GB2312" w:cs="Times New Roman"/>
          <w:b/>
          <w:sz w:val="32"/>
          <w:szCs w:val="32"/>
        </w:rPr>
        <w:t>4.水</w:t>
      </w:r>
    </w:p>
    <w:p w14:paraId="09E859E3">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(1)禁止向施工现场周边排放油类、酸液、碱液或者有毒废液。</w:t>
      </w:r>
    </w:p>
    <w:p w14:paraId="7E5E8BB8">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(2)禁止向施工现场周边水体排放、倾倒放射性固体废物或者含有高放射性或中放射性物质的废水。</w:t>
      </w:r>
    </w:p>
    <w:p w14:paraId="0508D3A2">
      <w:pPr>
        <w:spacing w:after="0" w:line="560" w:lineRule="exact"/>
        <w:ind w:firstLine="643" w:firstLineChars="200"/>
        <w:jc w:val="both"/>
        <w:rPr>
          <w:rFonts w:ascii="Times New Roman" w:hAnsi="Times New Roman" w:eastAsia="仿宋_GB2312" w:cs="Times New Roman"/>
          <w:b/>
          <w:sz w:val="32"/>
          <w:szCs w:val="32"/>
        </w:rPr>
      </w:pPr>
      <w:r>
        <w:rPr>
          <w:rFonts w:ascii="Times New Roman" w:hAnsi="Times New Roman" w:eastAsia="仿宋_GB2312" w:cs="Times New Roman"/>
          <w:b/>
          <w:sz w:val="32"/>
          <w:szCs w:val="32"/>
        </w:rPr>
        <w:t>5.气</w:t>
      </w:r>
    </w:p>
    <w:p w14:paraId="39B11526">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(1)施工现场禁止焚烧油毡、橡胶、塑料、皮革、垃圾以及其他产生有毒有害烟尘和恶臭气体的物质。</w:t>
      </w:r>
    </w:p>
    <w:p w14:paraId="4D40DC07">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(2)乙方应加强机动车辆维修和保养，机动车辆尾气符合国家规定的排放标准。</w:t>
      </w:r>
    </w:p>
    <w:p w14:paraId="4B4D0DD7">
      <w:pPr>
        <w:spacing w:after="0" w:line="560" w:lineRule="exact"/>
        <w:ind w:firstLine="643" w:firstLineChars="200"/>
        <w:jc w:val="both"/>
        <w:rPr>
          <w:rFonts w:ascii="Times New Roman" w:hAnsi="Times New Roman" w:eastAsia="仿宋_GB2312" w:cs="Times New Roman"/>
          <w:b/>
          <w:sz w:val="32"/>
          <w:szCs w:val="32"/>
        </w:rPr>
      </w:pPr>
      <w:r>
        <w:rPr>
          <w:rFonts w:ascii="Times New Roman" w:hAnsi="Times New Roman" w:eastAsia="仿宋_GB2312" w:cs="Times New Roman"/>
          <w:b/>
          <w:sz w:val="32"/>
          <w:szCs w:val="32"/>
        </w:rPr>
        <w:t>6.无组织排放</w:t>
      </w:r>
    </w:p>
    <w:p w14:paraId="10DCB70D">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(1)容易产生扬尘的施工现场、清扫地面时须洒水，运输建筑垃圾需加盖蓬布等，以免粉尘弥漫，污染环境。</w:t>
      </w:r>
    </w:p>
    <w:p w14:paraId="73FBA9F8">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(2)临时堆放的土方采取彩条布覆盖等措施，以防尘土飞扬。</w:t>
      </w:r>
    </w:p>
    <w:p w14:paraId="08FF270F">
      <w:pPr>
        <w:spacing w:after="0" w:line="560" w:lineRule="exact"/>
        <w:ind w:firstLine="643" w:firstLineChars="200"/>
        <w:jc w:val="both"/>
        <w:rPr>
          <w:rFonts w:ascii="Times New Roman" w:hAnsi="Times New Roman" w:eastAsia="仿宋_GB2312" w:cs="Times New Roman"/>
          <w:b/>
          <w:sz w:val="32"/>
          <w:szCs w:val="32"/>
        </w:rPr>
      </w:pPr>
      <w:r>
        <w:rPr>
          <w:rFonts w:ascii="Times New Roman" w:hAnsi="Times New Roman" w:eastAsia="仿宋_GB2312" w:cs="Times New Roman"/>
          <w:b/>
          <w:sz w:val="32"/>
          <w:szCs w:val="32"/>
        </w:rPr>
        <w:t>7.其它</w:t>
      </w:r>
    </w:p>
    <w:p w14:paraId="205A180C">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(1)乙方施工／服务现场环境须遵守环境管理体系及法律法规有关作业场所的要求，场地功能划分及标识清楚，物资规范堆放和储存，保持现场的整洁有序。</w:t>
      </w:r>
    </w:p>
    <w:p w14:paraId="7E09F3F2">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(2)乙方应当合理选择和利用原材料、能源和其他资源，采用先进的生产工艺和设备，减少施工废水、废气、固废及噪声产生。</w:t>
      </w:r>
    </w:p>
    <w:p w14:paraId="563CAF30">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(3)乙方使用的车辆必须具备国家法规和甲方所在地环保政策及相关规定的资质和要求，并在项目/服务实施过程中严格遵守法规及相关政策、规定。</w:t>
      </w:r>
    </w:p>
    <w:p w14:paraId="1D1B27F6">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(4)乙方车辆上路前应当规范装载、严禁超载，并清洗干净车轮、车身。对运输货物做好防尘、防洒落、防渗漏、防倾覆等措施，运输洒落时及时清扫，保持现场环境清洁卫生，杜绝环保污染隐患。造成他人人身、财产损害或环保赔偿的，乙方应当依法承担法律责任或赔偿责任。</w:t>
      </w:r>
    </w:p>
    <w:p w14:paraId="25BAB0A5">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(5)乙方在施工现场根据区域大小合理设置1-2个固废临时储放点，安排人员每天打扫一遍施工现场，每十天清理一次临时储放点。临时储放点设置超过2个时须报经甲方安全环保部同意。</w:t>
      </w:r>
    </w:p>
    <w:p w14:paraId="3C2FF017">
      <w:pPr>
        <w:spacing w:after="0" w:line="560" w:lineRule="exact"/>
        <w:ind w:firstLine="640" w:firstLineChars="200"/>
        <w:jc w:val="both"/>
        <w:rPr>
          <w:rFonts w:ascii="Times New Roman" w:hAnsi="Times New Roman" w:eastAsia="仿宋_GB2312" w:cs="Times New Roman"/>
          <w:sz w:val="32"/>
          <w:szCs w:val="32"/>
        </w:rPr>
      </w:pPr>
      <w:r>
        <w:rPr>
          <w:rFonts w:hint="eastAsia" w:ascii="楷体_GB2312" w:hAnsi="Times New Roman" w:eastAsia="楷体_GB2312" w:cs="Times New Roman"/>
          <w:sz w:val="32"/>
          <w:szCs w:val="32"/>
        </w:rPr>
        <w:t>（九）</w:t>
      </w:r>
      <w:r>
        <w:rPr>
          <w:rFonts w:ascii="Times New Roman" w:hAnsi="Times New Roman" w:eastAsia="仿宋_GB2312" w:cs="Times New Roman"/>
          <w:sz w:val="32"/>
          <w:szCs w:val="32"/>
        </w:rPr>
        <w:t>以上对乙方的环保要求的最终解释权归甲方所有，乙方可向甲方进行咨询。</w:t>
      </w:r>
    </w:p>
    <w:p w14:paraId="3ECE9FC8">
      <w:pPr>
        <w:spacing w:after="0" w:line="560" w:lineRule="exact"/>
        <w:ind w:firstLine="640" w:firstLineChars="200"/>
        <w:jc w:val="both"/>
        <w:rPr>
          <w:rFonts w:hint="eastAsia" w:ascii="楷体_GB2312" w:hAnsi="Times New Roman" w:eastAsia="楷体_GB2312" w:cs="Times New Roman"/>
          <w:sz w:val="32"/>
          <w:szCs w:val="32"/>
        </w:rPr>
      </w:pPr>
      <w:r>
        <w:rPr>
          <w:rFonts w:hint="eastAsia" w:ascii="楷体_GB2312" w:hAnsi="Times New Roman" w:eastAsia="楷体_GB2312" w:cs="Times New Roman"/>
          <w:sz w:val="32"/>
          <w:szCs w:val="32"/>
        </w:rPr>
        <w:t>（十）考核</w:t>
      </w:r>
    </w:p>
    <w:p w14:paraId="1FE879EB">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乙方未按要求每天打扫施工现场的，由甲方安排人员打扫并按70元/人/小时扣款；施工作业产生的固废未及时合法处置的，由甲方联系第三方合法处置并按以下标准考核乙方：1.一般固废：1000元/吨扣款；2.危险废物：10000元/吨扣款。</w:t>
      </w:r>
    </w:p>
    <w:p w14:paraId="101AE199">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2.乙方违反甲方各项环保管理规定的，第一次扣200元、第二次扣500元、第三次扣1000元。累计违规四次以上的，第四次起每次扣2000元，视情况作停工整顿处理，停工所造成的损失由乙方负责。</w:t>
      </w:r>
    </w:p>
    <w:p w14:paraId="778FBA8F">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3.若因乙方责任导致当地居民上访或当地环保管理部门对甲方提出整改、整顿或处罚的，将由乙方自行承担所有责任，并负责赔偿甲方由此带来的经济损失。</w:t>
      </w:r>
    </w:p>
    <w:p w14:paraId="726E134C">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（十一）如有未尽事宜，甲乙双方及时协商。</w:t>
      </w:r>
    </w:p>
    <w:p w14:paraId="5E08568E">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（十二）本协议内容自双方签订之日起开始实施。</w:t>
      </w:r>
    </w:p>
    <w:p w14:paraId="62720D49">
      <w:pPr>
        <w:spacing w:after="0" w:line="560" w:lineRule="exact"/>
        <w:ind w:firstLine="640" w:firstLineChars="200"/>
        <w:jc w:val="both"/>
        <w:rPr>
          <w:rFonts w:ascii="Times New Roman" w:hAnsi="Times New Roman" w:eastAsia="仿宋_GB2312" w:cs="Times New Roman"/>
          <w:sz w:val="32"/>
          <w:szCs w:val="32"/>
        </w:rPr>
      </w:pPr>
    </w:p>
    <w:p w14:paraId="00E1B588">
      <w:pPr>
        <w:spacing w:after="0" w:line="560" w:lineRule="exact"/>
        <w:ind w:firstLine="640" w:firstLineChars="200"/>
        <w:jc w:val="both"/>
        <w:rPr>
          <w:rFonts w:ascii="Times New Roman" w:hAnsi="Times New Roman" w:eastAsia="仿宋_GB2312" w:cs="Times New Roman"/>
          <w:sz w:val="32"/>
          <w:szCs w:val="32"/>
        </w:rPr>
      </w:pPr>
    </w:p>
    <w:p w14:paraId="0334537C">
      <w:pPr>
        <w:spacing w:after="0" w:line="560" w:lineRule="exact"/>
        <w:ind w:firstLine="640" w:firstLineChars="200"/>
        <w:jc w:val="both"/>
        <w:rPr>
          <w:rFonts w:ascii="Times New Roman" w:hAnsi="Times New Roman" w:eastAsia="仿宋_GB2312" w:cs="Times New Roman"/>
          <w:sz w:val="32"/>
          <w:szCs w:val="32"/>
        </w:rPr>
      </w:pPr>
    </w:p>
    <w:p w14:paraId="05AD3D45">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甲方（盖章）：                     </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乙方（盖章）：</w:t>
      </w:r>
    </w:p>
    <w:p w14:paraId="3352E6EA">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法人/委托代理人(签字)：           法人/委托代理人（签字）：</w:t>
      </w:r>
    </w:p>
    <w:p w14:paraId="4AFD57DB">
      <w:pPr>
        <w:spacing w:after="0" w:line="560" w:lineRule="exact"/>
        <w:ind w:firstLine="640" w:firstLineChars="200"/>
        <w:jc w:val="both"/>
        <w:rPr>
          <w:rFonts w:ascii="Times New Roman" w:hAnsi="Times New Roman" w:eastAsia="仿宋_GB2312" w:cs="Times New Roman"/>
          <w:sz w:val="32"/>
          <w:szCs w:val="32"/>
        </w:rPr>
      </w:pPr>
    </w:p>
    <w:p w14:paraId="20260E37">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日期：     年   月   日           </w:t>
      </w:r>
      <w:r>
        <w:rPr>
          <w:rFonts w:hint="eastAsia" w:ascii="Times New Roman" w:hAnsi="Times New Roman" w:eastAsia="仿宋_GB2312" w:cs="Times New Roman"/>
          <w:sz w:val="32"/>
          <w:szCs w:val="32"/>
          <w:lang w:val="en-US" w:eastAsia="zh-CN"/>
        </w:rPr>
        <w:t xml:space="preserve">        </w:t>
      </w:r>
      <w:r>
        <w:rPr>
          <w:rFonts w:ascii="Times New Roman" w:hAnsi="Times New Roman" w:eastAsia="仿宋_GB2312" w:cs="Times New Roman"/>
          <w:sz w:val="32"/>
          <w:szCs w:val="32"/>
        </w:rPr>
        <w:t>日期：     年    月    日</w:t>
      </w:r>
      <w:bookmarkEnd w:id="170"/>
      <w:bookmarkEnd w:id="171"/>
      <w:bookmarkEnd w:id="173"/>
      <w:bookmarkEnd w:id="174"/>
    </w:p>
    <w:p w14:paraId="3AF2118D">
      <w:pPr>
        <w:pStyle w:val="2"/>
        <w:pBdr>
          <w:bottom w:val="none" w:color="auto" w:sz="0" w:space="0"/>
        </w:pBdr>
        <w:ind w:firstLine="883"/>
        <w:jc w:val="center"/>
        <w:outlineLvl w:val="9"/>
        <w:rPr>
          <w:rFonts w:ascii="Times New Roman" w:hAnsi="Times New Roman" w:eastAsia="黑体" w:cs="Times New Roman"/>
          <w:snapToGrid w:val="0"/>
          <w:color w:val="auto"/>
          <w:sz w:val="32"/>
          <w:szCs w:val="32"/>
        </w:rPr>
      </w:pPr>
      <w:bookmarkStart w:id="395" w:name="扫描0045"/>
      <w:bookmarkEnd w:id="395"/>
    </w:p>
    <w:p w14:paraId="6F9D21C8"/>
    <w:p w14:paraId="76EF57B1">
      <w:pPr>
        <w:rPr>
          <w:rFonts w:hint="eastAsia"/>
        </w:rPr>
      </w:pPr>
    </w:p>
    <w:p w14:paraId="60C49DCB">
      <w:pPr>
        <w:pStyle w:val="2"/>
        <w:pBdr>
          <w:bottom w:val="none" w:color="auto" w:sz="0" w:space="0"/>
        </w:pBdr>
        <w:ind w:firstLine="883"/>
        <w:jc w:val="center"/>
        <w:outlineLvl w:val="9"/>
        <w:rPr>
          <w:rFonts w:ascii="Times New Roman" w:hAnsi="Times New Roman" w:eastAsia="黑体" w:cs="Times New Roman"/>
          <w:snapToGrid w:val="0"/>
          <w:color w:val="auto"/>
          <w:sz w:val="32"/>
          <w:szCs w:val="32"/>
        </w:rPr>
      </w:pPr>
    </w:p>
    <w:p w14:paraId="075BD9D8">
      <w:pPr>
        <w:pStyle w:val="2"/>
        <w:pBdr>
          <w:bottom w:val="none" w:color="auto" w:sz="0" w:space="0"/>
        </w:pBdr>
        <w:ind w:firstLine="883"/>
        <w:jc w:val="center"/>
        <w:outlineLvl w:val="9"/>
        <w:rPr>
          <w:rFonts w:ascii="Times New Roman" w:hAnsi="Times New Roman" w:eastAsia="黑体" w:cs="Times New Roman"/>
          <w:snapToGrid w:val="0"/>
          <w:color w:val="auto"/>
          <w:sz w:val="32"/>
          <w:szCs w:val="32"/>
        </w:rPr>
      </w:pPr>
    </w:p>
    <w:p w14:paraId="55D8D051">
      <w:pPr>
        <w:pStyle w:val="2"/>
        <w:pBdr>
          <w:bottom w:val="none" w:color="auto" w:sz="0" w:space="0"/>
        </w:pBdr>
        <w:ind w:firstLine="883"/>
        <w:jc w:val="center"/>
        <w:outlineLvl w:val="9"/>
        <w:rPr>
          <w:rFonts w:ascii="Times New Roman" w:hAnsi="Times New Roman" w:eastAsia="黑体" w:cs="Times New Roman"/>
          <w:snapToGrid w:val="0"/>
          <w:color w:val="auto"/>
          <w:sz w:val="32"/>
          <w:szCs w:val="32"/>
        </w:rPr>
      </w:pPr>
    </w:p>
    <w:p w14:paraId="7597AB04">
      <w:pPr>
        <w:pStyle w:val="2"/>
        <w:pBdr>
          <w:bottom w:val="none" w:color="auto" w:sz="0" w:space="0"/>
        </w:pBdr>
        <w:ind w:firstLine="883"/>
        <w:jc w:val="center"/>
        <w:outlineLvl w:val="9"/>
        <w:rPr>
          <w:rFonts w:ascii="Times New Roman" w:hAnsi="Times New Roman" w:eastAsia="黑体" w:cs="Times New Roman"/>
          <w:snapToGrid w:val="0"/>
          <w:color w:val="auto"/>
          <w:sz w:val="32"/>
          <w:szCs w:val="32"/>
        </w:rPr>
      </w:pPr>
    </w:p>
    <w:p w14:paraId="03F0E09B">
      <w:pPr>
        <w:pStyle w:val="2"/>
        <w:pBdr>
          <w:bottom w:val="none" w:color="auto" w:sz="0" w:space="0"/>
        </w:pBdr>
        <w:ind w:firstLine="883"/>
        <w:jc w:val="center"/>
        <w:outlineLvl w:val="9"/>
        <w:rPr>
          <w:rFonts w:ascii="Times New Roman" w:hAnsi="Times New Roman" w:eastAsia="黑体" w:cs="Times New Roman"/>
          <w:snapToGrid w:val="0"/>
          <w:color w:val="auto"/>
          <w:sz w:val="32"/>
          <w:szCs w:val="32"/>
        </w:rPr>
      </w:pPr>
    </w:p>
    <w:p w14:paraId="2E49ABED">
      <w:pPr>
        <w:pStyle w:val="2"/>
        <w:pBdr>
          <w:bottom w:val="none" w:color="auto" w:sz="0" w:space="0"/>
        </w:pBdr>
        <w:ind w:firstLine="883"/>
        <w:jc w:val="center"/>
        <w:rPr>
          <w:rFonts w:ascii="Times New Roman" w:hAnsi="Times New Roman" w:eastAsia="黑体" w:cs="Times New Roman"/>
          <w:snapToGrid w:val="0"/>
          <w:color w:val="auto"/>
          <w:sz w:val="32"/>
          <w:szCs w:val="32"/>
        </w:rPr>
      </w:pPr>
      <w:bookmarkStart w:id="396" w:name="_Toc7481"/>
      <w:r>
        <w:rPr>
          <w:rFonts w:ascii="Times New Roman" w:hAnsi="Times New Roman" w:eastAsia="黑体" w:cs="Times New Roman"/>
          <w:snapToGrid w:val="0"/>
          <w:color w:val="auto"/>
          <w:sz w:val="32"/>
          <w:szCs w:val="32"/>
        </w:rPr>
        <w:t>第五章  采购需求</w:t>
      </w:r>
      <w:bookmarkEnd w:id="396"/>
    </w:p>
    <w:p w14:paraId="2724B085">
      <w:pPr>
        <w:rPr>
          <w:rFonts w:ascii="Times New Roman" w:hAnsi="Times New Roman" w:cs="Times New Roman"/>
        </w:rPr>
      </w:pPr>
    </w:p>
    <w:p w14:paraId="38075FC5">
      <w:pPr>
        <w:rPr>
          <w:rFonts w:ascii="Times New Roman" w:hAnsi="Times New Roman" w:cs="Times New Roman"/>
        </w:rPr>
      </w:pPr>
    </w:p>
    <w:p w14:paraId="5D1AC3FE">
      <w:pPr>
        <w:rPr>
          <w:rFonts w:ascii="Times New Roman" w:hAnsi="Times New Roman" w:cs="Times New Roman"/>
        </w:rPr>
      </w:pPr>
    </w:p>
    <w:p w14:paraId="2CCDCA90">
      <w:pPr>
        <w:rPr>
          <w:rFonts w:ascii="Times New Roman" w:hAnsi="Times New Roman" w:cs="Times New Roman"/>
        </w:rPr>
      </w:pPr>
    </w:p>
    <w:p w14:paraId="1C3F7895">
      <w:pPr>
        <w:rPr>
          <w:rFonts w:ascii="Times New Roman" w:hAnsi="Times New Roman" w:cs="Times New Roman"/>
        </w:rPr>
      </w:pPr>
    </w:p>
    <w:p w14:paraId="4CFCCCAD">
      <w:pPr>
        <w:rPr>
          <w:rFonts w:ascii="Times New Roman" w:hAnsi="Times New Roman" w:cs="Times New Roman"/>
        </w:rPr>
      </w:pPr>
    </w:p>
    <w:p w14:paraId="38A9C870">
      <w:pPr>
        <w:rPr>
          <w:rFonts w:ascii="Times New Roman" w:hAnsi="Times New Roman" w:cs="Times New Roman"/>
        </w:rPr>
      </w:pPr>
    </w:p>
    <w:p w14:paraId="29252D0F">
      <w:pPr>
        <w:rPr>
          <w:rFonts w:ascii="Times New Roman" w:hAnsi="Times New Roman" w:cs="Times New Roman"/>
        </w:rPr>
      </w:pPr>
    </w:p>
    <w:p w14:paraId="50436B23">
      <w:pPr>
        <w:rPr>
          <w:rFonts w:ascii="Times New Roman" w:hAnsi="Times New Roman" w:cs="Times New Roman"/>
        </w:rPr>
      </w:pPr>
    </w:p>
    <w:p w14:paraId="4EC7CACF">
      <w:pPr>
        <w:rPr>
          <w:rFonts w:ascii="Times New Roman" w:hAnsi="Times New Roman" w:cs="Times New Roman"/>
        </w:rPr>
      </w:pPr>
    </w:p>
    <w:p w14:paraId="5ECE6AE9">
      <w:pPr>
        <w:rPr>
          <w:rFonts w:ascii="Times New Roman" w:hAnsi="Times New Roman" w:cs="Times New Roman"/>
        </w:rPr>
      </w:pPr>
    </w:p>
    <w:p w14:paraId="6AD46E36">
      <w:pPr>
        <w:rPr>
          <w:rFonts w:ascii="Times New Roman" w:hAnsi="Times New Roman" w:cs="Times New Roman"/>
        </w:rPr>
      </w:pPr>
    </w:p>
    <w:p w14:paraId="38346F3A">
      <w:pPr>
        <w:rPr>
          <w:rFonts w:ascii="Times New Roman" w:hAnsi="Times New Roman" w:cs="Times New Roman"/>
        </w:rPr>
      </w:pPr>
    </w:p>
    <w:p w14:paraId="560DD404">
      <w:pPr>
        <w:rPr>
          <w:rFonts w:ascii="Times New Roman" w:hAnsi="Times New Roman" w:cs="Times New Roman"/>
        </w:rPr>
      </w:pPr>
    </w:p>
    <w:p w14:paraId="776988FB">
      <w:pPr>
        <w:rPr>
          <w:rFonts w:ascii="Times New Roman" w:hAnsi="Times New Roman" w:cs="Times New Roman"/>
        </w:rPr>
      </w:pPr>
    </w:p>
    <w:p w14:paraId="73D2CF27">
      <w:pPr>
        <w:rPr>
          <w:rFonts w:ascii="Times New Roman" w:hAnsi="Times New Roman" w:cs="Times New Roman"/>
        </w:rPr>
      </w:pPr>
    </w:p>
    <w:p w14:paraId="69A13D09">
      <w:pPr>
        <w:rPr>
          <w:rFonts w:ascii="Times New Roman" w:hAnsi="Times New Roman" w:cs="Times New Roman"/>
        </w:rPr>
      </w:pPr>
    </w:p>
    <w:p w14:paraId="0D73B2ED">
      <w:pPr>
        <w:rPr>
          <w:rFonts w:ascii="Times New Roman" w:hAnsi="Times New Roman" w:cs="Times New Roman"/>
        </w:rPr>
      </w:pPr>
    </w:p>
    <w:p w14:paraId="522B3AF2">
      <w:pPr>
        <w:rPr>
          <w:rFonts w:ascii="Times New Roman" w:hAnsi="Times New Roman" w:cs="Times New Roman"/>
        </w:rPr>
      </w:pPr>
    </w:p>
    <w:p w14:paraId="47A20A65">
      <w:pPr>
        <w:rPr>
          <w:rFonts w:hint="eastAsia" w:ascii="Times New Roman" w:hAnsi="Times New Roman" w:cs="Times New Roman"/>
        </w:rPr>
      </w:pPr>
    </w:p>
    <w:p w14:paraId="684E9895">
      <w:pPr>
        <w:spacing w:after="0" w:line="560" w:lineRule="exact"/>
        <w:ind w:firstLine="640" w:firstLineChars="200"/>
        <w:jc w:val="both"/>
        <w:rPr>
          <w:rFonts w:ascii="Times New Roman" w:hAnsi="Times New Roman" w:eastAsia="黑体" w:cs="Times New Roman"/>
          <w:sz w:val="32"/>
          <w:szCs w:val="32"/>
        </w:rPr>
      </w:pPr>
      <w:bookmarkStart w:id="397" w:name="扫描0046"/>
      <w:bookmarkEnd w:id="397"/>
    </w:p>
    <w:p w14:paraId="6B178178">
      <w:pPr>
        <w:spacing w:after="0" w:line="560" w:lineRule="exact"/>
        <w:ind w:firstLine="640" w:firstLineChars="200"/>
        <w:jc w:val="both"/>
        <w:rPr>
          <w:rFonts w:ascii="Times New Roman" w:hAnsi="Times New Roman" w:eastAsia="黑体" w:cs="Times New Roman"/>
          <w:sz w:val="32"/>
          <w:szCs w:val="32"/>
        </w:rPr>
      </w:pPr>
    </w:p>
    <w:p w14:paraId="2154D49B">
      <w:pPr>
        <w:spacing w:after="0" w:line="560" w:lineRule="exact"/>
        <w:ind w:firstLine="640" w:firstLineChars="200"/>
        <w:jc w:val="both"/>
        <w:outlineLvl w:val="1"/>
        <w:rPr>
          <w:rFonts w:ascii="Times New Roman" w:hAnsi="Times New Roman" w:eastAsia="黑体" w:cs="Times New Roman"/>
          <w:snapToGrid w:val="0"/>
          <w:sz w:val="32"/>
          <w:szCs w:val="32"/>
        </w:rPr>
      </w:pPr>
      <w:bookmarkStart w:id="398" w:name="_Toc20331"/>
      <w:r>
        <w:rPr>
          <w:rFonts w:ascii="Times New Roman" w:hAnsi="Times New Roman" w:eastAsia="黑体" w:cs="Times New Roman"/>
          <w:sz w:val="32"/>
          <w:szCs w:val="32"/>
        </w:rPr>
        <w:t>一、项目名称：</w:t>
      </w:r>
      <w:bookmarkEnd w:id="398"/>
    </w:p>
    <w:p w14:paraId="648FBF81">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中粮梁河糖业公司设备购置及土建项目-梁河糖业2024年勐养动力车间35t/h锅炉修理项目                             </w:t>
      </w:r>
    </w:p>
    <w:p w14:paraId="1ABDE273">
      <w:pPr>
        <w:spacing w:after="0" w:line="560" w:lineRule="exact"/>
        <w:ind w:firstLine="640" w:firstLineChars="200"/>
        <w:jc w:val="both"/>
        <w:outlineLvl w:val="1"/>
        <w:rPr>
          <w:rFonts w:ascii="Times New Roman" w:hAnsi="Times New Roman" w:eastAsia="黑体" w:cs="Times New Roman"/>
          <w:sz w:val="32"/>
          <w:szCs w:val="32"/>
        </w:rPr>
      </w:pPr>
      <w:bookmarkStart w:id="399" w:name="_Toc7587"/>
      <w:r>
        <w:rPr>
          <w:rFonts w:ascii="Times New Roman" w:hAnsi="Times New Roman" w:eastAsia="黑体" w:cs="Times New Roman"/>
          <w:sz w:val="32"/>
          <w:szCs w:val="32"/>
        </w:rPr>
        <w:t>二、项目内容：</w:t>
      </w:r>
      <w:bookmarkEnd w:id="399"/>
    </w:p>
    <w:p w14:paraId="4E034836">
      <w:pPr>
        <w:spacing w:after="0" w:line="560" w:lineRule="exact"/>
        <w:ind w:firstLine="640" w:firstLineChars="200"/>
        <w:jc w:val="both"/>
        <w:rPr>
          <w:rFonts w:ascii="Times New Roman" w:hAnsi="Times New Roman" w:eastAsia="仿宋_GB2312" w:cs="Times New Roman"/>
          <w:bCs/>
          <w:snapToGrid w:val="0"/>
          <w:sz w:val="32"/>
          <w:szCs w:val="32"/>
        </w:rPr>
      </w:pPr>
      <w:r>
        <w:rPr>
          <w:rFonts w:ascii="Times New Roman" w:hAnsi="Times New Roman" w:eastAsia="仿宋_GB2312" w:cs="Times New Roman"/>
          <w:bCs/>
          <w:snapToGrid w:val="0"/>
          <w:sz w:val="32"/>
          <w:szCs w:val="32"/>
        </w:rPr>
        <w:t xml:space="preserve">1. </w:t>
      </w:r>
      <w:r>
        <w:rPr>
          <w:rFonts w:hint="eastAsia" w:ascii="Times New Roman" w:hAnsi="Times New Roman" w:eastAsia="仿宋_GB2312" w:cs="Times New Roman"/>
          <w:sz w:val="32"/>
          <w:szCs w:val="32"/>
          <w:u w:val="single"/>
          <w:lang w:val="en-US" w:eastAsia="zh-CN"/>
        </w:rPr>
        <w:t>中粮梁河糖业公司设备购置及土建项目-</w:t>
      </w:r>
      <w:r>
        <w:rPr>
          <w:rFonts w:ascii="Times New Roman" w:hAnsi="Times New Roman" w:eastAsia="仿宋_GB2312" w:cs="Times New Roman"/>
          <w:bCs/>
          <w:snapToGrid w:val="0"/>
          <w:sz w:val="32"/>
          <w:szCs w:val="32"/>
          <w:u w:val="single"/>
        </w:rPr>
        <w:t xml:space="preserve">梁河糖业2024年勐养动力车间35t/h锅炉修理项目设备采购安装（含调试）一项     </w:t>
      </w:r>
      <w:r>
        <w:rPr>
          <w:rFonts w:ascii="Times New Roman" w:hAnsi="Times New Roman" w:eastAsia="仿宋_GB2312" w:cs="Times New Roman"/>
          <w:bCs/>
          <w:snapToGrid w:val="0"/>
          <w:sz w:val="32"/>
          <w:szCs w:val="32"/>
        </w:rPr>
        <w:t xml:space="preserve">    </w:t>
      </w:r>
    </w:p>
    <w:p w14:paraId="50147228">
      <w:pPr>
        <w:spacing w:after="0" w:line="560" w:lineRule="exact"/>
        <w:ind w:firstLine="640" w:firstLineChars="200"/>
        <w:jc w:val="both"/>
        <w:outlineLvl w:val="2"/>
        <w:rPr>
          <w:rFonts w:ascii="Times New Roman" w:hAnsi="Times New Roman" w:eastAsia="仿宋_GB2312" w:cs="Times New Roman"/>
          <w:bCs/>
          <w:snapToGrid w:val="0"/>
          <w:sz w:val="32"/>
          <w:szCs w:val="32"/>
        </w:rPr>
      </w:pPr>
      <w:bookmarkStart w:id="400" w:name="_Toc26181"/>
      <w:r>
        <w:rPr>
          <w:rFonts w:ascii="Times New Roman" w:hAnsi="Times New Roman" w:eastAsia="仿宋_GB2312" w:cs="Times New Roman"/>
          <w:bCs/>
          <w:snapToGrid w:val="0"/>
          <w:sz w:val="32"/>
          <w:szCs w:val="32"/>
        </w:rPr>
        <w:t>1.1调试</w:t>
      </w:r>
      <w:bookmarkEnd w:id="400"/>
    </w:p>
    <w:p w14:paraId="22EA6852">
      <w:pPr>
        <w:spacing w:after="0" w:line="560" w:lineRule="exact"/>
        <w:ind w:firstLine="640" w:firstLineChars="200"/>
        <w:jc w:val="both"/>
        <w:rPr>
          <w:rFonts w:ascii="Times New Roman" w:hAnsi="Times New Roman" w:eastAsia="仿宋_GB2312" w:cs="Times New Roman"/>
          <w:bCs/>
          <w:snapToGrid w:val="0"/>
          <w:sz w:val="32"/>
          <w:szCs w:val="32"/>
          <w:u w:val="single"/>
        </w:rPr>
      </w:pPr>
      <w:r>
        <w:rPr>
          <w:rFonts w:ascii="Times New Roman" w:hAnsi="Times New Roman" w:eastAsia="仿宋_GB2312" w:cs="Times New Roman"/>
          <w:bCs/>
          <w:snapToGrid w:val="0"/>
          <w:sz w:val="32"/>
          <w:szCs w:val="32"/>
        </w:rPr>
        <w:t>1.1.1为了保证设备的正常运行，要求中标方在设备调试期间，</w:t>
      </w:r>
      <w:r>
        <w:rPr>
          <w:rFonts w:ascii="Times New Roman" w:hAnsi="Times New Roman" w:eastAsia="仿宋_GB2312" w:cs="Times New Roman"/>
          <w:bCs/>
          <w:snapToGrid w:val="0"/>
          <w:sz w:val="32"/>
          <w:szCs w:val="32"/>
          <w:u w:val="single"/>
        </w:rPr>
        <w:t>即竣工验收合格后</w:t>
      </w:r>
      <w:r>
        <w:rPr>
          <w:rFonts w:ascii="Times New Roman" w:hAnsi="Times New Roman" w:eastAsia="仿宋_GB2312" w:cs="Times New Roman"/>
          <w:bCs/>
          <w:snapToGrid w:val="0"/>
          <w:sz w:val="32"/>
          <w:szCs w:val="32"/>
        </w:rPr>
        <w:t>安排人员</w:t>
      </w:r>
      <w:r>
        <w:rPr>
          <w:rFonts w:ascii="Times New Roman" w:hAnsi="Times New Roman" w:eastAsia="仿宋_GB2312" w:cs="Times New Roman"/>
          <w:bCs/>
          <w:snapToGrid w:val="0"/>
          <w:sz w:val="32"/>
          <w:szCs w:val="32"/>
          <w:u w:val="single"/>
        </w:rPr>
        <w:t>2</w:t>
      </w:r>
      <w:r>
        <w:rPr>
          <w:rFonts w:ascii="Times New Roman" w:hAnsi="Times New Roman" w:eastAsia="仿宋_GB2312" w:cs="Times New Roman"/>
          <w:bCs/>
          <w:snapToGrid w:val="0"/>
          <w:sz w:val="32"/>
          <w:szCs w:val="32"/>
        </w:rPr>
        <w:t xml:space="preserve">人，主要解决 </w:t>
      </w:r>
      <w:r>
        <w:rPr>
          <w:rFonts w:ascii="Times New Roman" w:hAnsi="Times New Roman" w:eastAsia="仿宋_GB2312" w:cs="Times New Roman"/>
          <w:bCs/>
          <w:snapToGrid w:val="0"/>
          <w:sz w:val="32"/>
          <w:szCs w:val="32"/>
          <w:u w:val="single"/>
        </w:rPr>
        <w:t>新安装设备调试、监测  等试运行问题。</w:t>
      </w:r>
    </w:p>
    <w:p w14:paraId="25CAD416">
      <w:pPr>
        <w:spacing w:after="0" w:line="560" w:lineRule="exact"/>
        <w:ind w:firstLine="640" w:firstLineChars="200"/>
        <w:jc w:val="both"/>
        <w:rPr>
          <w:rFonts w:ascii="Times New Roman" w:hAnsi="Times New Roman" w:eastAsia="仿宋_GB2312" w:cs="Times New Roman"/>
          <w:bCs/>
          <w:snapToGrid w:val="0"/>
          <w:sz w:val="32"/>
          <w:szCs w:val="32"/>
        </w:rPr>
      </w:pPr>
      <w:r>
        <w:rPr>
          <w:rFonts w:ascii="Times New Roman" w:hAnsi="Times New Roman" w:eastAsia="仿宋_GB2312" w:cs="Times New Roman"/>
          <w:bCs/>
          <w:snapToGrid w:val="0"/>
          <w:sz w:val="32"/>
          <w:szCs w:val="32"/>
        </w:rPr>
        <w:t xml:space="preserve">1.1.2 施工周期/交货周期： </w:t>
      </w:r>
    </w:p>
    <w:p w14:paraId="43C3CDF2">
      <w:pPr>
        <w:spacing w:after="0" w:line="560" w:lineRule="exact"/>
        <w:ind w:firstLine="640" w:firstLineChars="200"/>
        <w:jc w:val="both"/>
        <w:rPr>
          <w:rFonts w:ascii="Times New Roman" w:hAnsi="Times New Roman" w:eastAsia="仿宋_GB2312" w:cs="Times New Roman"/>
          <w:bCs/>
          <w:snapToGrid w:val="0"/>
          <w:sz w:val="32"/>
          <w:szCs w:val="32"/>
        </w:rPr>
      </w:pPr>
      <w:r>
        <w:rPr>
          <w:rFonts w:ascii="Times New Roman" w:hAnsi="Times New Roman" w:eastAsia="仿宋_GB2312" w:cs="Times New Roman"/>
          <w:bCs/>
          <w:snapToGrid w:val="0"/>
          <w:sz w:val="32"/>
          <w:szCs w:val="32"/>
        </w:rPr>
        <w:t xml:space="preserve"> 2.培训</w:t>
      </w:r>
    </w:p>
    <w:p w14:paraId="5D4991B7">
      <w:pPr>
        <w:spacing w:after="0" w:line="560" w:lineRule="exact"/>
        <w:ind w:firstLine="640" w:firstLineChars="200"/>
        <w:jc w:val="both"/>
        <w:rPr>
          <w:rFonts w:ascii="Times New Roman" w:hAnsi="Times New Roman" w:eastAsia="仿宋_GB2312" w:cs="Times New Roman"/>
          <w:bCs/>
          <w:snapToGrid w:val="0"/>
          <w:sz w:val="32"/>
          <w:szCs w:val="32"/>
          <w:u w:val="single"/>
        </w:rPr>
      </w:pPr>
      <w:r>
        <w:rPr>
          <w:rFonts w:ascii="Times New Roman" w:hAnsi="Times New Roman" w:eastAsia="仿宋_GB2312" w:cs="Times New Roman"/>
          <w:bCs/>
          <w:snapToGrid w:val="0"/>
          <w:sz w:val="32"/>
          <w:szCs w:val="32"/>
        </w:rPr>
        <w:t>2.1操作运行：</w:t>
      </w:r>
      <w:r>
        <w:rPr>
          <w:rFonts w:ascii="Times New Roman" w:hAnsi="Times New Roman" w:eastAsia="仿宋_GB2312" w:cs="Times New Roman"/>
          <w:bCs/>
          <w:snapToGrid w:val="0"/>
          <w:sz w:val="32"/>
          <w:szCs w:val="32"/>
          <w:u w:val="single"/>
        </w:rPr>
        <w:t xml:space="preserve"> 使每位岗位人员熟练掌握操作设备，能处理运行中出现的常规故障 ，并考试合格。 </w:t>
      </w:r>
    </w:p>
    <w:p w14:paraId="2D9667B5">
      <w:pPr>
        <w:spacing w:after="0" w:line="560" w:lineRule="exact"/>
        <w:ind w:firstLine="640" w:firstLineChars="200"/>
        <w:jc w:val="both"/>
        <w:rPr>
          <w:rFonts w:ascii="Times New Roman" w:hAnsi="Times New Roman" w:eastAsia="仿宋_GB2312" w:cs="Times New Roman"/>
          <w:bCs/>
          <w:snapToGrid w:val="0"/>
          <w:sz w:val="32"/>
          <w:szCs w:val="32"/>
        </w:rPr>
      </w:pPr>
      <w:r>
        <w:rPr>
          <w:rFonts w:ascii="Times New Roman" w:hAnsi="Times New Roman" w:eastAsia="仿宋_GB2312" w:cs="Times New Roman"/>
          <w:bCs/>
          <w:snapToGrid w:val="0"/>
          <w:sz w:val="32"/>
          <w:szCs w:val="32"/>
        </w:rPr>
        <w:t>2.2维护保养：</w:t>
      </w:r>
      <w:r>
        <w:rPr>
          <w:rFonts w:ascii="Times New Roman" w:hAnsi="Times New Roman" w:eastAsia="仿宋_GB2312" w:cs="Times New Roman"/>
          <w:bCs/>
          <w:snapToGrid w:val="0"/>
          <w:sz w:val="32"/>
          <w:szCs w:val="32"/>
          <w:u w:val="single"/>
        </w:rPr>
        <w:t xml:space="preserve">  提供维护保养手册、培训维护保养方法</w:t>
      </w:r>
      <w:r>
        <w:rPr>
          <w:rFonts w:ascii="Times New Roman" w:hAnsi="Times New Roman" w:eastAsia="仿宋_GB2312" w:cs="Times New Roman"/>
          <w:bCs/>
          <w:snapToGrid w:val="0"/>
          <w:sz w:val="32"/>
          <w:szCs w:val="32"/>
        </w:rPr>
        <w:t xml:space="preserve">。                                                </w:t>
      </w:r>
    </w:p>
    <w:p w14:paraId="751BB8DF">
      <w:pPr>
        <w:spacing w:after="0" w:line="560" w:lineRule="exact"/>
        <w:ind w:firstLine="640" w:firstLineChars="200"/>
        <w:jc w:val="both"/>
        <w:rPr>
          <w:rFonts w:ascii="Times New Roman" w:hAnsi="Times New Roman" w:eastAsia="仿宋_GB2312" w:cs="Times New Roman"/>
          <w:bCs/>
          <w:snapToGrid w:val="0"/>
          <w:sz w:val="32"/>
          <w:szCs w:val="32"/>
        </w:rPr>
      </w:pPr>
      <w:r>
        <w:rPr>
          <w:rFonts w:ascii="Times New Roman" w:hAnsi="Times New Roman" w:eastAsia="仿宋_GB2312" w:cs="Times New Roman"/>
          <w:bCs/>
          <w:snapToGrid w:val="0"/>
          <w:sz w:val="32"/>
          <w:szCs w:val="32"/>
        </w:rPr>
        <w:t>3.性能考核</w:t>
      </w:r>
    </w:p>
    <w:p w14:paraId="52142078">
      <w:pPr>
        <w:spacing w:after="0" w:line="560" w:lineRule="exact"/>
        <w:ind w:firstLine="640" w:firstLineChars="200"/>
        <w:jc w:val="both"/>
        <w:rPr>
          <w:rFonts w:ascii="Times New Roman" w:hAnsi="Times New Roman" w:eastAsia="仿宋_GB2312" w:cs="Times New Roman"/>
          <w:bCs/>
          <w:snapToGrid w:val="0"/>
          <w:sz w:val="32"/>
          <w:szCs w:val="32"/>
        </w:rPr>
      </w:pPr>
      <w:r>
        <w:rPr>
          <w:rFonts w:ascii="Times New Roman" w:hAnsi="Times New Roman" w:eastAsia="仿宋_GB2312" w:cs="Times New Roman"/>
          <w:bCs/>
          <w:snapToGrid w:val="0"/>
          <w:sz w:val="32"/>
          <w:szCs w:val="32"/>
        </w:rPr>
        <w:t>考核为</w:t>
      </w:r>
      <w:r>
        <w:rPr>
          <w:rFonts w:ascii="Times New Roman" w:hAnsi="Times New Roman" w:eastAsia="仿宋_GB2312" w:cs="Times New Roman"/>
          <w:bCs/>
          <w:snapToGrid w:val="0"/>
          <w:sz w:val="32"/>
          <w:szCs w:val="32"/>
          <w:u w:val="single"/>
        </w:rPr>
        <w:t xml:space="preserve"> 2024/2025 榨季运行</w:t>
      </w:r>
      <w:r>
        <w:rPr>
          <w:rFonts w:ascii="Times New Roman" w:hAnsi="Times New Roman" w:eastAsia="仿宋_GB2312" w:cs="Times New Roman"/>
          <w:bCs/>
          <w:snapToGrid w:val="0"/>
          <w:sz w:val="32"/>
          <w:szCs w:val="32"/>
        </w:rPr>
        <w:t>至结束 ，设备</w:t>
      </w:r>
      <w:r>
        <w:rPr>
          <w:rFonts w:ascii="Times New Roman" w:hAnsi="Times New Roman" w:eastAsia="仿宋_GB2312" w:cs="Times New Roman"/>
          <w:bCs/>
          <w:snapToGrid w:val="0"/>
          <w:sz w:val="32"/>
          <w:szCs w:val="32"/>
          <w:u w:val="single"/>
        </w:rPr>
        <w:t xml:space="preserve">   材料 、安装质量 </w:t>
      </w:r>
      <w:r>
        <w:rPr>
          <w:rFonts w:ascii="Times New Roman" w:hAnsi="Times New Roman" w:eastAsia="仿宋_GB2312" w:cs="Times New Roman"/>
          <w:bCs/>
          <w:snapToGrid w:val="0"/>
          <w:sz w:val="32"/>
          <w:szCs w:val="32"/>
        </w:rPr>
        <w:t>达到或超过标书中所规定的</w:t>
      </w:r>
      <w:r>
        <w:rPr>
          <w:rFonts w:ascii="Times New Roman" w:hAnsi="Times New Roman" w:eastAsia="仿宋_GB2312" w:cs="Times New Roman"/>
          <w:bCs/>
          <w:snapToGrid w:val="0"/>
          <w:sz w:val="32"/>
          <w:szCs w:val="32"/>
          <w:u w:val="single"/>
        </w:rPr>
        <w:t xml:space="preserve"> 要求 </w:t>
      </w:r>
      <w:r>
        <w:rPr>
          <w:rFonts w:ascii="Times New Roman" w:hAnsi="Times New Roman" w:eastAsia="仿宋_GB2312" w:cs="Times New Roman"/>
          <w:bCs/>
          <w:snapToGrid w:val="0"/>
          <w:sz w:val="32"/>
          <w:szCs w:val="32"/>
        </w:rPr>
        <w:t>能力：</w:t>
      </w:r>
      <w:r>
        <w:rPr>
          <w:rFonts w:ascii="Times New Roman" w:hAnsi="Times New Roman" w:eastAsia="仿宋_GB2312" w:cs="Times New Roman"/>
          <w:bCs/>
          <w:snapToGrid w:val="0"/>
          <w:sz w:val="32"/>
          <w:szCs w:val="32"/>
          <w:u w:val="single"/>
        </w:rPr>
        <w:t xml:space="preserve"> 视为合格 </w:t>
      </w:r>
      <w:r>
        <w:rPr>
          <w:rFonts w:ascii="Times New Roman" w:hAnsi="Times New Roman" w:eastAsia="仿宋_GB2312" w:cs="Times New Roman"/>
          <w:bCs/>
          <w:snapToGrid w:val="0"/>
          <w:sz w:val="32"/>
          <w:szCs w:val="32"/>
        </w:rPr>
        <w:t>，如果达不到</w:t>
      </w:r>
      <w:r>
        <w:rPr>
          <w:rFonts w:ascii="Times New Roman" w:hAnsi="Times New Roman" w:eastAsia="仿宋_GB2312" w:cs="Times New Roman"/>
          <w:bCs/>
          <w:snapToGrid w:val="0"/>
          <w:sz w:val="32"/>
          <w:szCs w:val="32"/>
          <w:u w:val="single"/>
        </w:rPr>
        <w:t xml:space="preserve">   合同使用技术  </w:t>
      </w:r>
      <w:r>
        <w:rPr>
          <w:rFonts w:ascii="Times New Roman" w:hAnsi="Times New Roman" w:eastAsia="仿宋_GB2312" w:cs="Times New Roman"/>
          <w:bCs/>
          <w:snapToGrid w:val="0"/>
          <w:sz w:val="32"/>
          <w:szCs w:val="32"/>
        </w:rPr>
        <w:t>要求，则判定该设备为不达标。</w:t>
      </w:r>
    </w:p>
    <w:p w14:paraId="2F99D23E">
      <w:pPr>
        <w:spacing w:after="0" w:line="560" w:lineRule="exact"/>
        <w:ind w:firstLine="640" w:firstLineChars="200"/>
        <w:jc w:val="both"/>
        <w:rPr>
          <w:rFonts w:ascii="Times New Roman" w:hAnsi="Times New Roman" w:eastAsia="仿宋_GB2312" w:cs="Times New Roman"/>
          <w:bCs/>
          <w:snapToGrid w:val="0"/>
          <w:sz w:val="32"/>
          <w:szCs w:val="32"/>
        </w:rPr>
      </w:pPr>
      <w:r>
        <w:rPr>
          <w:rFonts w:ascii="Times New Roman" w:hAnsi="Times New Roman" w:eastAsia="仿宋_GB2312" w:cs="Times New Roman"/>
          <w:bCs/>
          <w:snapToGrid w:val="0"/>
          <w:sz w:val="32"/>
          <w:szCs w:val="32"/>
        </w:rPr>
        <w:t>4项目所选设备要求</w:t>
      </w:r>
      <w:r>
        <w:rPr>
          <w:rFonts w:hint="eastAsia" w:ascii="Times New Roman" w:hAnsi="Times New Roman" w:eastAsia="仿宋_GB2312" w:cs="Times New Roman"/>
          <w:kern w:val="2"/>
          <w:sz w:val="32"/>
          <w:szCs w:val="32"/>
          <w:lang w:val="en-US" w:eastAsia="zh-CN"/>
        </w:rPr>
        <w:t>详见设备材料供货、安装明细。</w:t>
      </w:r>
    </w:p>
    <w:p w14:paraId="076B0F7B">
      <w:pPr>
        <w:spacing w:after="0" w:line="560" w:lineRule="exact"/>
        <w:ind w:firstLine="640" w:firstLineChars="200"/>
        <w:jc w:val="both"/>
        <w:rPr>
          <w:rFonts w:ascii="Times New Roman" w:hAnsi="Times New Roman" w:eastAsia="仿宋_GB2312" w:cs="Times New Roman"/>
          <w:bCs/>
          <w:snapToGrid w:val="0"/>
          <w:sz w:val="32"/>
          <w:szCs w:val="32"/>
        </w:rPr>
      </w:pPr>
      <w:r>
        <w:rPr>
          <w:rFonts w:ascii="Times New Roman" w:hAnsi="Times New Roman" w:eastAsia="仿宋_GB2312" w:cs="Times New Roman"/>
          <w:bCs/>
          <w:snapToGrid w:val="0"/>
          <w:sz w:val="32"/>
          <w:szCs w:val="32"/>
        </w:rPr>
        <w:t xml:space="preserve">5.售后服务： </w:t>
      </w:r>
      <w:r>
        <w:rPr>
          <w:rFonts w:ascii="Times New Roman" w:hAnsi="Times New Roman" w:eastAsia="仿宋_GB2312" w:cs="Times New Roman"/>
          <w:bCs/>
          <w:snapToGrid w:val="0"/>
          <w:sz w:val="32"/>
          <w:szCs w:val="32"/>
          <w:u w:val="single"/>
        </w:rPr>
        <w:t xml:space="preserve">  质保期内设备非人为损坏，乙方免费供货安装 </w:t>
      </w:r>
      <w:r>
        <w:rPr>
          <w:rFonts w:ascii="Times New Roman" w:hAnsi="Times New Roman" w:eastAsia="仿宋_GB2312" w:cs="Times New Roman"/>
          <w:bCs/>
          <w:snapToGrid w:val="0"/>
          <w:sz w:val="32"/>
          <w:szCs w:val="32"/>
        </w:rPr>
        <w:t xml:space="preserve">                                              </w:t>
      </w:r>
    </w:p>
    <w:p w14:paraId="6B5A5A77">
      <w:pPr>
        <w:spacing w:after="0" w:line="560" w:lineRule="exact"/>
        <w:ind w:firstLine="640" w:firstLineChars="200"/>
        <w:jc w:val="both"/>
        <w:rPr>
          <w:rFonts w:ascii="Times New Roman" w:hAnsi="Times New Roman" w:eastAsia="仿宋_GB2312" w:cs="Times New Roman"/>
          <w:bCs/>
          <w:snapToGrid w:val="0"/>
          <w:sz w:val="32"/>
          <w:szCs w:val="32"/>
        </w:rPr>
      </w:pPr>
      <w:r>
        <w:rPr>
          <w:rFonts w:ascii="Times New Roman" w:hAnsi="Times New Roman" w:eastAsia="仿宋_GB2312" w:cs="Times New Roman"/>
          <w:bCs/>
          <w:snapToGrid w:val="0"/>
          <w:sz w:val="32"/>
          <w:szCs w:val="32"/>
        </w:rPr>
        <w:t>6.售后保障期限：</w:t>
      </w:r>
      <w:r>
        <w:rPr>
          <w:rFonts w:ascii="Times New Roman" w:hAnsi="Times New Roman" w:eastAsia="仿宋_GB2312" w:cs="Times New Roman"/>
          <w:bCs/>
          <w:snapToGrid w:val="0"/>
          <w:sz w:val="32"/>
          <w:szCs w:val="32"/>
          <w:u w:val="single"/>
        </w:rPr>
        <w:t xml:space="preserve">   </w:t>
      </w:r>
      <w:r>
        <w:rPr>
          <w:rFonts w:hint="eastAsia" w:ascii="仿宋_GB2312" w:hAnsi="仿宋_GB2312" w:eastAsia="仿宋_GB2312" w:cs="仿宋_GB2312"/>
          <w:color w:val="auto"/>
          <w:kern w:val="2"/>
          <w:sz w:val="32"/>
          <w:szCs w:val="32"/>
          <w:u w:val="single"/>
          <w:lang w:eastAsia="zh-CN"/>
        </w:rPr>
        <w:t>竣工验收后12个月</w:t>
      </w:r>
      <w:r>
        <w:rPr>
          <w:rFonts w:hint="default" w:ascii="Times New Roman" w:hAnsi="Times New Roman" w:eastAsia="仿宋_GB2312" w:cs="Times New Roman"/>
          <w:color w:val="auto"/>
          <w:kern w:val="2"/>
          <w:sz w:val="32"/>
          <w:szCs w:val="32"/>
          <w:u w:val="single"/>
          <w:lang w:eastAsia="zh-CN"/>
        </w:rPr>
        <w:t xml:space="preserve"> </w:t>
      </w:r>
      <w:r>
        <w:rPr>
          <w:rFonts w:ascii="Times New Roman" w:hAnsi="Times New Roman" w:eastAsia="仿宋_GB2312" w:cs="Times New Roman"/>
          <w:bCs/>
          <w:snapToGrid w:val="0"/>
          <w:sz w:val="32"/>
          <w:szCs w:val="32"/>
        </w:rPr>
        <w:t xml:space="preserve">                                     </w:t>
      </w:r>
    </w:p>
    <w:p w14:paraId="75453DDE">
      <w:pPr>
        <w:spacing w:after="0" w:line="560" w:lineRule="exact"/>
        <w:ind w:firstLine="640" w:firstLineChars="200"/>
        <w:jc w:val="both"/>
        <w:outlineLvl w:val="1"/>
        <w:rPr>
          <w:rFonts w:hint="eastAsia" w:ascii="Times New Roman" w:hAnsi="Times New Roman" w:eastAsia="黑体" w:cs="Times New Roman"/>
          <w:sz w:val="32"/>
          <w:szCs w:val="32"/>
          <w:lang w:eastAsia="zh-CN"/>
        </w:rPr>
      </w:pPr>
      <w:bookmarkStart w:id="401" w:name="_Toc3441"/>
      <w:r>
        <w:rPr>
          <w:rFonts w:ascii="Times New Roman" w:hAnsi="Times New Roman" w:eastAsia="黑体" w:cs="Times New Roman"/>
          <w:sz w:val="32"/>
          <w:szCs w:val="32"/>
        </w:rPr>
        <w:t>三、交货期限</w:t>
      </w:r>
      <w:r>
        <w:rPr>
          <w:rFonts w:hint="eastAsia" w:ascii="Times New Roman" w:hAnsi="Times New Roman" w:eastAsia="黑体" w:cs="Times New Roman"/>
          <w:sz w:val="32"/>
          <w:szCs w:val="32"/>
          <w:lang w:eastAsia="zh-CN"/>
        </w:rPr>
        <w:t>：</w:t>
      </w:r>
      <w:r>
        <w:rPr>
          <w:rFonts w:hint="default" w:ascii="Times New Roman" w:hAnsi="Times New Roman" w:eastAsia="仿宋_GB2312" w:cs="Times New Roman"/>
          <w:snapToGrid w:val="0"/>
          <w:sz w:val="32"/>
          <w:szCs w:val="32"/>
        </w:rPr>
        <w:t>合同签订后</w:t>
      </w:r>
      <w:r>
        <w:rPr>
          <w:rFonts w:hint="eastAsia" w:ascii="Times New Roman" w:hAnsi="Times New Roman" w:eastAsia="仿宋_GB2312" w:cs="Times New Roman"/>
          <w:snapToGrid w:val="0"/>
          <w:sz w:val="32"/>
          <w:szCs w:val="32"/>
          <w:lang w:val="en-US" w:eastAsia="zh-CN"/>
        </w:rPr>
        <w:t>75</w:t>
      </w:r>
      <w:r>
        <w:rPr>
          <w:rFonts w:hint="default" w:ascii="Times New Roman" w:hAnsi="Times New Roman" w:eastAsia="仿宋_GB2312" w:cs="Times New Roman"/>
          <w:snapToGrid w:val="0"/>
          <w:sz w:val="32"/>
          <w:szCs w:val="32"/>
          <w:highlight w:val="none"/>
        </w:rPr>
        <w:t>日历天</w:t>
      </w:r>
      <w:r>
        <w:rPr>
          <w:rFonts w:hint="eastAsia" w:ascii="Times New Roman" w:hAnsi="Times New Roman" w:eastAsia="仿宋_GB2312" w:cs="Times New Roman"/>
          <w:snapToGrid w:val="0"/>
          <w:sz w:val="32"/>
          <w:szCs w:val="32"/>
          <w:highlight w:val="none"/>
          <w:lang w:eastAsia="zh-CN"/>
        </w:rPr>
        <w:t>。</w:t>
      </w:r>
      <w:bookmarkEnd w:id="401"/>
    </w:p>
    <w:p w14:paraId="6F2D71D3">
      <w:pPr>
        <w:spacing w:after="0" w:line="560" w:lineRule="exact"/>
        <w:ind w:firstLine="640" w:firstLineChars="200"/>
        <w:jc w:val="both"/>
        <w:outlineLvl w:val="1"/>
        <w:rPr>
          <w:rFonts w:ascii="Times New Roman" w:hAnsi="Times New Roman" w:eastAsia="黑体" w:cs="Times New Roman"/>
          <w:sz w:val="32"/>
          <w:szCs w:val="32"/>
        </w:rPr>
      </w:pPr>
      <w:bookmarkStart w:id="402" w:name="_Toc1000"/>
      <w:r>
        <w:rPr>
          <w:rFonts w:ascii="Times New Roman" w:hAnsi="Times New Roman" w:eastAsia="黑体" w:cs="Times New Roman"/>
          <w:sz w:val="32"/>
          <w:szCs w:val="32"/>
        </w:rPr>
        <w:t>四、采购技术规格及参数要求</w:t>
      </w:r>
      <w:bookmarkEnd w:id="402"/>
    </w:p>
    <w:tbl>
      <w:tblPr>
        <w:tblStyle w:val="33"/>
        <w:tblW w:w="9591" w:type="dxa"/>
        <w:jc w:val="center"/>
        <w:tblLayout w:type="fixed"/>
        <w:tblCellMar>
          <w:top w:w="0" w:type="dxa"/>
          <w:left w:w="108" w:type="dxa"/>
          <w:bottom w:w="0" w:type="dxa"/>
          <w:right w:w="108" w:type="dxa"/>
        </w:tblCellMar>
      </w:tblPr>
      <w:tblGrid>
        <w:gridCol w:w="709"/>
        <w:gridCol w:w="1701"/>
        <w:gridCol w:w="2693"/>
        <w:gridCol w:w="567"/>
        <w:gridCol w:w="567"/>
        <w:gridCol w:w="851"/>
        <w:gridCol w:w="879"/>
        <w:gridCol w:w="1624"/>
      </w:tblGrid>
      <w:tr w14:paraId="28A0F462">
        <w:tblPrEx>
          <w:tblCellMar>
            <w:top w:w="0" w:type="dxa"/>
            <w:left w:w="108" w:type="dxa"/>
            <w:bottom w:w="0" w:type="dxa"/>
            <w:right w:w="108" w:type="dxa"/>
          </w:tblCellMar>
        </w:tblPrEx>
        <w:trPr>
          <w:trHeight w:val="630"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6CFE27CC">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序号</w:t>
            </w:r>
          </w:p>
        </w:tc>
        <w:tc>
          <w:tcPr>
            <w:tcW w:w="1701" w:type="dxa"/>
            <w:tcBorders>
              <w:top w:val="single" w:color="auto" w:sz="4" w:space="0"/>
              <w:left w:val="nil"/>
              <w:bottom w:val="single" w:color="auto" w:sz="4" w:space="0"/>
              <w:right w:val="single" w:color="auto" w:sz="4" w:space="0"/>
            </w:tcBorders>
            <w:shd w:val="clear" w:color="auto" w:fill="auto"/>
            <w:vAlign w:val="center"/>
          </w:tcPr>
          <w:p w14:paraId="1E1E7950">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名称</w:t>
            </w:r>
          </w:p>
        </w:tc>
        <w:tc>
          <w:tcPr>
            <w:tcW w:w="2693" w:type="dxa"/>
            <w:tcBorders>
              <w:top w:val="single" w:color="auto" w:sz="4" w:space="0"/>
              <w:left w:val="nil"/>
              <w:bottom w:val="single" w:color="auto" w:sz="4" w:space="0"/>
              <w:right w:val="single" w:color="auto" w:sz="4" w:space="0"/>
            </w:tcBorders>
            <w:shd w:val="clear" w:color="auto" w:fill="auto"/>
            <w:vAlign w:val="center"/>
          </w:tcPr>
          <w:p w14:paraId="3E1E4AE7">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规格型号</w:t>
            </w:r>
          </w:p>
        </w:tc>
        <w:tc>
          <w:tcPr>
            <w:tcW w:w="567" w:type="dxa"/>
            <w:tcBorders>
              <w:top w:val="single" w:color="auto" w:sz="4" w:space="0"/>
              <w:left w:val="nil"/>
              <w:bottom w:val="single" w:color="auto" w:sz="4" w:space="0"/>
              <w:right w:val="single" w:color="auto" w:sz="4" w:space="0"/>
            </w:tcBorders>
            <w:shd w:val="clear" w:color="auto" w:fill="auto"/>
            <w:vAlign w:val="center"/>
          </w:tcPr>
          <w:p w14:paraId="05FEE8E6">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单位</w:t>
            </w:r>
          </w:p>
        </w:tc>
        <w:tc>
          <w:tcPr>
            <w:tcW w:w="567" w:type="dxa"/>
            <w:tcBorders>
              <w:top w:val="single" w:color="auto" w:sz="4" w:space="0"/>
              <w:left w:val="nil"/>
              <w:bottom w:val="single" w:color="auto" w:sz="4" w:space="0"/>
              <w:right w:val="single" w:color="auto" w:sz="4" w:space="0"/>
            </w:tcBorders>
            <w:shd w:val="clear" w:color="auto" w:fill="auto"/>
            <w:vAlign w:val="center"/>
          </w:tcPr>
          <w:p w14:paraId="5014A46C">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数量</w:t>
            </w:r>
          </w:p>
        </w:tc>
        <w:tc>
          <w:tcPr>
            <w:tcW w:w="851" w:type="dxa"/>
            <w:tcBorders>
              <w:top w:val="single" w:color="auto" w:sz="4" w:space="0"/>
              <w:left w:val="nil"/>
              <w:bottom w:val="single" w:color="auto" w:sz="4" w:space="0"/>
              <w:right w:val="single" w:color="auto" w:sz="4" w:space="0"/>
            </w:tcBorders>
            <w:shd w:val="clear" w:color="auto" w:fill="auto"/>
            <w:vAlign w:val="center"/>
          </w:tcPr>
          <w:p w14:paraId="23D09515">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含税单价</w:t>
            </w:r>
          </w:p>
        </w:tc>
        <w:tc>
          <w:tcPr>
            <w:tcW w:w="879" w:type="dxa"/>
            <w:tcBorders>
              <w:top w:val="single" w:color="auto" w:sz="4" w:space="0"/>
              <w:left w:val="nil"/>
              <w:bottom w:val="single" w:color="auto" w:sz="4" w:space="0"/>
              <w:right w:val="single" w:color="auto" w:sz="4" w:space="0"/>
            </w:tcBorders>
            <w:shd w:val="clear" w:color="auto" w:fill="auto"/>
            <w:vAlign w:val="center"/>
          </w:tcPr>
          <w:p w14:paraId="575E284E">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含税合价</w:t>
            </w:r>
          </w:p>
        </w:tc>
        <w:tc>
          <w:tcPr>
            <w:tcW w:w="1624" w:type="dxa"/>
            <w:tcBorders>
              <w:top w:val="single" w:color="auto" w:sz="4" w:space="0"/>
              <w:left w:val="nil"/>
              <w:bottom w:val="single" w:color="auto" w:sz="4" w:space="0"/>
              <w:right w:val="single" w:color="auto" w:sz="4" w:space="0"/>
            </w:tcBorders>
            <w:shd w:val="clear" w:color="auto" w:fill="auto"/>
            <w:vAlign w:val="center"/>
          </w:tcPr>
          <w:p w14:paraId="580B5093">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备注</w:t>
            </w:r>
          </w:p>
        </w:tc>
      </w:tr>
      <w:tr w14:paraId="1D914545">
        <w:tblPrEx>
          <w:tblCellMar>
            <w:top w:w="0" w:type="dxa"/>
            <w:left w:w="108" w:type="dxa"/>
            <w:bottom w:w="0" w:type="dxa"/>
            <w:right w:w="108" w:type="dxa"/>
          </w:tblCellMar>
        </w:tblPrEx>
        <w:trPr>
          <w:trHeight w:val="468" w:hRule="atLeast"/>
          <w:jc w:val="center"/>
        </w:trPr>
        <w:tc>
          <w:tcPr>
            <w:tcW w:w="709" w:type="dxa"/>
            <w:tcBorders>
              <w:top w:val="nil"/>
              <w:left w:val="single" w:color="auto" w:sz="4" w:space="0"/>
              <w:bottom w:val="single" w:color="auto" w:sz="4" w:space="0"/>
              <w:right w:val="single" w:color="auto" w:sz="4" w:space="0"/>
            </w:tcBorders>
            <w:shd w:val="clear" w:color="000000" w:fill="FFFFFF"/>
          </w:tcPr>
          <w:p w14:paraId="495CB120">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一</w:t>
            </w:r>
          </w:p>
        </w:tc>
        <w:tc>
          <w:tcPr>
            <w:tcW w:w="1701" w:type="dxa"/>
            <w:tcBorders>
              <w:top w:val="nil"/>
              <w:left w:val="nil"/>
              <w:bottom w:val="single" w:color="auto" w:sz="4" w:space="0"/>
              <w:right w:val="single" w:color="auto" w:sz="4" w:space="0"/>
            </w:tcBorders>
            <w:shd w:val="clear" w:color="000000" w:fill="FFFFFF"/>
            <w:vAlign w:val="center"/>
          </w:tcPr>
          <w:p w14:paraId="6DA91743">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2024年锅炉外部检验整改项目</w:t>
            </w:r>
          </w:p>
        </w:tc>
        <w:tc>
          <w:tcPr>
            <w:tcW w:w="2693" w:type="dxa"/>
            <w:tcBorders>
              <w:top w:val="nil"/>
              <w:left w:val="nil"/>
              <w:bottom w:val="single" w:color="auto" w:sz="4" w:space="0"/>
              <w:right w:val="single" w:color="auto" w:sz="4" w:space="0"/>
            </w:tcBorders>
            <w:shd w:val="clear" w:color="000000" w:fill="FFFFFF"/>
            <w:vAlign w:val="center"/>
          </w:tcPr>
          <w:p w14:paraId="6B28A398">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WGC35/39-24</w:t>
            </w:r>
          </w:p>
        </w:tc>
        <w:tc>
          <w:tcPr>
            <w:tcW w:w="567" w:type="dxa"/>
            <w:tcBorders>
              <w:top w:val="nil"/>
              <w:left w:val="nil"/>
              <w:bottom w:val="single" w:color="auto" w:sz="4" w:space="0"/>
              <w:right w:val="single" w:color="auto" w:sz="4" w:space="0"/>
            </w:tcBorders>
            <w:shd w:val="clear" w:color="000000" w:fill="FFFFFF"/>
            <w:vAlign w:val="center"/>
          </w:tcPr>
          <w:p w14:paraId="313BC61E">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195A68CF">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1F05F6E8">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650F15AA">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29A06EBE">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　</w:t>
            </w:r>
          </w:p>
        </w:tc>
      </w:tr>
      <w:tr w14:paraId="075BA87A">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013976BC">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5D28CFB7">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排烟温度测点</w:t>
            </w:r>
          </w:p>
        </w:tc>
        <w:tc>
          <w:tcPr>
            <w:tcW w:w="2693" w:type="dxa"/>
            <w:tcBorders>
              <w:top w:val="nil"/>
              <w:left w:val="nil"/>
              <w:bottom w:val="single" w:color="auto" w:sz="4" w:space="0"/>
              <w:right w:val="single" w:color="auto" w:sz="4" w:space="0"/>
            </w:tcBorders>
            <w:shd w:val="clear" w:color="000000" w:fill="FFFFFF"/>
          </w:tcPr>
          <w:p w14:paraId="47DBE501">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热电偶：WRN-430,L=1150*1000mm , 输出:K,量程：0-1000℃，M27*2，座子材质：12Cr1MoG(含墙开孔安装恢复墙)</w:t>
            </w:r>
          </w:p>
        </w:tc>
        <w:tc>
          <w:tcPr>
            <w:tcW w:w="567" w:type="dxa"/>
            <w:tcBorders>
              <w:top w:val="nil"/>
              <w:left w:val="nil"/>
              <w:bottom w:val="single" w:color="auto" w:sz="4" w:space="0"/>
              <w:right w:val="single" w:color="auto" w:sz="4" w:space="0"/>
            </w:tcBorders>
            <w:shd w:val="clear" w:color="000000" w:fill="FFFFFF"/>
            <w:vAlign w:val="center"/>
          </w:tcPr>
          <w:p w14:paraId="1CCB0C7A">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套</w:t>
            </w:r>
          </w:p>
        </w:tc>
        <w:tc>
          <w:tcPr>
            <w:tcW w:w="567" w:type="dxa"/>
            <w:tcBorders>
              <w:top w:val="nil"/>
              <w:left w:val="nil"/>
              <w:bottom w:val="single" w:color="auto" w:sz="4" w:space="0"/>
              <w:right w:val="single" w:color="auto" w:sz="4" w:space="0"/>
            </w:tcBorders>
            <w:shd w:val="clear" w:color="000000" w:fill="FFFFFF"/>
            <w:vAlign w:val="center"/>
          </w:tcPr>
          <w:p w14:paraId="3657CF29">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2F88EF73">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1D8A0EB8">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60DBE4C3">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（不含接线至DCS）</w:t>
            </w:r>
          </w:p>
        </w:tc>
      </w:tr>
      <w:tr w14:paraId="54BC48C4">
        <w:tblPrEx>
          <w:tblCellMar>
            <w:top w:w="0" w:type="dxa"/>
            <w:left w:w="108" w:type="dxa"/>
            <w:bottom w:w="0" w:type="dxa"/>
            <w:right w:w="108" w:type="dxa"/>
          </w:tblCellMar>
        </w:tblPrEx>
        <w:trPr>
          <w:trHeight w:val="972"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52C1170B">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w:t>
            </w:r>
          </w:p>
        </w:tc>
        <w:tc>
          <w:tcPr>
            <w:tcW w:w="1701" w:type="dxa"/>
            <w:tcBorders>
              <w:top w:val="nil"/>
              <w:left w:val="nil"/>
              <w:bottom w:val="single" w:color="auto" w:sz="4" w:space="0"/>
              <w:right w:val="single" w:color="auto" w:sz="4" w:space="0"/>
            </w:tcBorders>
            <w:shd w:val="clear" w:color="000000" w:fill="FFFFFF"/>
            <w:vAlign w:val="center"/>
          </w:tcPr>
          <w:p w14:paraId="455FD913">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更换省煤器上温度测点座子</w:t>
            </w:r>
          </w:p>
        </w:tc>
        <w:tc>
          <w:tcPr>
            <w:tcW w:w="2693" w:type="dxa"/>
            <w:tcBorders>
              <w:top w:val="nil"/>
              <w:left w:val="nil"/>
              <w:bottom w:val="single" w:color="auto" w:sz="4" w:space="0"/>
              <w:right w:val="single" w:color="auto" w:sz="4" w:space="0"/>
            </w:tcBorders>
            <w:shd w:val="clear" w:color="000000" w:fill="FFFFFF"/>
          </w:tcPr>
          <w:p w14:paraId="182E044A">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M27mm*2mm，材质：12Cr1MoG</w:t>
            </w:r>
          </w:p>
        </w:tc>
        <w:tc>
          <w:tcPr>
            <w:tcW w:w="567" w:type="dxa"/>
            <w:tcBorders>
              <w:top w:val="nil"/>
              <w:left w:val="nil"/>
              <w:bottom w:val="single" w:color="auto" w:sz="4" w:space="0"/>
              <w:right w:val="single" w:color="auto" w:sz="4" w:space="0"/>
            </w:tcBorders>
            <w:shd w:val="clear" w:color="000000" w:fill="FFFFFF"/>
            <w:vAlign w:val="center"/>
          </w:tcPr>
          <w:p w14:paraId="4AEFFCC9">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只</w:t>
            </w:r>
          </w:p>
        </w:tc>
        <w:tc>
          <w:tcPr>
            <w:tcW w:w="567" w:type="dxa"/>
            <w:tcBorders>
              <w:top w:val="nil"/>
              <w:left w:val="nil"/>
              <w:bottom w:val="single" w:color="auto" w:sz="4" w:space="0"/>
              <w:right w:val="single" w:color="auto" w:sz="4" w:space="0"/>
            </w:tcBorders>
            <w:shd w:val="clear" w:color="000000" w:fill="FFFFFF"/>
            <w:vAlign w:val="center"/>
          </w:tcPr>
          <w:p w14:paraId="49FEBD03">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3DF4DF84">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7585DDCB">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62E0E0C2">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(含拆除旧的，焊接新的)</w:t>
            </w:r>
          </w:p>
        </w:tc>
      </w:tr>
      <w:tr w14:paraId="10FA91C7">
        <w:tblPrEx>
          <w:tblCellMar>
            <w:top w:w="0" w:type="dxa"/>
            <w:left w:w="108" w:type="dxa"/>
            <w:bottom w:w="0" w:type="dxa"/>
            <w:right w:w="108" w:type="dxa"/>
          </w:tblCellMar>
        </w:tblPrEx>
        <w:trPr>
          <w:trHeight w:val="96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0A71CA02">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3</w:t>
            </w:r>
          </w:p>
        </w:tc>
        <w:tc>
          <w:tcPr>
            <w:tcW w:w="1701" w:type="dxa"/>
            <w:tcBorders>
              <w:top w:val="nil"/>
              <w:left w:val="nil"/>
              <w:bottom w:val="single" w:color="auto" w:sz="4" w:space="0"/>
              <w:right w:val="single" w:color="auto" w:sz="4" w:space="0"/>
            </w:tcBorders>
            <w:shd w:val="clear" w:color="000000" w:fill="FFFFFF"/>
            <w:vAlign w:val="center"/>
          </w:tcPr>
          <w:p w14:paraId="4CD83F95">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管道安装</w:t>
            </w:r>
          </w:p>
        </w:tc>
        <w:tc>
          <w:tcPr>
            <w:tcW w:w="2693" w:type="dxa"/>
            <w:tcBorders>
              <w:top w:val="nil"/>
              <w:left w:val="nil"/>
              <w:bottom w:val="single" w:color="auto" w:sz="4" w:space="0"/>
              <w:right w:val="single" w:color="auto" w:sz="4" w:space="0"/>
            </w:tcBorders>
            <w:shd w:val="clear" w:color="000000" w:fill="FFFFFF"/>
          </w:tcPr>
          <w:p w14:paraId="2D2B8AE9">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安装合金管子φ60mm*3.5mm材质：12Cr1MoG，长20m（含弯头5个，减压阀1只及配套的法兰盘、紧固件）</w:t>
            </w:r>
          </w:p>
        </w:tc>
        <w:tc>
          <w:tcPr>
            <w:tcW w:w="567" w:type="dxa"/>
            <w:tcBorders>
              <w:top w:val="nil"/>
              <w:left w:val="nil"/>
              <w:bottom w:val="single" w:color="auto" w:sz="4" w:space="0"/>
              <w:right w:val="single" w:color="auto" w:sz="4" w:space="0"/>
            </w:tcBorders>
            <w:shd w:val="clear" w:color="000000" w:fill="FFFFFF"/>
            <w:vAlign w:val="center"/>
          </w:tcPr>
          <w:p w14:paraId="15B57C95">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05780676">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4E6E07AE">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2164B875">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4E5646B4">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从过热器排空阀三通管引出管路至吹灰器（含减压阀）</w:t>
            </w:r>
          </w:p>
        </w:tc>
      </w:tr>
      <w:tr w14:paraId="4722B324">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0EB77239">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4</w:t>
            </w:r>
          </w:p>
        </w:tc>
        <w:tc>
          <w:tcPr>
            <w:tcW w:w="1701" w:type="dxa"/>
            <w:tcBorders>
              <w:top w:val="nil"/>
              <w:left w:val="nil"/>
              <w:bottom w:val="single" w:color="auto" w:sz="4" w:space="0"/>
              <w:right w:val="single" w:color="auto" w:sz="4" w:space="0"/>
            </w:tcBorders>
            <w:shd w:val="clear" w:color="000000" w:fill="FFFFFF"/>
            <w:vAlign w:val="center"/>
          </w:tcPr>
          <w:p w14:paraId="3F90D374">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拆除管道</w:t>
            </w:r>
          </w:p>
        </w:tc>
        <w:tc>
          <w:tcPr>
            <w:tcW w:w="2693" w:type="dxa"/>
            <w:tcBorders>
              <w:top w:val="nil"/>
              <w:left w:val="nil"/>
              <w:bottom w:val="single" w:color="auto" w:sz="4" w:space="0"/>
              <w:right w:val="single" w:color="auto" w:sz="4" w:space="0"/>
            </w:tcBorders>
            <w:shd w:val="clear" w:color="000000" w:fill="FFFFFF"/>
          </w:tcPr>
          <w:p w14:paraId="73394C5F">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拆除管子φ60mm，长6m（含保温层拆除清理），法兰盲板封堵</w:t>
            </w:r>
          </w:p>
        </w:tc>
        <w:tc>
          <w:tcPr>
            <w:tcW w:w="567" w:type="dxa"/>
            <w:tcBorders>
              <w:top w:val="nil"/>
              <w:left w:val="nil"/>
              <w:bottom w:val="single" w:color="auto" w:sz="4" w:space="0"/>
              <w:right w:val="single" w:color="auto" w:sz="4" w:space="0"/>
            </w:tcBorders>
            <w:shd w:val="clear" w:color="000000" w:fill="FFFFFF"/>
            <w:vAlign w:val="center"/>
          </w:tcPr>
          <w:p w14:paraId="5CEA7DD5">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5D5F0A61">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4FE08094">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04FE9B56">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64AF5B7F">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拆除过热器出口（高过）自排空阀三通与减温水管</w:t>
            </w:r>
          </w:p>
        </w:tc>
      </w:tr>
      <w:tr w14:paraId="28A03C10">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72BD1239">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5</w:t>
            </w:r>
          </w:p>
        </w:tc>
        <w:tc>
          <w:tcPr>
            <w:tcW w:w="1701" w:type="dxa"/>
            <w:tcBorders>
              <w:top w:val="nil"/>
              <w:left w:val="nil"/>
              <w:bottom w:val="single" w:color="auto" w:sz="4" w:space="0"/>
              <w:right w:val="single" w:color="auto" w:sz="4" w:space="0"/>
            </w:tcBorders>
            <w:shd w:val="clear" w:color="000000" w:fill="FFFFFF"/>
            <w:vAlign w:val="center"/>
          </w:tcPr>
          <w:p w14:paraId="75D57195">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管道安装</w:t>
            </w:r>
          </w:p>
        </w:tc>
        <w:tc>
          <w:tcPr>
            <w:tcW w:w="2693" w:type="dxa"/>
            <w:tcBorders>
              <w:top w:val="nil"/>
              <w:left w:val="nil"/>
              <w:bottom w:val="single" w:color="auto" w:sz="4" w:space="0"/>
              <w:right w:val="single" w:color="auto" w:sz="4" w:space="0"/>
            </w:tcBorders>
            <w:shd w:val="clear" w:color="000000" w:fill="FFFFFF"/>
          </w:tcPr>
          <w:p w14:paraId="5BF65030">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无缝管子φ32mm*3mm,长15m（含弯头5个）线路现场确定走向</w:t>
            </w:r>
          </w:p>
        </w:tc>
        <w:tc>
          <w:tcPr>
            <w:tcW w:w="567" w:type="dxa"/>
            <w:tcBorders>
              <w:top w:val="nil"/>
              <w:left w:val="nil"/>
              <w:bottom w:val="single" w:color="auto" w:sz="4" w:space="0"/>
              <w:right w:val="single" w:color="auto" w:sz="4" w:space="0"/>
            </w:tcBorders>
            <w:shd w:val="clear" w:color="000000" w:fill="FFFFFF"/>
            <w:vAlign w:val="center"/>
          </w:tcPr>
          <w:p w14:paraId="4C1FF248">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1A037027">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33E295CB">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7944BB15">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1D036DAF">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安全阀疏水管接至室外</w:t>
            </w:r>
          </w:p>
        </w:tc>
      </w:tr>
      <w:tr w14:paraId="1A864FFA">
        <w:tblPrEx>
          <w:tblCellMar>
            <w:top w:w="0" w:type="dxa"/>
            <w:left w:w="108" w:type="dxa"/>
            <w:bottom w:w="0" w:type="dxa"/>
            <w:right w:w="108" w:type="dxa"/>
          </w:tblCellMar>
        </w:tblPrEx>
        <w:trPr>
          <w:trHeight w:val="972"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17860A6A">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6</w:t>
            </w:r>
          </w:p>
        </w:tc>
        <w:tc>
          <w:tcPr>
            <w:tcW w:w="1701" w:type="dxa"/>
            <w:tcBorders>
              <w:top w:val="nil"/>
              <w:left w:val="nil"/>
              <w:bottom w:val="single" w:color="auto" w:sz="4" w:space="0"/>
              <w:right w:val="single" w:color="auto" w:sz="4" w:space="0"/>
            </w:tcBorders>
            <w:shd w:val="clear" w:color="000000" w:fill="FFFFFF"/>
            <w:vAlign w:val="center"/>
          </w:tcPr>
          <w:p w14:paraId="49D7A008">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阀门安装</w:t>
            </w:r>
          </w:p>
        </w:tc>
        <w:tc>
          <w:tcPr>
            <w:tcW w:w="2693" w:type="dxa"/>
            <w:tcBorders>
              <w:top w:val="nil"/>
              <w:left w:val="nil"/>
              <w:bottom w:val="single" w:color="auto" w:sz="4" w:space="0"/>
              <w:right w:val="single" w:color="auto" w:sz="4" w:space="0"/>
            </w:tcBorders>
            <w:shd w:val="clear" w:color="000000" w:fill="FFFFFF"/>
          </w:tcPr>
          <w:p w14:paraId="33CE5146">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压力表阀：J19W-160P,M20mm*1.5mm,（缓冲管、压力表:满足压力10MPa,温度500℃）</w:t>
            </w:r>
          </w:p>
        </w:tc>
        <w:tc>
          <w:tcPr>
            <w:tcW w:w="567" w:type="dxa"/>
            <w:tcBorders>
              <w:top w:val="nil"/>
              <w:left w:val="nil"/>
              <w:bottom w:val="single" w:color="auto" w:sz="4" w:space="0"/>
              <w:right w:val="single" w:color="auto" w:sz="4" w:space="0"/>
            </w:tcBorders>
            <w:shd w:val="clear" w:color="000000" w:fill="FFFFFF"/>
            <w:vAlign w:val="center"/>
          </w:tcPr>
          <w:p w14:paraId="727064D1">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组</w:t>
            </w:r>
          </w:p>
        </w:tc>
        <w:tc>
          <w:tcPr>
            <w:tcW w:w="567" w:type="dxa"/>
            <w:tcBorders>
              <w:top w:val="nil"/>
              <w:left w:val="nil"/>
              <w:bottom w:val="single" w:color="auto" w:sz="4" w:space="0"/>
              <w:right w:val="single" w:color="auto" w:sz="4" w:space="0"/>
            </w:tcBorders>
            <w:shd w:val="clear" w:color="000000" w:fill="FFFFFF"/>
            <w:vAlign w:val="center"/>
          </w:tcPr>
          <w:p w14:paraId="284100CF">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8</w:t>
            </w:r>
          </w:p>
        </w:tc>
        <w:tc>
          <w:tcPr>
            <w:tcW w:w="851" w:type="dxa"/>
            <w:tcBorders>
              <w:top w:val="nil"/>
              <w:left w:val="nil"/>
              <w:bottom w:val="single" w:color="auto" w:sz="4" w:space="0"/>
              <w:right w:val="single" w:color="auto" w:sz="4" w:space="0"/>
            </w:tcBorders>
            <w:shd w:val="clear" w:color="000000" w:fill="FFFFFF"/>
            <w:vAlign w:val="center"/>
          </w:tcPr>
          <w:p w14:paraId="731C143C">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3D9CEB41">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01973CED">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压力表配置三通阀及缓冲管</w:t>
            </w:r>
          </w:p>
        </w:tc>
      </w:tr>
      <w:tr w14:paraId="19919548">
        <w:tblPrEx>
          <w:tblCellMar>
            <w:top w:w="0" w:type="dxa"/>
            <w:left w:w="108" w:type="dxa"/>
            <w:bottom w:w="0" w:type="dxa"/>
            <w:right w:w="108" w:type="dxa"/>
          </w:tblCellMar>
        </w:tblPrEx>
        <w:trPr>
          <w:trHeight w:val="1104"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09DEB278">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7</w:t>
            </w:r>
          </w:p>
        </w:tc>
        <w:tc>
          <w:tcPr>
            <w:tcW w:w="1701" w:type="dxa"/>
            <w:tcBorders>
              <w:top w:val="nil"/>
              <w:left w:val="nil"/>
              <w:bottom w:val="single" w:color="auto" w:sz="4" w:space="0"/>
              <w:right w:val="single" w:color="auto" w:sz="4" w:space="0"/>
            </w:tcBorders>
            <w:shd w:val="clear" w:color="000000" w:fill="FFFFFF"/>
            <w:vAlign w:val="center"/>
          </w:tcPr>
          <w:p w14:paraId="4BE6D816">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主蒸汽阀加装旁路阀及支撑架</w:t>
            </w:r>
          </w:p>
        </w:tc>
        <w:tc>
          <w:tcPr>
            <w:tcW w:w="2693" w:type="dxa"/>
            <w:tcBorders>
              <w:top w:val="nil"/>
              <w:left w:val="nil"/>
              <w:bottom w:val="single" w:color="auto" w:sz="4" w:space="0"/>
              <w:right w:val="single" w:color="auto" w:sz="4" w:space="0"/>
            </w:tcBorders>
            <w:shd w:val="clear" w:color="000000" w:fill="FFFFFF"/>
          </w:tcPr>
          <w:p w14:paraId="118C5465">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合金15CrMo管子：φ32mm*3mm，10m;阀门J41Y-PN10 DN32 2只（含配套弯头4个、法兰盘、紧固件等）</w:t>
            </w:r>
          </w:p>
        </w:tc>
        <w:tc>
          <w:tcPr>
            <w:tcW w:w="567" w:type="dxa"/>
            <w:tcBorders>
              <w:top w:val="nil"/>
              <w:left w:val="nil"/>
              <w:bottom w:val="single" w:color="auto" w:sz="4" w:space="0"/>
              <w:right w:val="single" w:color="auto" w:sz="4" w:space="0"/>
            </w:tcBorders>
            <w:shd w:val="clear" w:color="000000" w:fill="FFFFFF"/>
            <w:vAlign w:val="center"/>
          </w:tcPr>
          <w:p w14:paraId="514CB26C">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65675FFD">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0E0BB2FA">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78F69B52">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5F44EF1C">
            <w:pPr>
              <w:spacing w:after="0" w:line="240" w:lineRule="auto"/>
              <w:jc w:val="both"/>
              <w:rPr>
                <w:rFonts w:hint="eastAsia" w:ascii="仿宋_GB2312" w:hAnsi="仿宋_GB2312" w:eastAsia="仿宋_GB2312" w:cs="仿宋_GB2312"/>
                <w:color w:val="000000" w:themeColor="text1"/>
                <w:sz w:val="24"/>
                <w:szCs w:val="24"/>
              </w:rPr>
            </w:pPr>
          </w:p>
        </w:tc>
      </w:tr>
      <w:tr w14:paraId="633297B0">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16EF3ED7">
            <w:pPr>
              <w:spacing w:after="0" w:line="240" w:lineRule="auto"/>
              <w:jc w:val="center"/>
              <w:rPr>
                <w:rFonts w:hint="eastAsia" w:ascii="仿宋_GB2312" w:hAnsi="仿宋_GB2312" w:eastAsia="仿宋_GB2312" w:cs="仿宋_GB2312"/>
                <w:color w:val="000000" w:themeColor="text1"/>
                <w:sz w:val="24"/>
                <w:szCs w:val="24"/>
              </w:rPr>
            </w:pPr>
          </w:p>
          <w:p w14:paraId="63FA632F">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8</w:t>
            </w:r>
          </w:p>
        </w:tc>
        <w:tc>
          <w:tcPr>
            <w:tcW w:w="1701" w:type="dxa"/>
            <w:tcBorders>
              <w:top w:val="nil"/>
              <w:left w:val="nil"/>
              <w:bottom w:val="single" w:color="auto" w:sz="4" w:space="0"/>
              <w:right w:val="single" w:color="auto" w:sz="4" w:space="0"/>
            </w:tcBorders>
            <w:shd w:val="clear" w:color="000000" w:fill="FFFFFF"/>
            <w:vAlign w:val="center"/>
          </w:tcPr>
          <w:p w14:paraId="7A8B9C84">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炉墙修复</w:t>
            </w:r>
          </w:p>
        </w:tc>
        <w:tc>
          <w:tcPr>
            <w:tcW w:w="2693" w:type="dxa"/>
            <w:tcBorders>
              <w:top w:val="nil"/>
              <w:left w:val="nil"/>
              <w:bottom w:val="single" w:color="auto" w:sz="4" w:space="0"/>
              <w:right w:val="single" w:color="auto" w:sz="4" w:space="0"/>
            </w:tcBorders>
            <w:shd w:val="clear" w:color="000000" w:fill="FFFFFF"/>
          </w:tcPr>
          <w:p w14:paraId="68B2AFB2">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1.炉膛后拱：拆除高1.3m*宽4.5m;重新浇筑后拱：高1.3m*宽4.5m;（含耐烧钢筋网φ6mm段）；</w:t>
            </w:r>
          </w:p>
        </w:tc>
        <w:tc>
          <w:tcPr>
            <w:tcW w:w="567" w:type="dxa"/>
            <w:tcBorders>
              <w:top w:val="nil"/>
              <w:left w:val="nil"/>
              <w:bottom w:val="single" w:color="auto" w:sz="4" w:space="0"/>
              <w:right w:val="single" w:color="auto" w:sz="4" w:space="0"/>
            </w:tcBorders>
            <w:shd w:val="clear" w:color="000000" w:fill="FFFFFF"/>
            <w:vAlign w:val="center"/>
          </w:tcPr>
          <w:p w14:paraId="77CD5EDD">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19035D2F">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4456FDD7">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3C6E9265">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3BDB842B">
            <w:pPr>
              <w:spacing w:after="0" w:line="240" w:lineRule="auto"/>
              <w:jc w:val="both"/>
              <w:rPr>
                <w:rFonts w:hint="eastAsia" w:ascii="仿宋_GB2312" w:hAnsi="仿宋_GB2312" w:eastAsia="仿宋_GB2312" w:cs="仿宋_GB2312"/>
                <w:color w:val="000000" w:themeColor="text1"/>
                <w:sz w:val="24"/>
                <w:szCs w:val="24"/>
              </w:rPr>
            </w:pPr>
          </w:p>
        </w:tc>
      </w:tr>
      <w:tr w14:paraId="35770080">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0C4D611F">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9</w:t>
            </w:r>
          </w:p>
        </w:tc>
        <w:tc>
          <w:tcPr>
            <w:tcW w:w="1701" w:type="dxa"/>
            <w:tcBorders>
              <w:top w:val="nil"/>
              <w:left w:val="nil"/>
              <w:bottom w:val="single" w:color="auto" w:sz="4" w:space="0"/>
              <w:right w:val="single" w:color="auto" w:sz="4" w:space="0"/>
            </w:tcBorders>
            <w:shd w:val="clear" w:color="000000" w:fill="FFFFFF"/>
            <w:vAlign w:val="center"/>
          </w:tcPr>
          <w:p w14:paraId="380D82D8">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安全阀管道改造</w:t>
            </w:r>
          </w:p>
        </w:tc>
        <w:tc>
          <w:tcPr>
            <w:tcW w:w="2693" w:type="dxa"/>
            <w:tcBorders>
              <w:top w:val="nil"/>
              <w:left w:val="nil"/>
              <w:bottom w:val="single" w:color="auto" w:sz="4" w:space="0"/>
              <w:right w:val="single" w:color="auto" w:sz="4" w:space="0"/>
            </w:tcBorders>
            <w:shd w:val="clear" w:color="000000" w:fill="FFFFFF"/>
            <w:vAlign w:val="center"/>
          </w:tcPr>
          <w:p w14:paraId="5B0436E6">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现场确定</w:t>
            </w:r>
          </w:p>
        </w:tc>
        <w:tc>
          <w:tcPr>
            <w:tcW w:w="567" w:type="dxa"/>
            <w:tcBorders>
              <w:top w:val="nil"/>
              <w:left w:val="nil"/>
              <w:bottom w:val="single" w:color="auto" w:sz="4" w:space="0"/>
              <w:right w:val="single" w:color="auto" w:sz="4" w:space="0"/>
            </w:tcBorders>
            <w:shd w:val="clear" w:color="000000" w:fill="FFFFFF"/>
            <w:vAlign w:val="center"/>
          </w:tcPr>
          <w:p w14:paraId="4A8DA92F">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1B393DCE">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63B21CD4">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728C54F9">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30DB07BE">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安全阀法兰管座割短降低安全阀高度，安全阀排汽管加装弯头以让出通道</w:t>
            </w:r>
          </w:p>
        </w:tc>
      </w:tr>
      <w:tr w14:paraId="742BE0E4">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7449DA47">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10</w:t>
            </w:r>
          </w:p>
        </w:tc>
        <w:tc>
          <w:tcPr>
            <w:tcW w:w="1701" w:type="dxa"/>
            <w:tcBorders>
              <w:top w:val="nil"/>
              <w:left w:val="nil"/>
              <w:bottom w:val="single" w:color="auto" w:sz="4" w:space="0"/>
              <w:right w:val="single" w:color="auto" w:sz="4" w:space="0"/>
            </w:tcBorders>
            <w:shd w:val="clear" w:color="000000" w:fill="FFFFFF"/>
            <w:vAlign w:val="center"/>
          </w:tcPr>
          <w:p w14:paraId="270430D5">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4#炉排底风室右边铁板更换</w:t>
            </w:r>
          </w:p>
        </w:tc>
        <w:tc>
          <w:tcPr>
            <w:tcW w:w="2693" w:type="dxa"/>
            <w:tcBorders>
              <w:top w:val="nil"/>
              <w:left w:val="nil"/>
              <w:bottom w:val="single" w:color="auto" w:sz="4" w:space="0"/>
              <w:right w:val="single" w:color="auto" w:sz="4" w:space="0"/>
            </w:tcBorders>
            <w:shd w:val="clear" w:color="000000" w:fill="FFFFFF"/>
            <w:vAlign w:val="center"/>
          </w:tcPr>
          <w:p w14:paraId="2DD22F39">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铁板：材质Q235，长4m*宽0.48m*厚6mm(拆除破损的，更换焊接)</w:t>
            </w:r>
          </w:p>
        </w:tc>
        <w:tc>
          <w:tcPr>
            <w:tcW w:w="567" w:type="dxa"/>
            <w:tcBorders>
              <w:top w:val="nil"/>
              <w:left w:val="nil"/>
              <w:bottom w:val="single" w:color="auto" w:sz="4" w:space="0"/>
              <w:right w:val="single" w:color="auto" w:sz="4" w:space="0"/>
            </w:tcBorders>
            <w:shd w:val="clear" w:color="000000" w:fill="FFFFFF"/>
            <w:vAlign w:val="center"/>
          </w:tcPr>
          <w:p w14:paraId="6E9863A4">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34FF33CE">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320F1DDA">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4F844FA3">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449F03B8">
            <w:pPr>
              <w:spacing w:after="0" w:line="240" w:lineRule="auto"/>
              <w:jc w:val="both"/>
              <w:rPr>
                <w:rFonts w:hint="eastAsia" w:ascii="仿宋_GB2312" w:hAnsi="仿宋_GB2312" w:eastAsia="仿宋_GB2312" w:cs="仿宋_GB2312"/>
                <w:color w:val="000000" w:themeColor="text1"/>
                <w:sz w:val="24"/>
                <w:szCs w:val="24"/>
              </w:rPr>
            </w:pPr>
          </w:p>
        </w:tc>
      </w:tr>
      <w:tr w14:paraId="720B6735">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197EAFB2">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二</w:t>
            </w:r>
          </w:p>
        </w:tc>
        <w:tc>
          <w:tcPr>
            <w:tcW w:w="1701" w:type="dxa"/>
            <w:tcBorders>
              <w:top w:val="nil"/>
              <w:left w:val="nil"/>
              <w:bottom w:val="single" w:color="auto" w:sz="4" w:space="0"/>
              <w:right w:val="single" w:color="auto" w:sz="4" w:space="0"/>
            </w:tcBorders>
            <w:shd w:val="clear" w:color="000000" w:fill="FFFFFF"/>
            <w:vAlign w:val="center"/>
          </w:tcPr>
          <w:p w14:paraId="6387B190">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吹灰器检修平台制作安装</w:t>
            </w:r>
          </w:p>
        </w:tc>
        <w:tc>
          <w:tcPr>
            <w:tcW w:w="2693" w:type="dxa"/>
            <w:tcBorders>
              <w:top w:val="nil"/>
              <w:left w:val="nil"/>
              <w:bottom w:val="single" w:color="auto" w:sz="4" w:space="0"/>
              <w:right w:val="single" w:color="auto" w:sz="4" w:space="0"/>
            </w:tcBorders>
            <w:shd w:val="clear" w:color="000000" w:fill="FFFFFF"/>
          </w:tcPr>
          <w:p w14:paraId="6D71795E">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拆除旧省煤器管平台，制作新平台改成δ=3mm花纹钢板，底部加装槽钢骨架（2.45mx4.5m）</w:t>
            </w:r>
          </w:p>
        </w:tc>
        <w:tc>
          <w:tcPr>
            <w:tcW w:w="567" w:type="dxa"/>
            <w:tcBorders>
              <w:top w:val="nil"/>
              <w:left w:val="nil"/>
              <w:bottom w:val="single" w:color="auto" w:sz="4" w:space="0"/>
              <w:right w:val="single" w:color="auto" w:sz="4" w:space="0"/>
            </w:tcBorders>
            <w:shd w:val="clear" w:color="000000" w:fill="FFFFFF"/>
            <w:vAlign w:val="center"/>
          </w:tcPr>
          <w:p w14:paraId="5C790184">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2DD47573">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4346A625">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6752DFA1">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18D09B73">
            <w:pPr>
              <w:spacing w:after="0" w:line="240" w:lineRule="auto"/>
              <w:jc w:val="both"/>
              <w:rPr>
                <w:rFonts w:hint="eastAsia" w:ascii="仿宋_GB2312" w:hAnsi="仿宋_GB2312" w:eastAsia="仿宋_GB2312" w:cs="仿宋_GB2312"/>
                <w:color w:val="000000" w:themeColor="text1"/>
                <w:sz w:val="24"/>
                <w:szCs w:val="24"/>
              </w:rPr>
            </w:pPr>
          </w:p>
        </w:tc>
      </w:tr>
      <w:tr w14:paraId="588784E6">
        <w:tblPrEx>
          <w:tblCellMar>
            <w:top w:w="0" w:type="dxa"/>
            <w:left w:w="108" w:type="dxa"/>
            <w:bottom w:w="0" w:type="dxa"/>
            <w:right w:w="108" w:type="dxa"/>
          </w:tblCellMar>
        </w:tblPrEx>
        <w:trPr>
          <w:trHeight w:val="2629"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03CFB9E0">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三</w:t>
            </w:r>
          </w:p>
        </w:tc>
        <w:tc>
          <w:tcPr>
            <w:tcW w:w="1701" w:type="dxa"/>
            <w:tcBorders>
              <w:top w:val="nil"/>
              <w:left w:val="nil"/>
              <w:bottom w:val="single" w:color="auto" w:sz="4" w:space="0"/>
              <w:right w:val="single" w:color="auto" w:sz="4" w:space="0"/>
            </w:tcBorders>
            <w:shd w:val="clear" w:color="000000" w:fill="FFFFFF"/>
            <w:vAlign w:val="center"/>
          </w:tcPr>
          <w:p w14:paraId="3FC97897">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汽水取样冷却器</w:t>
            </w:r>
          </w:p>
        </w:tc>
        <w:tc>
          <w:tcPr>
            <w:tcW w:w="2693" w:type="dxa"/>
            <w:tcBorders>
              <w:top w:val="nil"/>
              <w:left w:val="nil"/>
              <w:bottom w:val="single" w:color="auto" w:sz="4" w:space="0"/>
              <w:right w:val="single" w:color="auto" w:sz="4" w:space="0"/>
            </w:tcBorders>
            <w:shd w:val="clear" w:color="000000" w:fill="FFFFFF"/>
          </w:tcPr>
          <w:p w14:paraId="6BA2C0B5">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1.拆除2台旧汽水取样冷却器及配套管路、设备；</w:t>
            </w:r>
          </w:p>
          <w:p w14:paraId="3F6D262E">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2.安装5台汽水取样冷却器：</w:t>
            </w:r>
          </w:p>
          <w:p w14:paraId="498D1AA5">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2.1.配套相应管道及阀门，J41Y-100I截止阀PN100 DN10，数量10套，取样管规格φ16mm*3mm，给水采样管10m，材质20（G B3087）；</w:t>
            </w:r>
          </w:p>
          <w:p w14:paraId="137AC028">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2.2.汽包右侧炉水采样管32m，材质20（G B3087）；汽包左侧炉水采样管23m，材质20（G B3087）；</w:t>
            </w:r>
          </w:p>
          <w:p w14:paraId="2B289BD7">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2.3.过热蒸汽采样管32m，材质15CrMo；</w:t>
            </w:r>
          </w:p>
          <w:p w14:paraId="13BF13FB">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2.4.饱和蒸汽采样管27m，材质15CrMo；</w:t>
            </w:r>
          </w:p>
          <w:p w14:paraId="19BCF079">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2.5.进膨胀器管道φ42mm*3.5mm，长度7m，材质15CrMo。（含冷却水进出水管，汽水取样冷却器支架、水槽制作，配套法兰盘、紧固件）</w:t>
            </w:r>
          </w:p>
        </w:tc>
        <w:tc>
          <w:tcPr>
            <w:tcW w:w="567" w:type="dxa"/>
            <w:tcBorders>
              <w:top w:val="nil"/>
              <w:left w:val="nil"/>
              <w:bottom w:val="single" w:color="auto" w:sz="4" w:space="0"/>
              <w:right w:val="single" w:color="auto" w:sz="4" w:space="0"/>
            </w:tcBorders>
            <w:shd w:val="clear" w:color="000000" w:fill="FFFFFF"/>
            <w:vAlign w:val="center"/>
          </w:tcPr>
          <w:p w14:paraId="048BFB9A">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720B5237">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62988C6D">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496F1173">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6F493D4C">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（给水1台、炉水2台、饱和蒸汽1台、过热蒸汽1台）</w:t>
            </w:r>
          </w:p>
        </w:tc>
      </w:tr>
      <w:tr w14:paraId="5F222433">
        <w:tblPrEx>
          <w:tblCellMar>
            <w:top w:w="0" w:type="dxa"/>
            <w:left w:w="108" w:type="dxa"/>
            <w:bottom w:w="0" w:type="dxa"/>
            <w:right w:w="108" w:type="dxa"/>
          </w:tblCellMar>
        </w:tblPrEx>
        <w:trPr>
          <w:trHeight w:val="114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27F5A62C">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四</w:t>
            </w:r>
          </w:p>
        </w:tc>
        <w:tc>
          <w:tcPr>
            <w:tcW w:w="1701" w:type="dxa"/>
            <w:tcBorders>
              <w:top w:val="nil"/>
              <w:left w:val="nil"/>
              <w:bottom w:val="single" w:color="auto" w:sz="4" w:space="0"/>
              <w:right w:val="single" w:color="auto" w:sz="4" w:space="0"/>
            </w:tcBorders>
            <w:shd w:val="clear" w:color="000000" w:fill="FFFFFF"/>
            <w:vAlign w:val="center"/>
          </w:tcPr>
          <w:p w14:paraId="0745E84D">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左侧泄漏的防焦管焊补</w:t>
            </w:r>
          </w:p>
        </w:tc>
        <w:tc>
          <w:tcPr>
            <w:tcW w:w="2693" w:type="dxa"/>
            <w:tcBorders>
              <w:top w:val="nil"/>
              <w:left w:val="nil"/>
              <w:bottom w:val="single" w:color="auto" w:sz="4" w:space="0"/>
              <w:right w:val="single" w:color="auto" w:sz="4" w:space="0"/>
            </w:tcBorders>
            <w:shd w:val="clear" w:color="000000" w:fill="FFFFFF"/>
            <w:vAlign w:val="center"/>
          </w:tcPr>
          <w:p w14:paraId="2E62BA3B">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1个口</w:t>
            </w:r>
          </w:p>
        </w:tc>
        <w:tc>
          <w:tcPr>
            <w:tcW w:w="567" w:type="dxa"/>
            <w:tcBorders>
              <w:top w:val="nil"/>
              <w:left w:val="nil"/>
              <w:bottom w:val="single" w:color="auto" w:sz="4" w:space="0"/>
              <w:right w:val="single" w:color="auto" w:sz="4" w:space="0"/>
            </w:tcBorders>
            <w:shd w:val="clear" w:color="000000" w:fill="FFFFFF"/>
            <w:vAlign w:val="center"/>
          </w:tcPr>
          <w:p w14:paraId="55C65A95">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3CDEE12F">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55703447">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16850C10">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2B2A92E1">
            <w:pPr>
              <w:spacing w:after="0" w:line="240" w:lineRule="auto"/>
              <w:jc w:val="both"/>
              <w:rPr>
                <w:rFonts w:hint="eastAsia" w:ascii="仿宋_GB2312" w:hAnsi="仿宋_GB2312" w:eastAsia="仿宋_GB2312" w:cs="仿宋_GB2312"/>
                <w:color w:val="000000" w:themeColor="text1"/>
                <w:sz w:val="24"/>
                <w:szCs w:val="24"/>
              </w:rPr>
            </w:pPr>
          </w:p>
        </w:tc>
      </w:tr>
      <w:tr w14:paraId="29A56FF9">
        <w:tblPrEx>
          <w:tblCellMar>
            <w:top w:w="0" w:type="dxa"/>
            <w:left w:w="108" w:type="dxa"/>
            <w:bottom w:w="0" w:type="dxa"/>
            <w:right w:w="108" w:type="dxa"/>
          </w:tblCellMar>
        </w:tblPrEx>
        <w:trPr>
          <w:trHeight w:val="1164"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6DA3F98A">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五</w:t>
            </w:r>
          </w:p>
        </w:tc>
        <w:tc>
          <w:tcPr>
            <w:tcW w:w="1701" w:type="dxa"/>
            <w:tcBorders>
              <w:top w:val="nil"/>
              <w:left w:val="nil"/>
              <w:bottom w:val="single" w:color="auto" w:sz="4" w:space="0"/>
              <w:right w:val="single" w:color="auto" w:sz="4" w:space="0"/>
            </w:tcBorders>
            <w:shd w:val="clear" w:color="000000" w:fill="FFFFFF"/>
          </w:tcPr>
          <w:p w14:paraId="0A7A7C7A">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更换上锅筒连接到连排之间的排污管道（φ27mm*3.5mm）及主管φ42mm*3.5mm</w:t>
            </w:r>
          </w:p>
        </w:tc>
        <w:tc>
          <w:tcPr>
            <w:tcW w:w="2693" w:type="dxa"/>
            <w:tcBorders>
              <w:top w:val="nil"/>
              <w:left w:val="nil"/>
              <w:bottom w:val="single" w:color="auto" w:sz="4" w:space="0"/>
              <w:right w:val="single" w:color="auto" w:sz="4" w:space="0"/>
            </w:tcBorders>
            <w:shd w:val="clear" w:color="000000" w:fill="FFFFFF"/>
          </w:tcPr>
          <w:p w14:paraId="3E69D5C6">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 xml:space="preserve">排污管（DN20）长23m，材质20（G B3087）；主管φ42mm*3.5mm管长6m </w:t>
            </w:r>
          </w:p>
        </w:tc>
        <w:tc>
          <w:tcPr>
            <w:tcW w:w="567" w:type="dxa"/>
            <w:tcBorders>
              <w:top w:val="nil"/>
              <w:left w:val="nil"/>
              <w:bottom w:val="single" w:color="auto" w:sz="4" w:space="0"/>
              <w:right w:val="single" w:color="auto" w:sz="4" w:space="0"/>
            </w:tcBorders>
            <w:shd w:val="clear" w:color="000000" w:fill="FFFFFF"/>
            <w:vAlign w:val="center"/>
          </w:tcPr>
          <w:p w14:paraId="601B93E5">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70DF08C9">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4CDA3272">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07CB3083">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774B00E2">
            <w:pPr>
              <w:spacing w:after="0" w:line="240" w:lineRule="auto"/>
              <w:jc w:val="both"/>
              <w:rPr>
                <w:rFonts w:hint="eastAsia" w:ascii="仿宋_GB2312" w:hAnsi="仿宋_GB2312" w:eastAsia="仿宋_GB2312" w:cs="仿宋_GB2312"/>
                <w:color w:val="000000" w:themeColor="text1"/>
                <w:sz w:val="24"/>
                <w:szCs w:val="24"/>
              </w:rPr>
            </w:pPr>
          </w:p>
        </w:tc>
      </w:tr>
      <w:tr w14:paraId="08B6372F">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2F79B4FE">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六</w:t>
            </w:r>
          </w:p>
        </w:tc>
        <w:tc>
          <w:tcPr>
            <w:tcW w:w="1701" w:type="dxa"/>
            <w:tcBorders>
              <w:top w:val="nil"/>
              <w:left w:val="nil"/>
              <w:bottom w:val="single" w:color="auto" w:sz="4" w:space="0"/>
              <w:right w:val="single" w:color="auto" w:sz="4" w:space="0"/>
            </w:tcBorders>
            <w:shd w:val="clear" w:color="000000" w:fill="FFFFFF"/>
            <w:vAlign w:val="center"/>
          </w:tcPr>
          <w:p w14:paraId="1CEA564F">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空气预热器管更换</w:t>
            </w:r>
          </w:p>
        </w:tc>
        <w:tc>
          <w:tcPr>
            <w:tcW w:w="2693" w:type="dxa"/>
            <w:tcBorders>
              <w:top w:val="nil"/>
              <w:left w:val="nil"/>
              <w:bottom w:val="single" w:color="auto" w:sz="4" w:space="0"/>
              <w:right w:val="single" w:color="auto" w:sz="4" w:space="0"/>
            </w:tcBorders>
            <w:shd w:val="clear" w:color="000000" w:fill="FFFFFF"/>
            <w:vAlign w:val="center"/>
          </w:tcPr>
          <w:p w14:paraId="60006CAC">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（规格：高频焊管φ51mm*2mm，长度3494mm）1678根</w:t>
            </w:r>
          </w:p>
        </w:tc>
        <w:tc>
          <w:tcPr>
            <w:tcW w:w="567" w:type="dxa"/>
            <w:tcBorders>
              <w:top w:val="nil"/>
              <w:left w:val="nil"/>
              <w:bottom w:val="single" w:color="auto" w:sz="4" w:space="0"/>
              <w:right w:val="single" w:color="auto" w:sz="4" w:space="0"/>
            </w:tcBorders>
            <w:shd w:val="clear" w:color="000000" w:fill="FFFFFF"/>
            <w:vAlign w:val="center"/>
          </w:tcPr>
          <w:p w14:paraId="0C9FF141">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764FE15B">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single" w:color="auto" w:sz="4" w:space="0"/>
              <w:bottom w:val="single" w:color="auto" w:sz="4" w:space="0"/>
              <w:right w:val="single" w:color="auto" w:sz="4" w:space="0"/>
            </w:tcBorders>
            <w:shd w:val="clear" w:color="000000" w:fill="FFFFFF"/>
            <w:vAlign w:val="center"/>
          </w:tcPr>
          <w:p w14:paraId="3AFB5E33">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single" w:color="auto" w:sz="4" w:space="0"/>
              <w:bottom w:val="single" w:color="auto" w:sz="4" w:space="0"/>
              <w:right w:val="single" w:color="auto" w:sz="4" w:space="0"/>
            </w:tcBorders>
            <w:shd w:val="clear" w:color="000000" w:fill="FFFFFF"/>
            <w:vAlign w:val="center"/>
          </w:tcPr>
          <w:p w14:paraId="546194B4">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single" w:color="auto" w:sz="4" w:space="0"/>
              <w:bottom w:val="single" w:color="auto" w:sz="4" w:space="0"/>
              <w:right w:val="single" w:color="auto" w:sz="4" w:space="0"/>
            </w:tcBorders>
            <w:shd w:val="clear" w:color="000000" w:fill="FFFFFF"/>
            <w:vAlign w:val="center"/>
          </w:tcPr>
          <w:p w14:paraId="0BF42650">
            <w:pPr>
              <w:spacing w:after="0" w:line="240" w:lineRule="auto"/>
              <w:jc w:val="both"/>
              <w:rPr>
                <w:rFonts w:hint="eastAsia" w:ascii="仿宋_GB2312" w:hAnsi="仿宋_GB2312" w:eastAsia="仿宋_GB2312" w:cs="仿宋_GB2312"/>
                <w:color w:val="000000" w:themeColor="text1"/>
                <w:sz w:val="24"/>
                <w:szCs w:val="24"/>
              </w:rPr>
            </w:pPr>
          </w:p>
        </w:tc>
      </w:tr>
      <w:tr w14:paraId="22D7E368">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73793B36">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61E25441">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拆除原有空气预热器管更换</w:t>
            </w:r>
          </w:p>
        </w:tc>
        <w:tc>
          <w:tcPr>
            <w:tcW w:w="2693" w:type="dxa"/>
            <w:tcBorders>
              <w:top w:val="nil"/>
              <w:left w:val="nil"/>
              <w:bottom w:val="single" w:color="auto" w:sz="4" w:space="0"/>
              <w:right w:val="single" w:color="auto" w:sz="4" w:space="0"/>
            </w:tcBorders>
            <w:shd w:val="clear" w:color="000000" w:fill="FFFFFF"/>
            <w:vAlign w:val="center"/>
          </w:tcPr>
          <w:p w14:paraId="27A33337">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（规格：高频焊管φ51mm*2mm，长度3494mm）1678根（含需要拆除的烟道墙等）</w:t>
            </w:r>
          </w:p>
        </w:tc>
        <w:tc>
          <w:tcPr>
            <w:tcW w:w="567" w:type="dxa"/>
            <w:tcBorders>
              <w:top w:val="nil"/>
              <w:left w:val="nil"/>
              <w:bottom w:val="single" w:color="auto" w:sz="4" w:space="0"/>
              <w:right w:val="single" w:color="auto" w:sz="4" w:space="0"/>
            </w:tcBorders>
            <w:shd w:val="clear" w:color="000000" w:fill="FFFFFF"/>
            <w:vAlign w:val="center"/>
          </w:tcPr>
          <w:p w14:paraId="122D56C2">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08270877">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single" w:color="auto" w:sz="4" w:space="0"/>
              <w:bottom w:val="single" w:color="auto" w:sz="4" w:space="0"/>
              <w:right w:val="single" w:color="auto" w:sz="4" w:space="0"/>
            </w:tcBorders>
            <w:shd w:val="clear" w:color="000000" w:fill="FFFFFF"/>
            <w:vAlign w:val="center"/>
          </w:tcPr>
          <w:p w14:paraId="0D44C2CF">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single" w:color="auto" w:sz="4" w:space="0"/>
              <w:bottom w:val="single" w:color="auto" w:sz="4" w:space="0"/>
              <w:right w:val="single" w:color="auto" w:sz="4" w:space="0"/>
            </w:tcBorders>
            <w:shd w:val="clear" w:color="000000" w:fill="FFFFFF"/>
            <w:vAlign w:val="center"/>
          </w:tcPr>
          <w:p w14:paraId="7099116D">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single" w:color="auto" w:sz="4" w:space="0"/>
              <w:bottom w:val="single" w:color="auto" w:sz="4" w:space="0"/>
              <w:right w:val="single" w:color="auto" w:sz="4" w:space="0"/>
            </w:tcBorders>
            <w:shd w:val="clear" w:color="000000" w:fill="FFFFFF"/>
            <w:vAlign w:val="center"/>
          </w:tcPr>
          <w:p w14:paraId="4C3597F3">
            <w:pPr>
              <w:spacing w:after="0" w:line="240" w:lineRule="auto"/>
              <w:jc w:val="both"/>
              <w:rPr>
                <w:rFonts w:hint="eastAsia" w:ascii="仿宋_GB2312" w:hAnsi="仿宋_GB2312" w:eastAsia="仿宋_GB2312" w:cs="仿宋_GB2312"/>
                <w:color w:val="000000" w:themeColor="text1"/>
                <w:sz w:val="24"/>
                <w:szCs w:val="24"/>
              </w:rPr>
            </w:pPr>
          </w:p>
        </w:tc>
      </w:tr>
      <w:tr w14:paraId="254317C3">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72778263">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2</w:t>
            </w:r>
          </w:p>
        </w:tc>
        <w:tc>
          <w:tcPr>
            <w:tcW w:w="1701" w:type="dxa"/>
            <w:tcBorders>
              <w:top w:val="nil"/>
              <w:left w:val="nil"/>
              <w:bottom w:val="single" w:color="auto" w:sz="4" w:space="0"/>
              <w:right w:val="single" w:color="auto" w:sz="4" w:space="0"/>
            </w:tcBorders>
            <w:shd w:val="clear" w:color="000000" w:fill="FFFFFF"/>
            <w:vAlign w:val="center"/>
          </w:tcPr>
          <w:p w14:paraId="2D3A2A74">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安装空气预热器管</w:t>
            </w:r>
          </w:p>
        </w:tc>
        <w:tc>
          <w:tcPr>
            <w:tcW w:w="2693" w:type="dxa"/>
            <w:tcBorders>
              <w:top w:val="nil"/>
              <w:left w:val="nil"/>
              <w:bottom w:val="single" w:color="auto" w:sz="4" w:space="0"/>
              <w:right w:val="single" w:color="auto" w:sz="4" w:space="0"/>
            </w:tcBorders>
            <w:shd w:val="clear" w:color="000000" w:fill="FFFFFF"/>
            <w:vAlign w:val="center"/>
          </w:tcPr>
          <w:p w14:paraId="37B58453">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（材质：Q235A; 规格：高频焊管φ51mm*2mm，长度3494mm）1678根（含需要恢复的烟道墙等）</w:t>
            </w:r>
          </w:p>
        </w:tc>
        <w:tc>
          <w:tcPr>
            <w:tcW w:w="567" w:type="dxa"/>
            <w:tcBorders>
              <w:top w:val="nil"/>
              <w:left w:val="nil"/>
              <w:bottom w:val="single" w:color="auto" w:sz="4" w:space="0"/>
              <w:right w:val="single" w:color="auto" w:sz="4" w:space="0"/>
            </w:tcBorders>
            <w:shd w:val="clear" w:color="000000" w:fill="FFFFFF"/>
            <w:vAlign w:val="center"/>
          </w:tcPr>
          <w:p w14:paraId="786D63A8">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项</w:t>
            </w:r>
          </w:p>
        </w:tc>
        <w:tc>
          <w:tcPr>
            <w:tcW w:w="567" w:type="dxa"/>
            <w:tcBorders>
              <w:top w:val="nil"/>
              <w:left w:val="nil"/>
              <w:bottom w:val="single" w:color="auto" w:sz="4" w:space="0"/>
              <w:right w:val="single" w:color="auto" w:sz="4" w:space="0"/>
            </w:tcBorders>
            <w:shd w:val="clear" w:color="000000" w:fill="FFFFFF"/>
            <w:vAlign w:val="center"/>
          </w:tcPr>
          <w:p w14:paraId="2B6C105F">
            <w:pPr>
              <w:spacing w:after="0" w:line="240" w:lineRule="auto"/>
              <w:jc w:val="center"/>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1</w:t>
            </w:r>
          </w:p>
        </w:tc>
        <w:tc>
          <w:tcPr>
            <w:tcW w:w="851" w:type="dxa"/>
            <w:tcBorders>
              <w:top w:val="nil"/>
              <w:left w:val="nil"/>
              <w:bottom w:val="single" w:color="auto" w:sz="4" w:space="0"/>
              <w:right w:val="single" w:color="auto" w:sz="4" w:space="0"/>
            </w:tcBorders>
            <w:shd w:val="clear" w:color="000000" w:fill="FFFFFF"/>
            <w:vAlign w:val="center"/>
          </w:tcPr>
          <w:p w14:paraId="2B5DFAD0">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696CBC1D">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7958B62B">
            <w:pPr>
              <w:spacing w:after="0" w:line="240" w:lineRule="auto"/>
              <w:jc w:val="both"/>
              <w:rPr>
                <w:rFonts w:hint="eastAsia" w:ascii="仿宋_GB2312" w:hAnsi="仿宋_GB2312" w:eastAsia="仿宋_GB2312" w:cs="仿宋_GB2312"/>
                <w:color w:val="000000" w:themeColor="text1"/>
                <w:sz w:val="24"/>
                <w:szCs w:val="24"/>
              </w:rPr>
            </w:pPr>
          </w:p>
        </w:tc>
      </w:tr>
      <w:tr w14:paraId="450183D9">
        <w:tblPrEx>
          <w:tblCellMar>
            <w:top w:w="0" w:type="dxa"/>
            <w:left w:w="108" w:type="dxa"/>
            <w:bottom w:w="0" w:type="dxa"/>
            <w:right w:w="108" w:type="dxa"/>
          </w:tblCellMar>
        </w:tblPrEx>
        <w:trPr>
          <w:trHeight w:val="751" w:hRule="atLeast"/>
          <w:jc w:val="center"/>
        </w:trPr>
        <w:tc>
          <w:tcPr>
            <w:tcW w:w="709" w:type="dxa"/>
            <w:tcBorders>
              <w:top w:val="nil"/>
              <w:left w:val="single" w:color="auto" w:sz="4" w:space="0"/>
              <w:bottom w:val="single" w:color="auto" w:sz="4" w:space="0"/>
              <w:right w:val="single" w:color="auto" w:sz="4" w:space="0"/>
            </w:tcBorders>
            <w:shd w:val="clear" w:color="000000" w:fill="FFFFFF"/>
            <w:noWrap/>
            <w:vAlign w:val="center"/>
          </w:tcPr>
          <w:p w14:paraId="7A94F6EA">
            <w:pPr>
              <w:spacing w:after="0" w:line="240" w:lineRule="auto"/>
              <w:jc w:val="center"/>
              <w:rPr>
                <w:rFonts w:hint="eastAsia" w:ascii="仿宋_GB2312" w:hAnsi="仿宋_GB2312" w:eastAsia="仿宋_GB2312" w:cs="仿宋_GB2312"/>
                <w:color w:val="000000" w:themeColor="text1"/>
                <w:sz w:val="24"/>
                <w:szCs w:val="24"/>
              </w:rPr>
            </w:pPr>
          </w:p>
        </w:tc>
        <w:tc>
          <w:tcPr>
            <w:tcW w:w="1701" w:type="dxa"/>
            <w:tcBorders>
              <w:top w:val="nil"/>
              <w:left w:val="nil"/>
              <w:bottom w:val="single" w:color="auto" w:sz="4" w:space="0"/>
              <w:right w:val="single" w:color="auto" w:sz="4" w:space="0"/>
            </w:tcBorders>
            <w:shd w:val="clear" w:color="000000" w:fill="FFFFFF"/>
            <w:vAlign w:val="center"/>
          </w:tcPr>
          <w:p w14:paraId="73BD15D8">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小计</w:t>
            </w:r>
          </w:p>
        </w:tc>
        <w:tc>
          <w:tcPr>
            <w:tcW w:w="2693" w:type="dxa"/>
            <w:tcBorders>
              <w:top w:val="nil"/>
              <w:left w:val="nil"/>
              <w:bottom w:val="single" w:color="auto" w:sz="4" w:space="0"/>
              <w:right w:val="single" w:color="auto" w:sz="4" w:space="0"/>
            </w:tcBorders>
            <w:shd w:val="clear" w:color="000000" w:fill="FFFFFF"/>
            <w:vAlign w:val="center"/>
          </w:tcPr>
          <w:p w14:paraId="72D6B1B5">
            <w:pPr>
              <w:spacing w:after="0" w:line="240" w:lineRule="auto"/>
              <w:jc w:val="both"/>
              <w:rPr>
                <w:rFonts w:hint="eastAsia" w:ascii="仿宋_GB2312" w:hAnsi="仿宋_GB2312" w:eastAsia="仿宋_GB2312" w:cs="仿宋_GB2312"/>
                <w:color w:val="000000" w:themeColor="text1"/>
                <w:sz w:val="24"/>
                <w:szCs w:val="24"/>
              </w:rPr>
            </w:pPr>
          </w:p>
        </w:tc>
        <w:tc>
          <w:tcPr>
            <w:tcW w:w="567" w:type="dxa"/>
            <w:tcBorders>
              <w:top w:val="nil"/>
              <w:left w:val="nil"/>
              <w:bottom w:val="single" w:color="auto" w:sz="4" w:space="0"/>
              <w:right w:val="single" w:color="auto" w:sz="4" w:space="0"/>
            </w:tcBorders>
            <w:shd w:val="clear" w:color="000000" w:fill="FFFFFF"/>
            <w:vAlign w:val="center"/>
          </w:tcPr>
          <w:p w14:paraId="646F4D66">
            <w:pPr>
              <w:spacing w:after="0" w:line="240" w:lineRule="auto"/>
              <w:jc w:val="both"/>
              <w:rPr>
                <w:rFonts w:hint="eastAsia" w:ascii="仿宋_GB2312" w:hAnsi="仿宋_GB2312" w:eastAsia="仿宋_GB2312" w:cs="仿宋_GB2312"/>
                <w:color w:val="000000" w:themeColor="text1"/>
                <w:sz w:val="24"/>
                <w:szCs w:val="24"/>
              </w:rPr>
            </w:pPr>
          </w:p>
        </w:tc>
        <w:tc>
          <w:tcPr>
            <w:tcW w:w="567" w:type="dxa"/>
            <w:tcBorders>
              <w:top w:val="nil"/>
              <w:left w:val="nil"/>
              <w:bottom w:val="single" w:color="auto" w:sz="4" w:space="0"/>
              <w:right w:val="single" w:color="auto" w:sz="4" w:space="0"/>
            </w:tcBorders>
            <w:shd w:val="clear" w:color="000000" w:fill="FFFFFF"/>
            <w:vAlign w:val="center"/>
          </w:tcPr>
          <w:p w14:paraId="7F512E40">
            <w:pPr>
              <w:spacing w:after="0" w:line="240" w:lineRule="auto"/>
              <w:jc w:val="both"/>
              <w:rPr>
                <w:rFonts w:hint="eastAsia" w:ascii="仿宋_GB2312" w:hAnsi="仿宋_GB2312" w:eastAsia="仿宋_GB2312" w:cs="仿宋_GB2312"/>
                <w:color w:val="000000" w:themeColor="text1"/>
                <w:sz w:val="24"/>
                <w:szCs w:val="24"/>
              </w:rPr>
            </w:pPr>
          </w:p>
        </w:tc>
        <w:tc>
          <w:tcPr>
            <w:tcW w:w="851" w:type="dxa"/>
            <w:tcBorders>
              <w:top w:val="nil"/>
              <w:left w:val="nil"/>
              <w:bottom w:val="single" w:color="auto" w:sz="4" w:space="0"/>
              <w:right w:val="single" w:color="auto" w:sz="4" w:space="0"/>
            </w:tcBorders>
            <w:shd w:val="clear" w:color="000000" w:fill="FFFFFF"/>
            <w:vAlign w:val="center"/>
          </w:tcPr>
          <w:p w14:paraId="2B65784F">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7CB75C20">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218D202C">
            <w:pPr>
              <w:spacing w:after="0" w:line="240" w:lineRule="auto"/>
              <w:jc w:val="both"/>
              <w:rPr>
                <w:rFonts w:hint="eastAsia" w:ascii="仿宋_GB2312" w:hAnsi="仿宋_GB2312" w:eastAsia="仿宋_GB2312" w:cs="仿宋_GB2312"/>
                <w:color w:val="000000" w:themeColor="text1"/>
                <w:sz w:val="24"/>
                <w:szCs w:val="24"/>
              </w:rPr>
            </w:pPr>
          </w:p>
        </w:tc>
      </w:tr>
      <w:tr w14:paraId="5A4BE4B5">
        <w:tblPrEx>
          <w:tblCellMar>
            <w:top w:w="0" w:type="dxa"/>
            <w:left w:w="108" w:type="dxa"/>
            <w:bottom w:w="0" w:type="dxa"/>
            <w:right w:w="108" w:type="dxa"/>
          </w:tblCellMar>
        </w:tblPrEx>
        <w:trPr>
          <w:trHeight w:val="780" w:hRule="atLeast"/>
          <w:jc w:val="center"/>
        </w:trPr>
        <w:tc>
          <w:tcPr>
            <w:tcW w:w="709" w:type="dxa"/>
            <w:tcBorders>
              <w:top w:val="nil"/>
              <w:left w:val="single" w:color="auto" w:sz="4" w:space="0"/>
              <w:bottom w:val="single" w:color="auto" w:sz="4" w:space="0"/>
              <w:right w:val="single" w:color="auto" w:sz="4" w:space="0"/>
            </w:tcBorders>
            <w:shd w:val="clear" w:color="000000" w:fill="FFFFFF"/>
            <w:vAlign w:val="center"/>
          </w:tcPr>
          <w:p w14:paraId="47041897">
            <w:pPr>
              <w:spacing w:after="0" w:line="240" w:lineRule="auto"/>
              <w:jc w:val="both"/>
              <w:rPr>
                <w:rFonts w:hint="eastAsia" w:ascii="仿宋_GB2312" w:hAnsi="仿宋_GB2312" w:eastAsia="仿宋_GB2312" w:cs="仿宋_GB2312"/>
                <w:color w:val="000000" w:themeColor="text1"/>
                <w:sz w:val="24"/>
                <w:szCs w:val="24"/>
              </w:rPr>
            </w:pPr>
          </w:p>
        </w:tc>
        <w:tc>
          <w:tcPr>
            <w:tcW w:w="1701" w:type="dxa"/>
            <w:tcBorders>
              <w:top w:val="nil"/>
              <w:left w:val="nil"/>
              <w:bottom w:val="single" w:color="auto" w:sz="4" w:space="0"/>
              <w:right w:val="single" w:color="auto" w:sz="4" w:space="0"/>
            </w:tcBorders>
            <w:shd w:val="clear" w:color="000000" w:fill="FFFFFF"/>
            <w:vAlign w:val="center"/>
          </w:tcPr>
          <w:p w14:paraId="258AF8C2">
            <w:pPr>
              <w:spacing w:after="0" w:line="240" w:lineRule="auto"/>
              <w:jc w:val="both"/>
              <w:rPr>
                <w:rFonts w:hint="eastAsia" w:ascii="仿宋_GB2312" w:hAnsi="仿宋_GB2312" w:eastAsia="仿宋_GB2312" w:cs="仿宋_GB2312"/>
                <w:color w:val="000000" w:themeColor="text1"/>
                <w:sz w:val="24"/>
                <w:szCs w:val="24"/>
              </w:rPr>
            </w:pPr>
            <w:r>
              <w:rPr>
                <w:rFonts w:hint="eastAsia" w:ascii="仿宋_GB2312" w:hAnsi="仿宋_GB2312" w:eastAsia="仿宋_GB2312" w:cs="仿宋_GB2312"/>
                <w:color w:val="000000" w:themeColor="text1"/>
                <w:sz w:val="24"/>
                <w:szCs w:val="24"/>
              </w:rPr>
              <w:t>合计（含税））</w:t>
            </w:r>
          </w:p>
        </w:tc>
        <w:tc>
          <w:tcPr>
            <w:tcW w:w="2693" w:type="dxa"/>
            <w:tcBorders>
              <w:top w:val="nil"/>
              <w:left w:val="nil"/>
              <w:bottom w:val="single" w:color="auto" w:sz="4" w:space="0"/>
              <w:right w:val="single" w:color="auto" w:sz="4" w:space="0"/>
            </w:tcBorders>
            <w:shd w:val="clear" w:color="000000" w:fill="FFFFFF"/>
            <w:vAlign w:val="center"/>
          </w:tcPr>
          <w:p w14:paraId="2E46324B">
            <w:pPr>
              <w:spacing w:after="0" w:line="240" w:lineRule="auto"/>
              <w:jc w:val="both"/>
              <w:rPr>
                <w:rFonts w:hint="eastAsia" w:ascii="仿宋_GB2312" w:hAnsi="仿宋_GB2312" w:eastAsia="仿宋_GB2312" w:cs="仿宋_GB2312"/>
                <w:color w:val="000000" w:themeColor="text1"/>
                <w:sz w:val="24"/>
                <w:szCs w:val="24"/>
              </w:rPr>
            </w:pPr>
          </w:p>
        </w:tc>
        <w:tc>
          <w:tcPr>
            <w:tcW w:w="567" w:type="dxa"/>
            <w:tcBorders>
              <w:top w:val="nil"/>
              <w:left w:val="nil"/>
              <w:bottom w:val="single" w:color="auto" w:sz="4" w:space="0"/>
              <w:right w:val="single" w:color="auto" w:sz="4" w:space="0"/>
            </w:tcBorders>
            <w:shd w:val="clear" w:color="000000" w:fill="FFFFFF"/>
            <w:vAlign w:val="center"/>
          </w:tcPr>
          <w:p w14:paraId="6ACFC44E">
            <w:pPr>
              <w:spacing w:after="0" w:line="240" w:lineRule="auto"/>
              <w:jc w:val="both"/>
              <w:rPr>
                <w:rFonts w:hint="eastAsia" w:ascii="仿宋_GB2312" w:hAnsi="仿宋_GB2312" w:eastAsia="仿宋_GB2312" w:cs="仿宋_GB2312"/>
                <w:color w:val="000000" w:themeColor="text1"/>
                <w:sz w:val="24"/>
                <w:szCs w:val="24"/>
              </w:rPr>
            </w:pPr>
          </w:p>
        </w:tc>
        <w:tc>
          <w:tcPr>
            <w:tcW w:w="567" w:type="dxa"/>
            <w:tcBorders>
              <w:top w:val="nil"/>
              <w:left w:val="nil"/>
              <w:bottom w:val="single" w:color="auto" w:sz="4" w:space="0"/>
              <w:right w:val="single" w:color="auto" w:sz="4" w:space="0"/>
            </w:tcBorders>
            <w:shd w:val="clear" w:color="000000" w:fill="FFFFFF"/>
            <w:vAlign w:val="center"/>
          </w:tcPr>
          <w:p w14:paraId="67AE9603">
            <w:pPr>
              <w:spacing w:after="0" w:line="240" w:lineRule="auto"/>
              <w:jc w:val="both"/>
              <w:rPr>
                <w:rFonts w:hint="eastAsia" w:ascii="仿宋_GB2312" w:hAnsi="仿宋_GB2312" w:eastAsia="仿宋_GB2312" w:cs="仿宋_GB2312"/>
                <w:color w:val="000000" w:themeColor="text1"/>
                <w:sz w:val="24"/>
                <w:szCs w:val="24"/>
              </w:rPr>
            </w:pPr>
          </w:p>
        </w:tc>
        <w:tc>
          <w:tcPr>
            <w:tcW w:w="851" w:type="dxa"/>
            <w:tcBorders>
              <w:top w:val="nil"/>
              <w:left w:val="nil"/>
              <w:bottom w:val="single" w:color="auto" w:sz="4" w:space="0"/>
              <w:right w:val="single" w:color="auto" w:sz="4" w:space="0"/>
            </w:tcBorders>
            <w:shd w:val="clear" w:color="000000" w:fill="FFFFFF"/>
            <w:vAlign w:val="center"/>
          </w:tcPr>
          <w:p w14:paraId="6E2A1460">
            <w:pPr>
              <w:spacing w:after="0" w:line="240" w:lineRule="auto"/>
              <w:jc w:val="both"/>
              <w:rPr>
                <w:rFonts w:hint="eastAsia" w:ascii="仿宋_GB2312" w:hAnsi="仿宋_GB2312" w:eastAsia="仿宋_GB2312" w:cs="仿宋_GB2312"/>
                <w:color w:val="000000" w:themeColor="text1"/>
                <w:sz w:val="24"/>
                <w:szCs w:val="24"/>
              </w:rPr>
            </w:pPr>
          </w:p>
        </w:tc>
        <w:tc>
          <w:tcPr>
            <w:tcW w:w="879" w:type="dxa"/>
            <w:tcBorders>
              <w:top w:val="nil"/>
              <w:left w:val="nil"/>
              <w:bottom w:val="single" w:color="auto" w:sz="4" w:space="0"/>
              <w:right w:val="single" w:color="auto" w:sz="4" w:space="0"/>
            </w:tcBorders>
            <w:shd w:val="clear" w:color="000000" w:fill="FFFFFF"/>
            <w:vAlign w:val="center"/>
          </w:tcPr>
          <w:p w14:paraId="229754CC">
            <w:pPr>
              <w:spacing w:after="0" w:line="240" w:lineRule="auto"/>
              <w:jc w:val="both"/>
              <w:rPr>
                <w:rFonts w:hint="eastAsia" w:ascii="仿宋_GB2312" w:hAnsi="仿宋_GB2312" w:eastAsia="仿宋_GB2312" w:cs="仿宋_GB2312"/>
                <w:color w:val="000000" w:themeColor="text1"/>
                <w:sz w:val="24"/>
                <w:szCs w:val="24"/>
              </w:rPr>
            </w:pPr>
          </w:p>
        </w:tc>
        <w:tc>
          <w:tcPr>
            <w:tcW w:w="1624" w:type="dxa"/>
            <w:tcBorders>
              <w:top w:val="nil"/>
              <w:left w:val="nil"/>
              <w:bottom w:val="single" w:color="auto" w:sz="4" w:space="0"/>
              <w:right w:val="single" w:color="auto" w:sz="4" w:space="0"/>
            </w:tcBorders>
            <w:shd w:val="clear" w:color="000000" w:fill="FFFFFF"/>
            <w:vAlign w:val="center"/>
          </w:tcPr>
          <w:p w14:paraId="2DD7ADA7">
            <w:pPr>
              <w:spacing w:after="0" w:line="240" w:lineRule="auto"/>
              <w:jc w:val="both"/>
              <w:rPr>
                <w:rFonts w:hint="eastAsia" w:ascii="仿宋_GB2312" w:hAnsi="仿宋_GB2312" w:eastAsia="仿宋_GB2312" w:cs="仿宋_GB2312"/>
                <w:color w:val="000000" w:themeColor="text1"/>
                <w:sz w:val="24"/>
                <w:szCs w:val="24"/>
              </w:rPr>
            </w:pPr>
          </w:p>
        </w:tc>
      </w:tr>
    </w:tbl>
    <w:p w14:paraId="29EBE8BD">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outlineLvl w:val="1"/>
        <w:rPr>
          <w:rFonts w:ascii="Times New Roman" w:hAnsi="Times New Roman" w:eastAsia="黑体" w:cs="Times New Roman"/>
          <w:sz w:val="32"/>
          <w:szCs w:val="32"/>
        </w:rPr>
      </w:pPr>
      <w:bookmarkStart w:id="403" w:name="扫描0047"/>
      <w:bookmarkEnd w:id="403"/>
      <w:bookmarkStart w:id="404" w:name="_Toc20229"/>
      <w:r>
        <w:rPr>
          <w:rFonts w:ascii="Times New Roman" w:hAnsi="Times New Roman" w:eastAsia="黑体" w:cs="Times New Roman"/>
          <w:sz w:val="32"/>
          <w:szCs w:val="32"/>
        </w:rPr>
        <w:t>五、项目安全要求</w:t>
      </w:r>
      <w:bookmarkEnd w:id="404"/>
    </w:p>
    <w:p w14:paraId="382BE7F7">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详见中粮</w:t>
      </w:r>
      <w:r>
        <w:rPr>
          <w:rFonts w:ascii="Times New Roman" w:hAnsi="Times New Roman" w:eastAsia="仿宋_GB2312" w:cs="Times New Roman"/>
          <w:sz w:val="32"/>
          <w:szCs w:val="32"/>
          <w:u w:val="single"/>
        </w:rPr>
        <w:t>梁河糖业</w:t>
      </w:r>
      <w:r>
        <w:rPr>
          <w:rFonts w:ascii="Times New Roman" w:hAnsi="Times New Roman" w:eastAsia="仿宋_GB2312" w:cs="Times New Roman"/>
          <w:sz w:val="32"/>
          <w:szCs w:val="32"/>
        </w:rPr>
        <w:t>承包商安全管理协议(施工单位)</w:t>
      </w:r>
    </w:p>
    <w:p w14:paraId="71AB9747">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outlineLvl w:val="1"/>
        <w:rPr>
          <w:rFonts w:ascii="Times New Roman" w:hAnsi="Times New Roman" w:eastAsia="黑体" w:cs="Times New Roman"/>
          <w:b/>
          <w:sz w:val="32"/>
          <w:szCs w:val="32"/>
        </w:rPr>
      </w:pPr>
      <w:bookmarkStart w:id="405" w:name="_Toc19158"/>
      <w:r>
        <w:rPr>
          <w:rFonts w:ascii="Times New Roman" w:hAnsi="Times New Roman" w:eastAsia="黑体" w:cs="Times New Roman"/>
          <w:sz w:val="32"/>
          <w:szCs w:val="32"/>
        </w:rPr>
        <w:t>六、项目制作及安装工程质量要求</w:t>
      </w:r>
      <w:bookmarkEnd w:id="405"/>
    </w:p>
    <w:p w14:paraId="013EAC2D">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详见《中粮安装质量规范》 </w:t>
      </w:r>
    </w:p>
    <w:p w14:paraId="0741245D">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详见《中粮设备制作安装质量规范》</w:t>
      </w:r>
    </w:p>
    <w:p w14:paraId="30DDFC33">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outlineLvl w:val="1"/>
        <w:rPr>
          <w:rFonts w:ascii="Times New Roman" w:hAnsi="Times New Roman" w:eastAsia="黑体" w:cs="Times New Roman"/>
          <w:b/>
          <w:sz w:val="32"/>
          <w:szCs w:val="32"/>
        </w:rPr>
      </w:pPr>
      <w:bookmarkStart w:id="406" w:name="_Toc17881"/>
      <w:r>
        <w:rPr>
          <w:rFonts w:ascii="Times New Roman" w:hAnsi="Times New Roman" w:eastAsia="黑体" w:cs="Times New Roman"/>
          <w:sz w:val="32"/>
          <w:szCs w:val="32"/>
        </w:rPr>
        <w:t>七、项目环保及现场卫生要求</w:t>
      </w:r>
      <w:bookmarkEnd w:id="406"/>
    </w:p>
    <w:p w14:paraId="4E90469E">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详见中粮梁河糖业承包商环保管理协议</w:t>
      </w:r>
    </w:p>
    <w:p w14:paraId="2B8BFCD9">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outlineLvl w:val="1"/>
        <w:rPr>
          <w:rFonts w:ascii="Times New Roman" w:hAnsi="Times New Roman" w:eastAsia="黑体" w:cs="Times New Roman"/>
          <w:b/>
          <w:sz w:val="32"/>
          <w:szCs w:val="32"/>
        </w:rPr>
      </w:pPr>
      <w:bookmarkStart w:id="407" w:name="_Toc14237"/>
      <w:r>
        <w:rPr>
          <w:rFonts w:ascii="Times New Roman" w:hAnsi="Times New Roman" w:eastAsia="黑体" w:cs="Times New Roman"/>
          <w:sz w:val="32"/>
          <w:szCs w:val="32"/>
        </w:rPr>
        <w:t>八、项目施工人员管理要求</w:t>
      </w:r>
      <w:bookmarkEnd w:id="407"/>
    </w:p>
    <w:p w14:paraId="402E7961">
      <w:pPr>
        <w:keepNext w:val="0"/>
        <w:keepLines w:val="0"/>
        <w:pageBreakBefore w:val="0"/>
        <w:widowControl/>
        <w:kinsoku/>
        <w:wordWrap/>
        <w:overflowPunct/>
        <w:topLinePunct w:val="0"/>
        <w:autoSpaceDE/>
        <w:autoSpaceDN/>
        <w:bidi w:val="0"/>
        <w:adjustRightInd/>
        <w:snapToGrid/>
        <w:spacing w:after="0" w:line="56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成交供应商须服从招标方企业内部的各项相关管理制度。</w:t>
      </w:r>
    </w:p>
    <w:p w14:paraId="37BDEEF9">
      <w:pPr>
        <w:pStyle w:val="2"/>
        <w:pBdr>
          <w:bottom w:val="none" w:color="auto" w:sz="0" w:space="0"/>
        </w:pBdr>
        <w:ind w:firstLine="883"/>
        <w:jc w:val="center"/>
        <w:outlineLvl w:val="9"/>
        <w:rPr>
          <w:rFonts w:ascii="Times New Roman" w:hAnsi="Times New Roman" w:eastAsia="黑体" w:cs="Times New Roman"/>
          <w:snapToGrid w:val="0"/>
          <w:color w:val="auto"/>
          <w:sz w:val="32"/>
          <w:szCs w:val="32"/>
        </w:rPr>
      </w:pPr>
    </w:p>
    <w:p w14:paraId="51B56E33">
      <w:pPr>
        <w:pStyle w:val="2"/>
        <w:pBdr>
          <w:bottom w:val="none" w:color="auto" w:sz="0" w:space="0"/>
        </w:pBdr>
        <w:ind w:firstLine="883"/>
        <w:jc w:val="center"/>
        <w:outlineLvl w:val="9"/>
        <w:rPr>
          <w:rFonts w:ascii="Times New Roman" w:hAnsi="Times New Roman" w:eastAsia="黑体" w:cs="Times New Roman"/>
          <w:snapToGrid w:val="0"/>
          <w:color w:val="auto"/>
          <w:sz w:val="32"/>
          <w:szCs w:val="32"/>
        </w:rPr>
      </w:pPr>
    </w:p>
    <w:p w14:paraId="599F00AF">
      <w:pPr>
        <w:pStyle w:val="2"/>
        <w:pBdr>
          <w:bottom w:val="none" w:color="auto" w:sz="0" w:space="0"/>
        </w:pBdr>
        <w:ind w:firstLine="883"/>
        <w:jc w:val="center"/>
        <w:outlineLvl w:val="9"/>
        <w:rPr>
          <w:rFonts w:ascii="Times New Roman" w:hAnsi="Times New Roman" w:eastAsia="黑体" w:cs="Times New Roman"/>
          <w:snapToGrid w:val="0"/>
          <w:color w:val="auto"/>
          <w:sz w:val="32"/>
          <w:szCs w:val="32"/>
        </w:rPr>
      </w:pPr>
    </w:p>
    <w:p w14:paraId="6744BBFC">
      <w:pPr>
        <w:pStyle w:val="2"/>
        <w:pBdr>
          <w:bottom w:val="none" w:color="auto" w:sz="0" w:space="0"/>
        </w:pBdr>
        <w:ind w:firstLine="883"/>
        <w:jc w:val="center"/>
        <w:outlineLvl w:val="9"/>
        <w:rPr>
          <w:rFonts w:ascii="Times New Roman" w:hAnsi="Times New Roman" w:eastAsia="黑体" w:cs="Times New Roman"/>
          <w:snapToGrid w:val="0"/>
          <w:color w:val="auto"/>
          <w:sz w:val="32"/>
          <w:szCs w:val="32"/>
        </w:rPr>
      </w:pPr>
    </w:p>
    <w:p w14:paraId="240CBCD7">
      <w:pPr>
        <w:pStyle w:val="2"/>
        <w:pBdr>
          <w:bottom w:val="none" w:color="auto" w:sz="0" w:space="0"/>
        </w:pBdr>
        <w:ind w:firstLine="883"/>
        <w:jc w:val="center"/>
        <w:outlineLvl w:val="9"/>
        <w:rPr>
          <w:rFonts w:ascii="Times New Roman" w:hAnsi="Times New Roman" w:eastAsia="黑体" w:cs="Times New Roman"/>
          <w:snapToGrid w:val="0"/>
          <w:color w:val="auto"/>
          <w:sz w:val="32"/>
          <w:szCs w:val="32"/>
        </w:rPr>
      </w:pPr>
    </w:p>
    <w:p w14:paraId="6434F29C">
      <w:pPr>
        <w:rPr>
          <w:rFonts w:ascii="Times New Roman" w:hAnsi="Times New Roman" w:eastAsia="黑体" w:cs="Times New Roman"/>
          <w:snapToGrid w:val="0"/>
          <w:color w:val="auto"/>
          <w:sz w:val="32"/>
          <w:szCs w:val="32"/>
        </w:rPr>
      </w:pPr>
    </w:p>
    <w:p w14:paraId="331B0323">
      <w:pPr>
        <w:rPr>
          <w:rFonts w:ascii="Times New Roman" w:hAnsi="Times New Roman" w:eastAsia="黑体" w:cs="Times New Roman"/>
          <w:snapToGrid w:val="0"/>
          <w:color w:val="auto"/>
          <w:sz w:val="32"/>
          <w:szCs w:val="32"/>
        </w:rPr>
      </w:pPr>
    </w:p>
    <w:p w14:paraId="35FF3FAE">
      <w:pPr>
        <w:rPr>
          <w:rFonts w:ascii="Times New Roman" w:hAnsi="Times New Roman" w:eastAsia="黑体" w:cs="Times New Roman"/>
          <w:snapToGrid w:val="0"/>
          <w:color w:val="auto"/>
          <w:sz w:val="32"/>
          <w:szCs w:val="32"/>
        </w:rPr>
      </w:pPr>
    </w:p>
    <w:p w14:paraId="08E2359E">
      <w:pPr>
        <w:rPr>
          <w:rFonts w:ascii="Times New Roman" w:hAnsi="Times New Roman" w:eastAsia="黑体" w:cs="Times New Roman"/>
          <w:snapToGrid w:val="0"/>
          <w:color w:val="auto"/>
          <w:sz w:val="32"/>
          <w:szCs w:val="32"/>
        </w:rPr>
      </w:pPr>
    </w:p>
    <w:p w14:paraId="7A29692D">
      <w:pPr>
        <w:rPr>
          <w:rFonts w:ascii="Times New Roman" w:hAnsi="Times New Roman" w:eastAsia="黑体" w:cs="Times New Roman"/>
          <w:snapToGrid w:val="0"/>
          <w:color w:val="auto"/>
          <w:sz w:val="32"/>
          <w:szCs w:val="32"/>
        </w:rPr>
      </w:pPr>
    </w:p>
    <w:p w14:paraId="422FEB78">
      <w:pPr>
        <w:rPr>
          <w:rFonts w:ascii="Times New Roman" w:hAnsi="Times New Roman" w:eastAsia="黑体" w:cs="Times New Roman"/>
          <w:snapToGrid w:val="0"/>
          <w:color w:val="auto"/>
          <w:sz w:val="32"/>
          <w:szCs w:val="32"/>
        </w:rPr>
      </w:pPr>
    </w:p>
    <w:p w14:paraId="29B9DB31">
      <w:pPr>
        <w:rPr>
          <w:rFonts w:ascii="Times New Roman" w:hAnsi="Times New Roman" w:eastAsia="黑体" w:cs="Times New Roman"/>
          <w:snapToGrid w:val="0"/>
          <w:color w:val="auto"/>
          <w:sz w:val="32"/>
          <w:szCs w:val="32"/>
        </w:rPr>
      </w:pPr>
    </w:p>
    <w:p w14:paraId="5EA16879">
      <w:pPr>
        <w:rPr>
          <w:rFonts w:ascii="Times New Roman" w:hAnsi="Times New Roman" w:eastAsia="黑体" w:cs="Times New Roman"/>
          <w:snapToGrid w:val="0"/>
          <w:color w:val="auto"/>
          <w:sz w:val="32"/>
          <w:szCs w:val="32"/>
        </w:rPr>
      </w:pPr>
    </w:p>
    <w:p w14:paraId="47E5AB97">
      <w:pPr>
        <w:rPr>
          <w:rFonts w:ascii="Times New Roman" w:hAnsi="Times New Roman" w:eastAsia="黑体" w:cs="Times New Roman"/>
          <w:snapToGrid w:val="0"/>
          <w:color w:val="auto"/>
          <w:sz w:val="32"/>
          <w:szCs w:val="32"/>
        </w:rPr>
      </w:pPr>
    </w:p>
    <w:p w14:paraId="3732F0E2">
      <w:pPr>
        <w:rPr>
          <w:rFonts w:ascii="Times New Roman" w:hAnsi="Times New Roman" w:eastAsia="黑体" w:cs="Times New Roman"/>
          <w:snapToGrid w:val="0"/>
          <w:color w:val="auto"/>
          <w:sz w:val="32"/>
          <w:szCs w:val="32"/>
        </w:rPr>
      </w:pPr>
    </w:p>
    <w:p w14:paraId="0028B44C">
      <w:pPr>
        <w:rPr>
          <w:rFonts w:ascii="Times New Roman" w:hAnsi="Times New Roman" w:eastAsia="黑体" w:cs="Times New Roman"/>
          <w:snapToGrid w:val="0"/>
          <w:color w:val="auto"/>
          <w:sz w:val="32"/>
          <w:szCs w:val="32"/>
        </w:rPr>
      </w:pPr>
    </w:p>
    <w:p w14:paraId="5A01DBC7">
      <w:pPr>
        <w:rPr>
          <w:rFonts w:ascii="Times New Roman" w:hAnsi="Times New Roman" w:eastAsia="黑体" w:cs="Times New Roman"/>
          <w:snapToGrid w:val="0"/>
          <w:color w:val="auto"/>
          <w:sz w:val="32"/>
          <w:szCs w:val="32"/>
        </w:rPr>
      </w:pPr>
    </w:p>
    <w:p w14:paraId="232610C4">
      <w:pPr>
        <w:pStyle w:val="2"/>
        <w:pBdr>
          <w:bottom w:val="none" w:color="auto" w:sz="0" w:space="0"/>
        </w:pBdr>
        <w:ind w:firstLine="883"/>
        <w:jc w:val="center"/>
        <w:outlineLvl w:val="9"/>
        <w:rPr>
          <w:rFonts w:ascii="Times New Roman" w:hAnsi="Times New Roman" w:eastAsia="黑体" w:cs="Times New Roman"/>
          <w:snapToGrid w:val="0"/>
          <w:color w:val="auto"/>
          <w:sz w:val="32"/>
          <w:szCs w:val="32"/>
        </w:rPr>
      </w:pPr>
    </w:p>
    <w:p w14:paraId="57D83171">
      <w:pPr>
        <w:rPr>
          <w:rFonts w:ascii="Times New Roman" w:hAnsi="Times New Roman" w:eastAsia="黑体" w:cs="Times New Roman"/>
          <w:snapToGrid w:val="0"/>
          <w:color w:val="auto"/>
          <w:sz w:val="32"/>
          <w:szCs w:val="32"/>
        </w:rPr>
      </w:pPr>
    </w:p>
    <w:p w14:paraId="4C8FC2D4">
      <w:pPr>
        <w:rPr>
          <w:rFonts w:ascii="Times New Roman" w:hAnsi="Times New Roman" w:eastAsia="黑体" w:cs="Times New Roman"/>
          <w:snapToGrid w:val="0"/>
          <w:color w:val="auto"/>
          <w:sz w:val="32"/>
          <w:szCs w:val="32"/>
        </w:rPr>
      </w:pPr>
    </w:p>
    <w:p w14:paraId="6F7724F2">
      <w:pPr>
        <w:rPr>
          <w:rFonts w:ascii="Times New Roman" w:hAnsi="Times New Roman" w:eastAsia="黑体" w:cs="Times New Roman"/>
          <w:snapToGrid w:val="0"/>
          <w:color w:val="auto"/>
          <w:sz w:val="32"/>
          <w:szCs w:val="32"/>
        </w:rPr>
      </w:pPr>
    </w:p>
    <w:p w14:paraId="5B5FFCCB">
      <w:pPr>
        <w:rPr>
          <w:rFonts w:ascii="Times New Roman" w:hAnsi="Times New Roman" w:eastAsia="黑体" w:cs="Times New Roman"/>
          <w:snapToGrid w:val="0"/>
          <w:color w:val="auto"/>
          <w:sz w:val="32"/>
          <w:szCs w:val="32"/>
        </w:rPr>
      </w:pPr>
    </w:p>
    <w:p w14:paraId="51B16BED">
      <w:pPr>
        <w:rPr>
          <w:rFonts w:ascii="Times New Roman" w:hAnsi="Times New Roman" w:eastAsia="黑体" w:cs="Times New Roman"/>
          <w:snapToGrid w:val="0"/>
          <w:color w:val="auto"/>
          <w:sz w:val="32"/>
          <w:szCs w:val="32"/>
        </w:rPr>
      </w:pPr>
    </w:p>
    <w:p w14:paraId="32BDFD5A">
      <w:pPr>
        <w:rPr>
          <w:rFonts w:ascii="Times New Roman" w:hAnsi="Times New Roman" w:eastAsia="黑体" w:cs="Times New Roman"/>
          <w:snapToGrid w:val="0"/>
          <w:color w:val="auto"/>
          <w:sz w:val="32"/>
          <w:szCs w:val="32"/>
        </w:rPr>
      </w:pPr>
    </w:p>
    <w:p w14:paraId="388BA3E7">
      <w:pPr>
        <w:rPr>
          <w:rFonts w:ascii="Times New Roman" w:hAnsi="Times New Roman" w:eastAsia="黑体" w:cs="Times New Roman"/>
          <w:snapToGrid w:val="0"/>
          <w:color w:val="auto"/>
          <w:sz w:val="32"/>
          <w:szCs w:val="32"/>
        </w:rPr>
      </w:pPr>
    </w:p>
    <w:p w14:paraId="51D4C13A">
      <w:pPr>
        <w:rPr>
          <w:rFonts w:ascii="Times New Roman" w:hAnsi="Times New Roman" w:eastAsia="黑体" w:cs="Times New Roman"/>
          <w:snapToGrid w:val="0"/>
          <w:color w:val="auto"/>
          <w:sz w:val="32"/>
          <w:szCs w:val="32"/>
        </w:rPr>
      </w:pPr>
    </w:p>
    <w:p w14:paraId="512BAFF4">
      <w:pPr>
        <w:rPr>
          <w:rFonts w:ascii="Times New Roman" w:hAnsi="Times New Roman" w:eastAsia="黑体" w:cs="Times New Roman"/>
          <w:snapToGrid w:val="0"/>
          <w:color w:val="auto"/>
          <w:sz w:val="32"/>
          <w:szCs w:val="32"/>
        </w:rPr>
      </w:pPr>
    </w:p>
    <w:p w14:paraId="1AE80460">
      <w:pPr>
        <w:rPr>
          <w:rFonts w:ascii="Times New Roman" w:hAnsi="Times New Roman" w:eastAsia="黑体" w:cs="Times New Roman"/>
          <w:snapToGrid w:val="0"/>
          <w:color w:val="auto"/>
          <w:sz w:val="32"/>
          <w:szCs w:val="32"/>
        </w:rPr>
      </w:pPr>
    </w:p>
    <w:p w14:paraId="5AE50C3A">
      <w:pPr>
        <w:pStyle w:val="2"/>
        <w:pBdr>
          <w:bottom w:val="none" w:color="auto" w:sz="0" w:space="0"/>
        </w:pBdr>
        <w:ind w:firstLine="883"/>
        <w:jc w:val="center"/>
        <w:rPr>
          <w:rFonts w:ascii="Times New Roman" w:hAnsi="Times New Roman" w:eastAsia="黑体" w:cs="Times New Roman"/>
          <w:snapToGrid w:val="0"/>
          <w:color w:val="auto"/>
          <w:sz w:val="32"/>
          <w:szCs w:val="32"/>
        </w:rPr>
      </w:pPr>
      <w:bookmarkStart w:id="408" w:name="_Toc28503"/>
      <w:r>
        <w:rPr>
          <w:rFonts w:ascii="Times New Roman" w:hAnsi="Times New Roman" w:eastAsia="黑体" w:cs="Times New Roman"/>
          <w:snapToGrid w:val="0"/>
          <w:color w:val="auto"/>
          <w:sz w:val="32"/>
          <w:szCs w:val="32"/>
        </w:rPr>
        <w:t>第六章  响应文件格式</w:t>
      </w:r>
      <w:bookmarkEnd w:id="408"/>
    </w:p>
    <w:p w14:paraId="5D631E71">
      <w:pPr>
        <w:rPr>
          <w:rFonts w:ascii="Times New Roman" w:hAnsi="Times New Roman" w:cs="Times New Roman"/>
        </w:rPr>
      </w:pPr>
    </w:p>
    <w:p w14:paraId="3720D8A2">
      <w:pPr>
        <w:rPr>
          <w:rFonts w:ascii="Times New Roman" w:hAnsi="Times New Roman" w:cs="Times New Roman"/>
        </w:rPr>
      </w:pPr>
    </w:p>
    <w:p w14:paraId="4A3B4556">
      <w:pPr>
        <w:rPr>
          <w:rFonts w:ascii="Times New Roman" w:hAnsi="Times New Roman" w:cs="Times New Roman"/>
        </w:rPr>
      </w:pPr>
    </w:p>
    <w:p w14:paraId="02B24871">
      <w:pPr>
        <w:rPr>
          <w:rFonts w:ascii="Times New Roman" w:hAnsi="Times New Roman" w:cs="Times New Roman"/>
        </w:rPr>
      </w:pPr>
    </w:p>
    <w:p w14:paraId="29E2E7DF">
      <w:pPr>
        <w:rPr>
          <w:rFonts w:ascii="Times New Roman" w:hAnsi="Times New Roman" w:cs="Times New Roman"/>
        </w:rPr>
      </w:pPr>
    </w:p>
    <w:p w14:paraId="0CEEEC51">
      <w:pPr>
        <w:rPr>
          <w:rFonts w:ascii="Times New Roman" w:hAnsi="Times New Roman" w:cs="Times New Roman"/>
        </w:rPr>
      </w:pPr>
    </w:p>
    <w:p w14:paraId="1113DFFF">
      <w:pPr>
        <w:rPr>
          <w:rFonts w:ascii="Times New Roman" w:hAnsi="Times New Roman" w:cs="Times New Roman"/>
        </w:rPr>
      </w:pPr>
    </w:p>
    <w:p w14:paraId="3DAE11DA">
      <w:pPr>
        <w:rPr>
          <w:rFonts w:ascii="Times New Roman" w:hAnsi="Times New Roman" w:cs="Times New Roman"/>
        </w:rPr>
      </w:pPr>
    </w:p>
    <w:p w14:paraId="61C1346D">
      <w:pPr>
        <w:rPr>
          <w:rFonts w:ascii="Times New Roman" w:hAnsi="Times New Roman" w:cs="Times New Roman"/>
        </w:rPr>
      </w:pPr>
    </w:p>
    <w:p w14:paraId="4E927DD5">
      <w:pPr>
        <w:rPr>
          <w:rFonts w:ascii="Times New Roman" w:hAnsi="Times New Roman" w:cs="Times New Roman"/>
        </w:rPr>
      </w:pPr>
    </w:p>
    <w:p w14:paraId="1672C0DC">
      <w:pPr>
        <w:rPr>
          <w:rFonts w:ascii="Times New Roman" w:hAnsi="Times New Roman" w:cs="Times New Roman"/>
        </w:rPr>
      </w:pPr>
    </w:p>
    <w:p w14:paraId="2B164E02">
      <w:pPr>
        <w:rPr>
          <w:rFonts w:ascii="Times New Roman" w:hAnsi="Times New Roman" w:cs="Times New Roman"/>
        </w:rPr>
      </w:pPr>
    </w:p>
    <w:p w14:paraId="759147BC">
      <w:pPr>
        <w:rPr>
          <w:rFonts w:ascii="Times New Roman" w:hAnsi="Times New Roman" w:cs="Times New Roman"/>
        </w:rPr>
      </w:pPr>
    </w:p>
    <w:p w14:paraId="68999228">
      <w:pPr>
        <w:rPr>
          <w:rFonts w:ascii="Times New Roman" w:hAnsi="Times New Roman" w:cs="Times New Roman"/>
        </w:rPr>
      </w:pPr>
    </w:p>
    <w:p w14:paraId="64FAB152">
      <w:pPr>
        <w:rPr>
          <w:rFonts w:ascii="Times New Roman" w:hAnsi="Times New Roman" w:cs="Times New Roman"/>
        </w:rPr>
      </w:pPr>
    </w:p>
    <w:p w14:paraId="503C12CD">
      <w:pPr>
        <w:rPr>
          <w:rFonts w:hint="eastAsia" w:ascii="Times New Roman" w:hAnsi="Times New Roman" w:cs="Times New Roman"/>
        </w:rPr>
      </w:pPr>
    </w:p>
    <w:p w14:paraId="4703EFDC">
      <w:pPr>
        <w:spacing w:line="560" w:lineRule="exact"/>
        <w:jc w:val="center"/>
        <w:rPr>
          <w:rFonts w:hint="eastAsia" w:ascii="方正小标宋_GBK" w:hAnsi="方正小标宋_GBK" w:eastAsia="方正小标宋_GBK" w:cs="方正小标宋_GBK"/>
          <w:snapToGrid w:val="0"/>
          <w:sz w:val="44"/>
          <w:szCs w:val="44"/>
          <w:u w:val="none"/>
        </w:rPr>
      </w:pPr>
      <w:bookmarkStart w:id="409" w:name="扫描0048"/>
      <w:bookmarkEnd w:id="409"/>
      <w:r>
        <w:rPr>
          <w:rFonts w:hint="eastAsia" w:ascii="方正小标宋_GBK" w:hAnsi="方正小标宋_GBK" w:eastAsia="方正小标宋_GBK" w:cs="方正小标宋_GBK"/>
          <w:snapToGrid w:val="0"/>
          <w:sz w:val="44"/>
          <w:szCs w:val="44"/>
          <w:u w:val="none"/>
        </w:rPr>
        <w:t>中粮梁河糖业公司设备购置及土建项目-梁河糖业2024年勐养动力车间35t/h锅炉修理项目（项目名称）生产工艺设备采购</w:t>
      </w:r>
    </w:p>
    <w:p w14:paraId="37317F6B">
      <w:pPr>
        <w:rPr>
          <w:rFonts w:ascii="Times New Roman" w:hAnsi="Times New Roman" w:cs="Times New Roman"/>
          <w:snapToGrid w:val="0"/>
        </w:rPr>
      </w:pPr>
    </w:p>
    <w:p w14:paraId="06465D20">
      <w:pPr>
        <w:rPr>
          <w:rFonts w:ascii="Times New Roman" w:hAnsi="Times New Roman" w:cs="Times New Roman"/>
          <w:snapToGrid w:val="0"/>
        </w:rPr>
      </w:pPr>
    </w:p>
    <w:p w14:paraId="1363B8C4">
      <w:pPr>
        <w:rPr>
          <w:rFonts w:ascii="Times New Roman" w:hAnsi="Times New Roman" w:cs="Times New Roman"/>
          <w:snapToGrid w:val="0"/>
        </w:rPr>
      </w:pPr>
    </w:p>
    <w:p w14:paraId="3D49B44B">
      <w:pPr>
        <w:rPr>
          <w:rFonts w:ascii="Times New Roman" w:hAnsi="Times New Roman" w:cs="Times New Roman"/>
          <w:snapToGrid w:val="0"/>
        </w:rPr>
      </w:pPr>
    </w:p>
    <w:p w14:paraId="6683A0EC">
      <w:pPr>
        <w:rPr>
          <w:rFonts w:ascii="Times New Roman" w:hAnsi="Times New Roman" w:cs="Times New Roman"/>
          <w:snapToGrid w:val="0"/>
        </w:rPr>
      </w:pPr>
    </w:p>
    <w:p w14:paraId="7D2E78B6">
      <w:pPr>
        <w:jc w:val="center"/>
        <w:rPr>
          <w:rFonts w:ascii="Times New Roman" w:hAnsi="Times New Roman" w:eastAsia="仿宋_GB2312" w:cs="Times New Roman"/>
          <w:snapToGrid w:val="0"/>
          <w:sz w:val="52"/>
          <w:szCs w:val="52"/>
        </w:rPr>
      </w:pPr>
      <w:r>
        <w:rPr>
          <w:rFonts w:ascii="Times New Roman" w:hAnsi="Times New Roman" w:eastAsia="仿宋_GB2312" w:cs="Times New Roman"/>
          <w:snapToGrid w:val="0"/>
          <w:sz w:val="52"/>
          <w:szCs w:val="52"/>
        </w:rPr>
        <w:t>响应文件</w:t>
      </w:r>
    </w:p>
    <w:p w14:paraId="3EC248D6">
      <w:pPr>
        <w:rPr>
          <w:rFonts w:ascii="Times New Roman" w:hAnsi="Times New Roman" w:cs="Times New Roman"/>
          <w:snapToGrid w:val="0"/>
        </w:rPr>
      </w:pPr>
    </w:p>
    <w:p w14:paraId="7C9E27E3">
      <w:pPr>
        <w:rPr>
          <w:rFonts w:ascii="Times New Roman" w:hAnsi="Times New Roman" w:cs="Times New Roman"/>
          <w:snapToGrid w:val="0"/>
        </w:rPr>
      </w:pPr>
    </w:p>
    <w:p w14:paraId="6C2CB8C9">
      <w:pPr>
        <w:rPr>
          <w:rFonts w:ascii="Times New Roman" w:hAnsi="Times New Roman" w:cs="Times New Roman"/>
          <w:snapToGrid w:val="0"/>
        </w:rPr>
      </w:pPr>
    </w:p>
    <w:p w14:paraId="08B07D88">
      <w:pPr>
        <w:rPr>
          <w:rFonts w:ascii="Times New Roman" w:hAnsi="Times New Roman" w:cs="Times New Roman"/>
          <w:snapToGrid w:val="0"/>
        </w:rPr>
      </w:pPr>
    </w:p>
    <w:p w14:paraId="31985AF5">
      <w:pPr>
        <w:rPr>
          <w:rFonts w:ascii="Times New Roman" w:hAnsi="Times New Roman" w:cs="Times New Roman"/>
          <w:snapToGrid w:val="0"/>
        </w:rPr>
      </w:pPr>
    </w:p>
    <w:p w14:paraId="619F90B1">
      <w:pPr>
        <w:adjustRightInd w:val="0"/>
        <w:snapToGrid w:val="0"/>
        <w:spacing w:line="560" w:lineRule="exact"/>
        <w:ind w:left="2029" w:leftChars="966" w:firstLine="960" w:firstLineChars="300"/>
        <w:rPr>
          <w:rFonts w:ascii="Times New Roman" w:hAnsi="Times New Roman" w:eastAsia="仿宋" w:cs="Times New Roman"/>
          <w:snapToGrid w:val="0"/>
          <w:sz w:val="32"/>
          <w:szCs w:val="32"/>
        </w:rPr>
      </w:pPr>
      <w:bookmarkStart w:id="410" w:name="扫描0049"/>
      <w:bookmarkEnd w:id="410"/>
      <w:r>
        <w:rPr>
          <w:rFonts w:ascii="Times New Roman" w:hAnsi="Times New Roman" w:eastAsia="仿宋" w:cs="Times New Roman"/>
          <w:snapToGrid w:val="0"/>
          <w:sz w:val="32"/>
          <w:szCs w:val="32"/>
        </w:rPr>
        <w:t>供应商：</w:t>
      </w:r>
      <w:r>
        <w:rPr>
          <w:rFonts w:ascii="Times New Roman" w:hAnsi="Times New Roman" w:eastAsia="仿宋" w:cs="Times New Roman"/>
          <w:snapToGrid w:val="0"/>
          <w:sz w:val="32"/>
          <w:szCs w:val="32"/>
          <w:u w:val="single"/>
        </w:rPr>
        <w:t xml:space="preserve">                        </w:t>
      </w:r>
    </w:p>
    <w:p w14:paraId="14CD57D0">
      <w:pPr>
        <w:adjustRightInd w:val="0"/>
        <w:snapToGrid w:val="0"/>
        <w:spacing w:line="560" w:lineRule="exact"/>
        <w:jc w:val="center"/>
        <w:rPr>
          <w:rFonts w:ascii="Times New Roman" w:hAnsi="Times New Roman" w:eastAsia="仿宋" w:cs="Times New Roman"/>
          <w:snapToGrid w:val="0"/>
          <w:sz w:val="24"/>
          <w:szCs w:val="24"/>
        </w:rPr>
      </w:pPr>
    </w:p>
    <w:p w14:paraId="5F58909C">
      <w:pPr>
        <w:adjustRightInd w:val="0"/>
        <w:snapToGrid w:val="0"/>
        <w:spacing w:line="560" w:lineRule="exact"/>
        <w:ind w:left="3247" w:leftChars="1546" w:firstLine="960" w:firstLineChars="300"/>
        <w:rPr>
          <w:rFonts w:ascii="Times New Roman" w:hAnsi="Times New Roman" w:eastAsia="仿宋" w:cs="Times New Roman"/>
          <w:snapToGrid w:val="0"/>
          <w:sz w:val="32"/>
          <w:szCs w:val="32"/>
        </w:rPr>
      </w:pPr>
      <w:r>
        <w:rPr>
          <w:rFonts w:ascii="Times New Roman" w:hAnsi="Times New Roman" w:eastAsia="仿宋" w:cs="Times New Roman"/>
          <w:snapToGrid w:val="0"/>
          <w:sz w:val="32"/>
          <w:szCs w:val="32"/>
          <w:u w:val="single"/>
        </w:rPr>
        <w:t xml:space="preserve">       </w:t>
      </w:r>
      <w:r>
        <w:rPr>
          <w:rFonts w:ascii="Times New Roman" w:hAnsi="Times New Roman" w:eastAsia="仿宋" w:cs="Times New Roman"/>
          <w:snapToGrid w:val="0"/>
          <w:sz w:val="32"/>
          <w:szCs w:val="32"/>
        </w:rPr>
        <w:t>年</w:t>
      </w:r>
      <w:r>
        <w:rPr>
          <w:rFonts w:ascii="Times New Roman" w:hAnsi="Times New Roman" w:eastAsia="仿宋" w:cs="Times New Roman"/>
          <w:snapToGrid w:val="0"/>
          <w:sz w:val="32"/>
          <w:szCs w:val="32"/>
          <w:u w:val="single"/>
        </w:rPr>
        <w:t xml:space="preserve">   </w:t>
      </w:r>
      <w:r>
        <w:rPr>
          <w:rFonts w:ascii="Times New Roman" w:hAnsi="Times New Roman" w:eastAsia="仿宋" w:cs="Times New Roman"/>
          <w:snapToGrid w:val="0"/>
          <w:sz w:val="32"/>
          <w:szCs w:val="32"/>
        </w:rPr>
        <w:t>月</w:t>
      </w:r>
      <w:r>
        <w:rPr>
          <w:rFonts w:ascii="Times New Roman" w:hAnsi="Times New Roman" w:eastAsia="仿宋" w:cs="Times New Roman"/>
          <w:snapToGrid w:val="0"/>
          <w:sz w:val="32"/>
          <w:szCs w:val="32"/>
          <w:u w:val="single"/>
        </w:rPr>
        <w:t xml:space="preserve">   </w:t>
      </w:r>
      <w:r>
        <w:rPr>
          <w:rFonts w:ascii="Times New Roman" w:hAnsi="Times New Roman" w:eastAsia="仿宋" w:cs="Times New Roman"/>
          <w:snapToGrid w:val="0"/>
          <w:sz w:val="32"/>
          <w:szCs w:val="32"/>
        </w:rPr>
        <w:t>日</w:t>
      </w:r>
    </w:p>
    <w:p w14:paraId="1ED38E55">
      <w:pPr>
        <w:rPr>
          <w:rFonts w:hint="eastAsia" w:ascii="Times New Roman" w:hAnsi="Times New Roman" w:cs="Times New Roman"/>
          <w:snapToGrid w:val="0"/>
        </w:rPr>
      </w:pPr>
      <w:r>
        <w:rPr>
          <w:rFonts w:ascii="Times New Roman" w:hAnsi="Times New Roman" w:cs="Times New Roman"/>
          <w:snapToGrid w:val="0"/>
        </w:rPr>
        <w:br w:type="page"/>
      </w:r>
    </w:p>
    <w:p w14:paraId="4EE9DC07">
      <w:pPr>
        <w:jc w:val="center"/>
        <w:rPr>
          <w:rFonts w:ascii="Times New Roman" w:hAnsi="Times New Roman" w:eastAsia="黑体" w:cs="Times New Roman"/>
          <w:snapToGrid w:val="0"/>
          <w:sz w:val="32"/>
          <w:szCs w:val="32"/>
        </w:rPr>
      </w:pPr>
      <w:r>
        <w:rPr>
          <w:rFonts w:ascii="Times New Roman" w:hAnsi="Times New Roman" w:eastAsia="黑体" w:cs="Times New Roman"/>
          <w:snapToGrid w:val="0"/>
          <w:sz w:val="32"/>
          <w:szCs w:val="32"/>
        </w:rPr>
        <w:t>目 录</w:t>
      </w:r>
    </w:p>
    <w:p w14:paraId="40DA60D9">
      <w:pPr>
        <w:rPr>
          <w:rFonts w:ascii="Times New Roman" w:hAnsi="Times New Roman" w:cs="Times New Roman"/>
          <w:snapToGrid w:val="0"/>
        </w:rPr>
      </w:pPr>
    </w:p>
    <w:p w14:paraId="7CAE019A">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一、响应函</w:t>
      </w:r>
    </w:p>
    <w:p w14:paraId="6CD2CDC1">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二、授权委托书（适用于有委托代理人的情况）</w:t>
      </w:r>
    </w:p>
    <w:p w14:paraId="46F86DF4">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三、联合体协议书（适用于供应商组成联合体的情况）</w:t>
      </w:r>
    </w:p>
    <w:p w14:paraId="40ED319E">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四、响应保证金（适用于递交响应保证金的情况）</w:t>
      </w:r>
    </w:p>
    <w:p w14:paraId="12AF6EAE">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五、商务和技术偏差表</w:t>
      </w:r>
    </w:p>
    <w:p w14:paraId="7DF2ECE8">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六、报价表</w:t>
      </w:r>
    </w:p>
    <w:p w14:paraId="369DD8E8">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七、资格审查资料</w:t>
      </w:r>
    </w:p>
    <w:p w14:paraId="30B280B9">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八、响应方案</w:t>
      </w:r>
    </w:p>
    <w:p w14:paraId="18BC5165">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九、其他资料</w:t>
      </w:r>
    </w:p>
    <w:p w14:paraId="328D6D5D">
      <w:pPr>
        <w:rPr>
          <w:rFonts w:hint="eastAsia" w:ascii="Times New Roman" w:hAnsi="Times New Roman" w:cs="Times New Roman"/>
          <w:snapToGrid w:val="0"/>
        </w:rPr>
      </w:pPr>
      <w:bookmarkStart w:id="411" w:name="扫描0050"/>
      <w:bookmarkEnd w:id="411"/>
      <w:r>
        <w:rPr>
          <w:rFonts w:ascii="Times New Roman" w:hAnsi="Times New Roman" w:cs="Times New Roman"/>
          <w:snapToGrid w:val="0"/>
        </w:rPr>
        <w:br w:type="page"/>
      </w:r>
    </w:p>
    <w:p w14:paraId="46E32AD0">
      <w:pPr>
        <w:pStyle w:val="3"/>
        <w:ind w:firstLine="800"/>
        <w:jc w:val="center"/>
        <w:rPr>
          <w:rFonts w:hint="eastAsia" w:ascii="黑体" w:hAnsi="黑体" w:eastAsia="黑体" w:cs="黑体"/>
          <w:snapToGrid w:val="0"/>
          <w:color w:val="auto"/>
          <w:sz w:val="32"/>
          <w:szCs w:val="32"/>
        </w:rPr>
      </w:pPr>
      <w:bookmarkStart w:id="412" w:name="_bookmark17"/>
      <w:bookmarkEnd w:id="412"/>
      <w:bookmarkStart w:id="413" w:name="_Toc16587"/>
      <w:r>
        <w:rPr>
          <w:rFonts w:hint="eastAsia" w:ascii="黑体" w:hAnsi="黑体" w:eastAsia="黑体" w:cs="黑体"/>
          <w:snapToGrid w:val="0"/>
          <w:color w:val="auto"/>
          <w:sz w:val="32"/>
          <w:szCs w:val="32"/>
        </w:rPr>
        <w:t>—、响应函</w:t>
      </w:r>
      <w:bookmarkEnd w:id="413"/>
    </w:p>
    <w:p w14:paraId="10DEBFD8">
      <w:pPr>
        <w:rPr>
          <w:rFonts w:ascii="Times New Roman" w:hAnsi="Times New Roman" w:cs="Times New Roman"/>
          <w:snapToGrid w:val="0"/>
        </w:rPr>
      </w:pPr>
    </w:p>
    <w:p w14:paraId="025A181C">
      <w:pPr>
        <w:rPr>
          <w:rFonts w:ascii="Times New Roman" w:hAnsi="Times New Roman" w:eastAsia="仿宋_GB2312" w:cs="Times New Roman"/>
          <w:snapToGrid w:val="0"/>
          <w:sz w:val="32"/>
          <w:szCs w:val="32"/>
          <w:u w:val="single"/>
        </w:rPr>
      </w:pPr>
      <w:r>
        <w:rPr>
          <w:rFonts w:ascii="Times New Roman" w:hAnsi="Times New Roman" w:eastAsia="仿宋_GB2312" w:cs="Times New Roman"/>
          <w:snapToGrid w:val="0"/>
          <w:sz w:val="32"/>
          <w:szCs w:val="32"/>
        </w:rPr>
        <w:t xml:space="preserve">     </w:t>
      </w:r>
      <w:r>
        <w:rPr>
          <w:rFonts w:hint="default" w:ascii="Times New Roman" w:hAnsi="Times New Roman" w:eastAsia="仿宋_GB2312" w:cs="Times New Roman"/>
          <w:snapToGrid w:val="0"/>
          <w:sz w:val="32"/>
          <w:szCs w:val="32"/>
          <w:lang w:eastAsia="zh-CN"/>
        </w:rPr>
        <w:t>中粮梁河糖业有限公司：</w:t>
      </w:r>
    </w:p>
    <w:p w14:paraId="4998A658">
      <w:pPr>
        <w:pStyle w:val="14"/>
        <w:jc w:val="both"/>
        <w:rPr>
          <w:rFonts w:ascii="Times New Roman" w:hAnsi="Times New Roman" w:cs="Times New Roman"/>
          <w:snapToGrid w:val="0"/>
        </w:rPr>
      </w:pPr>
      <w:r>
        <w:rPr>
          <w:rFonts w:ascii="Times New Roman" w:hAnsi="Times New Roman" w:cs="Times New Roman"/>
          <w:snapToGrid w:val="0"/>
        </w:rPr>
        <w:t>1.我方已仔细研究了</w:t>
      </w:r>
      <w:r>
        <w:rPr>
          <w:rFonts w:hint="eastAsia" w:ascii="Times New Roman" w:hAnsi="Times New Roman" w:eastAsia="仿宋_GB2312" w:cs="Times New Roman"/>
          <w:sz w:val="32"/>
          <w:szCs w:val="32"/>
          <w:u w:val="single"/>
          <w:lang w:val="en-US" w:eastAsia="zh-CN"/>
        </w:rPr>
        <w:t>中粮梁河糖业公司设备购置及土建项目-</w:t>
      </w:r>
      <w:r>
        <w:rPr>
          <w:rFonts w:ascii="Times New Roman" w:hAnsi="Times New Roman" w:cs="Times New Roman"/>
          <w:snapToGrid w:val="0"/>
          <w:u w:val="single"/>
        </w:rPr>
        <w:t>梁河糖业2024年勐养动力车间35t/h锅炉修理项目</w:t>
      </w:r>
      <w:r>
        <w:rPr>
          <w:rFonts w:ascii="Times New Roman" w:hAnsi="Times New Roman" w:cs="Times New Roman"/>
          <w:snapToGrid w:val="0"/>
        </w:rPr>
        <w:t>生产工艺设备采购文件的全部内容，愿意以含税价（综合响应报价）人民币(大写)</w:t>
      </w:r>
      <w:r>
        <w:rPr>
          <w:rFonts w:ascii="Times New Roman" w:hAnsi="Times New Roman" w:cs="Times New Roman"/>
          <w:snapToGrid w:val="0"/>
          <w:u w:val="single"/>
        </w:rPr>
        <w:t xml:space="preserve">                   </w:t>
      </w:r>
      <w:r>
        <w:rPr>
          <w:rFonts w:ascii="Times New Roman" w:hAnsi="Times New Roman" w:cs="Times New Roman"/>
          <w:snapToGrid w:val="0"/>
        </w:rPr>
        <w:t>(¥)</w:t>
      </w:r>
      <w:r>
        <w:rPr>
          <w:rFonts w:ascii="Times New Roman" w:hAnsi="Times New Roman" w:cs="Times New Roman"/>
          <w:snapToGrid w:val="0"/>
          <w:u w:val="single"/>
        </w:rPr>
        <w:t xml:space="preserve">           </w:t>
      </w:r>
      <w:r>
        <w:rPr>
          <w:rFonts w:ascii="Times New Roman" w:hAnsi="Times New Roman" w:cs="Times New Roman"/>
          <w:snapToGrid w:val="0"/>
        </w:rPr>
        <w:t>的报价(其中不含税价为</w:t>
      </w:r>
      <w:r>
        <w:rPr>
          <w:rFonts w:ascii="Times New Roman" w:hAnsi="Times New Roman" w:cs="Times New Roman"/>
          <w:snapToGrid w:val="0"/>
          <w:u w:val="single"/>
        </w:rPr>
        <w:t xml:space="preserve">         </w:t>
      </w:r>
      <w:r>
        <w:rPr>
          <w:rFonts w:ascii="Times New Roman" w:hAnsi="Times New Roman" w:cs="Times New Roman"/>
          <w:snapToGrid w:val="0"/>
        </w:rPr>
        <w:t>，增值税税额为：</w:t>
      </w:r>
      <w:r>
        <w:rPr>
          <w:rFonts w:ascii="Times New Roman" w:hAnsi="Times New Roman" w:cs="Times New Roman"/>
          <w:snapToGrid w:val="0"/>
          <w:u w:val="single"/>
        </w:rPr>
        <w:t xml:space="preserve">           </w:t>
      </w:r>
      <w:r>
        <w:rPr>
          <w:rFonts w:ascii="Times New Roman" w:hAnsi="Times New Roman" w:cs="Times New Roman"/>
          <w:snapToGrid w:val="0"/>
        </w:rPr>
        <w:t>)完成/提供本项目服务，并按合同约定履行义务。</w:t>
      </w:r>
    </w:p>
    <w:p w14:paraId="7139553C">
      <w:pPr>
        <w:pStyle w:val="14"/>
        <w:jc w:val="both"/>
        <w:outlineLvl w:val="1"/>
        <w:rPr>
          <w:rFonts w:ascii="Times New Roman" w:hAnsi="Times New Roman" w:cs="Times New Roman"/>
          <w:snapToGrid w:val="0"/>
        </w:rPr>
      </w:pPr>
      <w:bookmarkStart w:id="414" w:name="_Toc17269"/>
      <w:r>
        <w:rPr>
          <w:rFonts w:ascii="Times New Roman" w:hAnsi="Times New Roman" w:cs="Times New Roman"/>
          <w:snapToGrid w:val="0"/>
        </w:rPr>
        <w:t>2.我方的响应文件包括下列内容：</w:t>
      </w:r>
      <w:bookmarkEnd w:id="414"/>
    </w:p>
    <w:p w14:paraId="785A17E1">
      <w:pPr>
        <w:pStyle w:val="14"/>
        <w:jc w:val="both"/>
        <w:rPr>
          <w:rFonts w:ascii="Times New Roman" w:hAnsi="Times New Roman" w:cs="Times New Roman"/>
          <w:snapToGrid w:val="0"/>
        </w:rPr>
      </w:pPr>
      <w:r>
        <w:rPr>
          <w:rFonts w:ascii="Times New Roman" w:hAnsi="Times New Roman" w:cs="Times New Roman"/>
          <w:snapToGrid w:val="0"/>
        </w:rPr>
        <w:t>（1）响应函；</w:t>
      </w:r>
    </w:p>
    <w:p w14:paraId="5DFACDDB">
      <w:pPr>
        <w:pStyle w:val="14"/>
        <w:jc w:val="both"/>
        <w:rPr>
          <w:rFonts w:ascii="Times New Roman" w:hAnsi="Times New Roman" w:cs="Times New Roman"/>
          <w:snapToGrid w:val="0"/>
        </w:rPr>
      </w:pPr>
      <w:r>
        <w:rPr>
          <w:rFonts w:ascii="Times New Roman" w:hAnsi="Times New Roman" w:cs="Times New Roman"/>
          <w:snapToGrid w:val="0"/>
        </w:rPr>
        <w:t>（2）授权委托书(如有)；</w:t>
      </w:r>
    </w:p>
    <w:p w14:paraId="27BC1DA1">
      <w:pPr>
        <w:pStyle w:val="14"/>
        <w:jc w:val="both"/>
        <w:rPr>
          <w:rFonts w:ascii="Times New Roman" w:hAnsi="Times New Roman" w:cs="Times New Roman"/>
          <w:snapToGrid w:val="0"/>
        </w:rPr>
      </w:pPr>
      <w:r>
        <w:rPr>
          <w:rFonts w:ascii="Times New Roman" w:hAnsi="Times New Roman" w:cs="Times New Roman"/>
          <w:snapToGrid w:val="0"/>
        </w:rPr>
        <w:t>（3）联合体协议书(如有);</w:t>
      </w:r>
    </w:p>
    <w:p w14:paraId="48C20469">
      <w:pPr>
        <w:pStyle w:val="14"/>
        <w:jc w:val="both"/>
        <w:rPr>
          <w:rFonts w:ascii="Times New Roman" w:hAnsi="Times New Roman" w:cs="Times New Roman"/>
          <w:snapToGrid w:val="0"/>
        </w:rPr>
      </w:pPr>
      <w:r>
        <w:rPr>
          <w:rFonts w:ascii="Times New Roman" w:hAnsi="Times New Roman" w:cs="Times New Roman"/>
          <w:snapToGrid w:val="0"/>
        </w:rPr>
        <w:t>（4）响应保证金(如有)；</w:t>
      </w:r>
    </w:p>
    <w:p w14:paraId="246D1248">
      <w:pPr>
        <w:pStyle w:val="14"/>
        <w:jc w:val="both"/>
        <w:rPr>
          <w:rFonts w:ascii="Times New Roman" w:hAnsi="Times New Roman" w:cs="Times New Roman"/>
          <w:snapToGrid w:val="0"/>
        </w:rPr>
      </w:pPr>
      <w:r>
        <w:rPr>
          <w:rFonts w:ascii="Times New Roman" w:hAnsi="Times New Roman" w:cs="Times New Roman"/>
          <w:snapToGrid w:val="0"/>
        </w:rPr>
        <w:t>（5）商务和技术偏差表；</w:t>
      </w:r>
    </w:p>
    <w:p w14:paraId="7F564FEF">
      <w:pPr>
        <w:pStyle w:val="14"/>
        <w:jc w:val="both"/>
        <w:rPr>
          <w:rFonts w:ascii="Times New Roman" w:hAnsi="Times New Roman" w:cs="Times New Roman"/>
          <w:snapToGrid w:val="0"/>
        </w:rPr>
      </w:pPr>
      <w:r>
        <w:rPr>
          <w:rFonts w:ascii="Times New Roman" w:hAnsi="Times New Roman" w:cs="Times New Roman"/>
          <w:snapToGrid w:val="0"/>
        </w:rPr>
        <w:t>（6）报价表；</w:t>
      </w:r>
    </w:p>
    <w:p w14:paraId="76377825">
      <w:pPr>
        <w:pStyle w:val="14"/>
        <w:jc w:val="both"/>
        <w:rPr>
          <w:rFonts w:ascii="Times New Roman" w:hAnsi="Times New Roman" w:cs="Times New Roman"/>
          <w:snapToGrid w:val="0"/>
        </w:rPr>
      </w:pPr>
      <w:r>
        <w:rPr>
          <w:rFonts w:ascii="Times New Roman" w:hAnsi="Times New Roman" w:cs="Times New Roman"/>
          <w:snapToGrid w:val="0"/>
        </w:rPr>
        <w:t>（7）资格审查资料；</w:t>
      </w:r>
    </w:p>
    <w:p w14:paraId="35107675">
      <w:pPr>
        <w:pStyle w:val="14"/>
        <w:jc w:val="both"/>
        <w:rPr>
          <w:rFonts w:ascii="Times New Roman" w:hAnsi="Times New Roman" w:cs="Times New Roman"/>
          <w:snapToGrid w:val="0"/>
        </w:rPr>
      </w:pPr>
      <w:r>
        <w:rPr>
          <w:rFonts w:ascii="Times New Roman" w:hAnsi="Times New Roman" w:cs="Times New Roman"/>
          <w:snapToGrid w:val="0"/>
        </w:rPr>
        <w:t>（8）响应方案；</w:t>
      </w:r>
    </w:p>
    <w:p w14:paraId="2218A93C">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w:t>
      </w:r>
    </w:p>
    <w:p w14:paraId="10492A6D">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响应文件的上述组成部分如存在内容不一致的，以响应函为准。</w:t>
      </w:r>
    </w:p>
    <w:p w14:paraId="4B13E92D">
      <w:pPr>
        <w:pStyle w:val="14"/>
        <w:jc w:val="both"/>
        <w:rPr>
          <w:rFonts w:ascii="Times New Roman" w:hAnsi="Times New Roman" w:cs="Times New Roman"/>
          <w:snapToGrid w:val="0"/>
        </w:rPr>
      </w:pPr>
      <w:r>
        <w:rPr>
          <w:rFonts w:ascii="Times New Roman" w:hAnsi="Times New Roman" w:cs="Times New Roman"/>
          <w:snapToGrid w:val="0"/>
        </w:rPr>
        <w:t>3.我方承诺除商务和技术偏差表列出的偏差外，我方响应采购文件的全部要求。</w:t>
      </w:r>
    </w:p>
    <w:p w14:paraId="6338D84B">
      <w:pPr>
        <w:pStyle w:val="14"/>
        <w:jc w:val="both"/>
        <w:rPr>
          <w:rFonts w:ascii="Times New Roman" w:hAnsi="Times New Roman" w:cs="Times New Roman"/>
          <w:snapToGrid w:val="0"/>
        </w:rPr>
      </w:pPr>
      <w:r>
        <w:rPr>
          <w:rFonts w:ascii="Times New Roman" w:hAnsi="Times New Roman" w:cs="Times New Roman"/>
          <w:snapToGrid w:val="0"/>
        </w:rPr>
        <w:t>4.我方承诺在采购文件规定的响应文件有效期内不撤销响应文件。</w:t>
      </w:r>
    </w:p>
    <w:p w14:paraId="2B8E65E6">
      <w:pPr>
        <w:pStyle w:val="14"/>
        <w:jc w:val="both"/>
        <w:rPr>
          <w:rFonts w:ascii="Times New Roman" w:hAnsi="Times New Roman" w:cs="Times New Roman"/>
          <w:snapToGrid w:val="0"/>
        </w:rPr>
      </w:pPr>
      <w:r>
        <w:rPr>
          <w:rFonts w:ascii="Times New Roman" w:hAnsi="Times New Roman" w:cs="Times New Roman"/>
          <w:snapToGrid w:val="0"/>
        </w:rPr>
        <w:t>5.如我方与贵方达成成交，我方承诺：</w:t>
      </w:r>
    </w:p>
    <w:p w14:paraId="4EE500A9">
      <w:pPr>
        <w:pStyle w:val="14"/>
        <w:jc w:val="both"/>
        <w:rPr>
          <w:rFonts w:ascii="Times New Roman" w:hAnsi="Times New Roman" w:cs="Times New Roman"/>
          <w:snapToGrid w:val="0"/>
        </w:rPr>
      </w:pPr>
      <w:r>
        <w:rPr>
          <w:rFonts w:ascii="Times New Roman" w:hAnsi="Times New Roman" w:cs="Times New Roman"/>
          <w:snapToGrid w:val="0"/>
        </w:rPr>
        <w:t>（1）在收到成交通知书后，在成交通知书规定的期限内与你方签订合同；</w:t>
      </w:r>
    </w:p>
    <w:p w14:paraId="36D12867">
      <w:pPr>
        <w:pStyle w:val="14"/>
        <w:jc w:val="both"/>
        <w:rPr>
          <w:rFonts w:ascii="Times New Roman" w:hAnsi="Times New Roman" w:cs="Times New Roman"/>
          <w:snapToGrid w:val="0"/>
        </w:rPr>
      </w:pPr>
      <w:r>
        <w:rPr>
          <w:rFonts w:ascii="Times New Roman" w:hAnsi="Times New Roman" w:cs="Times New Roman"/>
          <w:snapToGrid w:val="0"/>
        </w:rPr>
        <w:t>（2）在签订合同时不向你方提出附加条件；</w:t>
      </w:r>
    </w:p>
    <w:p w14:paraId="5B891EF9">
      <w:pPr>
        <w:pStyle w:val="14"/>
        <w:jc w:val="both"/>
        <w:rPr>
          <w:rFonts w:ascii="Times New Roman" w:hAnsi="Times New Roman" w:cs="Times New Roman"/>
          <w:snapToGrid w:val="0"/>
        </w:rPr>
      </w:pPr>
      <w:r>
        <w:rPr>
          <w:rFonts w:ascii="Times New Roman" w:hAnsi="Times New Roman" w:cs="Times New Roman"/>
          <w:snapToGrid w:val="0"/>
        </w:rPr>
        <w:t>（3）按照采购文件要求递交履约保证金；</w:t>
      </w:r>
    </w:p>
    <w:p w14:paraId="747B9D0B">
      <w:pPr>
        <w:pStyle w:val="14"/>
        <w:jc w:val="both"/>
        <w:rPr>
          <w:rFonts w:ascii="Times New Roman" w:hAnsi="Times New Roman" w:cs="Times New Roman"/>
          <w:snapToGrid w:val="0"/>
        </w:rPr>
      </w:pPr>
      <w:r>
        <w:rPr>
          <w:rFonts w:ascii="Times New Roman" w:hAnsi="Times New Roman" w:cs="Times New Roman"/>
          <w:snapToGrid w:val="0"/>
        </w:rPr>
        <w:t>在合同约定的期限内完成合同规定的全部义务。</w:t>
      </w:r>
    </w:p>
    <w:p w14:paraId="3BE7E895">
      <w:pPr>
        <w:pStyle w:val="14"/>
        <w:jc w:val="both"/>
        <w:rPr>
          <w:rFonts w:ascii="Times New Roman" w:hAnsi="Times New Roman" w:cs="Times New Roman"/>
          <w:snapToGrid w:val="0"/>
        </w:rPr>
      </w:pPr>
      <w:r>
        <w:rPr>
          <w:rFonts w:ascii="Times New Roman" w:hAnsi="Times New Roman" w:cs="Times New Roman"/>
          <w:snapToGrid w:val="0"/>
        </w:rPr>
        <w:t>6.我方在此声明，所递交的响应文件及有关资料内容完整、真实和准确，且不存在第一章“谈判采购公告/谈判采购邀请书”中规定的供应商不得存在的情形。</w:t>
      </w:r>
    </w:p>
    <w:p w14:paraId="58D0FD21">
      <w:pPr>
        <w:pStyle w:val="14"/>
        <w:jc w:val="both"/>
        <w:rPr>
          <w:rFonts w:ascii="Times New Roman" w:hAnsi="Times New Roman" w:cs="Times New Roman"/>
          <w:snapToGrid w:val="0"/>
        </w:rPr>
      </w:pPr>
      <w:r>
        <w:rPr>
          <w:rFonts w:ascii="Times New Roman" w:hAnsi="Times New Roman" w:cs="Times New Roman"/>
          <w:snapToGrid w:val="0"/>
        </w:rPr>
        <w:t>7.其他补充说明：                      。</w:t>
      </w:r>
    </w:p>
    <w:p w14:paraId="2BFCD434">
      <w:pPr>
        <w:spacing w:after="0" w:line="560" w:lineRule="exact"/>
        <w:ind w:firstLine="640" w:firstLineChars="200"/>
        <w:jc w:val="both"/>
        <w:rPr>
          <w:rFonts w:ascii="Times New Roman" w:hAnsi="Times New Roman" w:eastAsia="仿宋_GB2312" w:cs="Times New Roman"/>
          <w:sz w:val="32"/>
          <w:szCs w:val="32"/>
        </w:rPr>
      </w:pPr>
    </w:p>
    <w:p w14:paraId="13BB5ED4">
      <w:pPr>
        <w:pStyle w:val="14"/>
        <w:rPr>
          <w:rFonts w:ascii="Times New Roman" w:hAnsi="Times New Roman" w:cs="Times New Roman"/>
          <w:snapToGrid w:val="0"/>
        </w:rPr>
      </w:pPr>
      <w:r>
        <w:rPr>
          <w:rFonts w:ascii="Times New Roman" w:hAnsi="Times New Roman" w:cs="Times New Roman"/>
          <w:snapToGrid w:val="0"/>
        </w:rPr>
        <w:t>供 应 商：                                 （盖单位公章)</w:t>
      </w:r>
    </w:p>
    <w:p w14:paraId="4D5E3B56">
      <w:pPr>
        <w:pStyle w:val="14"/>
        <w:rPr>
          <w:rFonts w:ascii="Times New Roman" w:hAnsi="Times New Roman" w:cs="Times New Roman"/>
          <w:snapToGrid w:val="0"/>
          <w:u w:val="single"/>
        </w:rPr>
      </w:pPr>
      <w:r>
        <w:rPr>
          <w:rFonts w:ascii="Times New Roman" w:hAnsi="Times New Roman" w:cs="Times New Roman"/>
          <w:snapToGrid w:val="0"/>
        </w:rPr>
        <w:t>法定代表人(单位负责人)或其授权的代理人</w:t>
      </w:r>
      <w:r>
        <w:rPr>
          <w:rFonts w:ascii="Times New Roman" w:hAnsi="Times New Roman" w:cs="Times New Roman"/>
          <w:snapToGrid w:val="0"/>
          <w:u w:val="single"/>
        </w:rPr>
        <w:t>：        (签字)</w:t>
      </w:r>
    </w:p>
    <w:p w14:paraId="68542A6B">
      <w:pPr>
        <w:pStyle w:val="14"/>
        <w:rPr>
          <w:rFonts w:ascii="Times New Roman" w:hAnsi="Times New Roman" w:cs="Times New Roman"/>
          <w:snapToGrid w:val="0"/>
        </w:rPr>
      </w:pPr>
      <w:r>
        <w:rPr>
          <w:rFonts w:ascii="Times New Roman" w:hAnsi="Times New Roman" w:cs="Times New Roman"/>
          <w:snapToGrid w:val="0"/>
        </w:rPr>
        <w:t>地    址：</w:t>
      </w:r>
      <w:r>
        <w:rPr>
          <w:rFonts w:ascii="Times New Roman" w:hAnsi="Times New Roman" w:cs="Times New Roman"/>
          <w:snapToGrid w:val="0"/>
          <w:u w:val="single"/>
        </w:rPr>
        <w:t xml:space="preserve">                                          </w:t>
      </w:r>
      <w:r>
        <w:rPr>
          <w:rFonts w:ascii="Times New Roman" w:hAnsi="Times New Roman" w:cs="Times New Roman"/>
          <w:snapToGrid w:val="0"/>
        </w:rPr>
        <w:t xml:space="preserve">                                            </w:t>
      </w:r>
    </w:p>
    <w:p w14:paraId="2D1B21A6">
      <w:pPr>
        <w:pStyle w:val="14"/>
        <w:rPr>
          <w:rFonts w:ascii="Times New Roman" w:hAnsi="Times New Roman" w:cs="Times New Roman"/>
          <w:snapToGrid w:val="0"/>
        </w:rPr>
      </w:pPr>
      <w:r>
        <w:rPr>
          <w:rFonts w:ascii="Times New Roman" w:hAnsi="Times New Roman" w:cs="Times New Roman"/>
          <w:snapToGrid w:val="0"/>
        </w:rPr>
        <w:t>电子邮箱：</w:t>
      </w:r>
      <w:r>
        <w:rPr>
          <w:rFonts w:ascii="Times New Roman" w:hAnsi="Times New Roman" w:cs="Times New Roman"/>
          <w:snapToGrid w:val="0"/>
          <w:u w:val="single"/>
        </w:rPr>
        <w:t xml:space="preserve">                                          </w:t>
      </w:r>
      <w:r>
        <w:rPr>
          <w:rFonts w:ascii="Times New Roman" w:hAnsi="Times New Roman" w:cs="Times New Roman"/>
          <w:snapToGrid w:val="0"/>
        </w:rPr>
        <w:t xml:space="preserve">                                            </w:t>
      </w:r>
    </w:p>
    <w:p w14:paraId="56423D4A">
      <w:pPr>
        <w:pStyle w:val="14"/>
        <w:rPr>
          <w:rFonts w:ascii="Times New Roman" w:hAnsi="Times New Roman" w:cs="Times New Roman"/>
          <w:snapToGrid w:val="0"/>
        </w:rPr>
      </w:pPr>
      <w:r>
        <w:rPr>
          <w:rFonts w:ascii="Times New Roman" w:hAnsi="Times New Roman" w:cs="Times New Roman"/>
          <w:snapToGrid w:val="0"/>
        </w:rPr>
        <w:t>电    话：</w:t>
      </w:r>
      <w:r>
        <w:rPr>
          <w:rFonts w:ascii="Times New Roman" w:hAnsi="Times New Roman" w:cs="Times New Roman"/>
          <w:snapToGrid w:val="0"/>
          <w:u w:val="single"/>
        </w:rPr>
        <w:t xml:space="preserve">                                          </w:t>
      </w:r>
      <w:r>
        <w:rPr>
          <w:rFonts w:ascii="Times New Roman" w:hAnsi="Times New Roman" w:cs="Times New Roman"/>
          <w:snapToGrid w:val="0"/>
        </w:rPr>
        <w:t xml:space="preserve">                                            </w:t>
      </w:r>
    </w:p>
    <w:p w14:paraId="1A930E69">
      <w:pPr>
        <w:pStyle w:val="14"/>
        <w:rPr>
          <w:rFonts w:ascii="Times New Roman" w:hAnsi="Times New Roman" w:cs="Times New Roman"/>
          <w:snapToGrid w:val="0"/>
        </w:rPr>
      </w:pPr>
      <w:r>
        <w:rPr>
          <w:rFonts w:ascii="Times New Roman" w:hAnsi="Times New Roman" w:cs="Times New Roman"/>
          <w:snapToGrid w:val="0"/>
        </w:rPr>
        <w:t>传    真：</w:t>
      </w:r>
      <w:r>
        <w:rPr>
          <w:rFonts w:ascii="Times New Roman" w:hAnsi="Times New Roman" w:cs="Times New Roman"/>
          <w:snapToGrid w:val="0"/>
          <w:u w:val="single"/>
        </w:rPr>
        <w:t xml:space="preserve">                                          </w:t>
      </w:r>
      <w:r>
        <w:rPr>
          <w:rFonts w:ascii="Times New Roman" w:hAnsi="Times New Roman" w:cs="Times New Roman"/>
          <w:snapToGrid w:val="0"/>
        </w:rPr>
        <w:t xml:space="preserve">                                           </w:t>
      </w:r>
    </w:p>
    <w:p w14:paraId="0950C84C">
      <w:pPr>
        <w:pStyle w:val="14"/>
        <w:rPr>
          <w:rFonts w:ascii="Times New Roman" w:hAnsi="Times New Roman" w:cs="Times New Roman"/>
          <w:snapToGrid w:val="0"/>
        </w:rPr>
      </w:pPr>
      <w:r>
        <w:rPr>
          <w:rFonts w:ascii="Times New Roman" w:hAnsi="Times New Roman" w:cs="Times New Roman"/>
          <w:snapToGrid w:val="0"/>
        </w:rPr>
        <w:t>邮政编码：</w:t>
      </w:r>
      <w:r>
        <w:rPr>
          <w:rFonts w:ascii="Times New Roman" w:hAnsi="Times New Roman" w:cs="Times New Roman"/>
          <w:snapToGrid w:val="0"/>
          <w:u w:val="single"/>
        </w:rPr>
        <w:t xml:space="preserve">                                          </w:t>
      </w:r>
      <w:r>
        <w:rPr>
          <w:rFonts w:ascii="Times New Roman" w:hAnsi="Times New Roman" w:cs="Times New Roman"/>
          <w:snapToGrid w:val="0"/>
        </w:rPr>
        <w:t xml:space="preserve">                                            </w:t>
      </w:r>
    </w:p>
    <w:p w14:paraId="4A5AB301">
      <w:pPr>
        <w:pStyle w:val="14"/>
        <w:rPr>
          <w:rFonts w:ascii="Times New Roman" w:hAnsi="Times New Roman" w:cs="Times New Roman"/>
          <w:snapToGrid w:val="0"/>
        </w:rPr>
      </w:pPr>
    </w:p>
    <w:p w14:paraId="752AD63C">
      <w:pPr>
        <w:pStyle w:val="14"/>
        <w:rPr>
          <w:rFonts w:hint="eastAsia" w:ascii="Times New Roman" w:hAnsi="Times New Roman" w:cs="Times New Roman"/>
          <w:snapToGrid w:val="0"/>
        </w:rPr>
      </w:pPr>
      <w:r>
        <w:rPr>
          <w:rFonts w:ascii="Times New Roman" w:hAnsi="Times New Roman" w:cs="Times New Roman"/>
          <w:snapToGrid w:val="0"/>
        </w:rPr>
        <w:t xml:space="preserve">                                                                             </w:t>
      </w:r>
      <w:bookmarkStart w:id="415" w:name="扫描0052"/>
      <w:bookmarkEnd w:id="415"/>
      <w:r>
        <w:rPr>
          <w:rFonts w:ascii="Times New Roman" w:hAnsi="Times New Roman" w:cs="Times New Roman"/>
          <w:snapToGrid w:val="0"/>
          <w:u w:val="single"/>
        </w:rPr>
        <w:t xml:space="preserve">       </w:t>
      </w:r>
      <w:r>
        <w:rPr>
          <w:rFonts w:ascii="Times New Roman" w:hAnsi="Times New Roman" w:cs="Times New Roman"/>
          <w:snapToGrid w:val="0"/>
        </w:rPr>
        <w:t>年</w:t>
      </w:r>
      <w:r>
        <w:rPr>
          <w:rFonts w:ascii="Times New Roman" w:hAnsi="Times New Roman" w:cs="Times New Roman"/>
          <w:snapToGrid w:val="0"/>
          <w:u w:val="single"/>
        </w:rPr>
        <w:t xml:space="preserve">   </w:t>
      </w:r>
      <w:r>
        <w:rPr>
          <w:rFonts w:ascii="Times New Roman" w:hAnsi="Times New Roman" w:cs="Times New Roman"/>
          <w:snapToGrid w:val="0"/>
        </w:rPr>
        <w:t>月</w:t>
      </w:r>
      <w:r>
        <w:rPr>
          <w:rFonts w:ascii="Times New Roman" w:hAnsi="Times New Roman" w:cs="Times New Roman"/>
          <w:snapToGrid w:val="0"/>
          <w:u w:val="single"/>
        </w:rPr>
        <w:t xml:space="preserve">   </w:t>
      </w:r>
      <w:r>
        <w:rPr>
          <w:rFonts w:ascii="Times New Roman" w:hAnsi="Times New Roman" w:cs="Times New Roman"/>
          <w:snapToGrid w:val="0"/>
        </w:rPr>
        <w:t>日</w:t>
      </w:r>
      <w:r>
        <w:rPr>
          <w:rFonts w:ascii="Times New Roman" w:hAnsi="Times New Roman" w:cs="Times New Roman"/>
          <w:snapToGrid w:val="0"/>
        </w:rPr>
        <w:br w:type="page"/>
      </w:r>
    </w:p>
    <w:p w14:paraId="78007E65">
      <w:pPr>
        <w:pStyle w:val="3"/>
        <w:ind w:firstLine="800"/>
        <w:jc w:val="center"/>
        <w:outlineLvl w:val="2"/>
        <w:rPr>
          <w:rFonts w:ascii="Times New Roman" w:hAnsi="Times New Roman" w:eastAsia="黑体" w:cs="Times New Roman"/>
          <w:snapToGrid w:val="0"/>
          <w:color w:val="auto"/>
          <w:sz w:val="32"/>
          <w:szCs w:val="32"/>
        </w:rPr>
      </w:pPr>
      <w:bookmarkStart w:id="416" w:name="_Toc29592"/>
      <w:r>
        <w:rPr>
          <w:rFonts w:ascii="Times New Roman" w:hAnsi="Times New Roman" w:eastAsia="黑体" w:cs="Times New Roman"/>
          <w:snapToGrid w:val="0"/>
          <w:color w:val="auto"/>
          <w:sz w:val="32"/>
          <w:szCs w:val="32"/>
        </w:rPr>
        <w:t>二、授权委托书</w:t>
      </w:r>
      <w:bookmarkEnd w:id="416"/>
    </w:p>
    <w:p w14:paraId="46A9EF2D">
      <w:pPr>
        <w:pStyle w:val="5"/>
        <w:ind w:firstLine="480"/>
        <w:jc w:val="center"/>
        <w:rPr>
          <w:rFonts w:ascii="Times New Roman" w:hAnsi="Times New Roman" w:eastAsia="仿宋_GB2312" w:cs="Times New Roman"/>
          <w:snapToGrid w:val="0"/>
          <w:sz w:val="28"/>
          <w:szCs w:val="28"/>
        </w:rPr>
      </w:pPr>
      <w:r>
        <w:rPr>
          <w:rFonts w:ascii="Times New Roman" w:hAnsi="Times New Roman" w:eastAsia="仿宋_GB2312" w:cs="Times New Roman"/>
          <w:snapToGrid w:val="0"/>
          <w:sz w:val="28"/>
          <w:szCs w:val="28"/>
        </w:rPr>
        <w:t>（适用于有委托代理人的情况）</w:t>
      </w:r>
    </w:p>
    <w:p w14:paraId="027C0D3C">
      <w:pPr>
        <w:rPr>
          <w:rFonts w:ascii="Times New Roman" w:hAnsi="Times New Roman" w:cs="Times New Roman"/>
          <w:snapToGrid w:val="0"/>
        </w:rPr>
      </w:pPr>
    </w:p>
    <w:p w14:paraId="17F25255">
      <w:pPr>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本人</w:t>
      </w:r>
      <w:r>
        <w:rPr>
          <w:rFonts w:ascii="Times New Roman" w:hAnsi="Times New Roman" w:eastAsia="仿宋_GB2312" w:cs="Times New Roman"/>
          <w:snapToGrid w:val="0"/>
          <w:sz w:val="32"/>
          <w:szCs w:val="32"/>
          <w:u w:val="single"/>
        </w:rPr>
        <w:t xml:space="preserve">     （姓名）</w:t>
      </w:r>
      <w:r>
        <w:rPr>
          <w:rFonts w:ascii="Times New Roman" w:hAnsi="Times New Roman" w:eastAsia="仿宋_GB2312" w:cs="Times New Roman"/>
          <w:snapToGrid w:val="0"/>
          <w:sz w:val="32"/>
          <w:szCs w:val="32"/>
        </w:rPr>
        <w:t>系</w:t>
      </w:r>
      <w:r>
        <w:rPr>
          <w:rFonts w:ascii="Times New Roman" w:hAnsi="Times New Roman" w:eastAsia="仿宋_GB2312" w:cs="Times New Roman"/>
          <w:snapToGrid w:val="0"/>
          <w:sz w:val="32"/>
          <w:szCs w:val="32"/>
          <w:u w:val="single"/>
        </w:rPr>
        <w:t xml:space="preserve">                    （供应商名称）</w:t>
      </w:r>
      <w:r>
        <w:rPr>
          <w:rFonts w:ascii="Times New Roman" w:hAnsi="Times New Roman" w:eastAsia="仿宋_GB2312" w:cs="Times New Roman"/>
          <w:snapToGrid w:val="0"/>
          <w:sz w:val="32"/>
          <w:szCs w:val="32"/>
        </w:rPr>
        <w:t>的法定代表人（单位负责人），现委托</w:t>
      </w:r>
      <w:r>
        <w:rPr>
          <w:rFonts w:ascii="Times New Roman" w:hAnsi="Times New Roman" w:eastAsia="仿宋_GB2312" w:cs="Times New Roman"/>
          <w:snapToGrid w:val="0"/>
          <w:sz w:val="32"/>
          <w:szCs w:val="32"/>
          <w:u w:val="single"/>
        </w:rPr>
        <w:t xml:space="preserve">       （姓名）</w:t>
      </w:r>
      <w:r>
        <w:rPr>
          <w:rFonts w:ascii="Times New Roman" w:hAnsi="Times New Roman" w:eastAsia="仿宋_GB2312" w:cs="Times New Roman"/>
          <w:snapToGrid w:val="0"/>
          <w:sz w:val="32"/>
          <w:szCs w:val="32"/>
        </w:rPr>
        <w:t>为我方代理人。代理人根据授权，以我方名义签署、澄清确认、递交、撤回、修改谈判采购项目响应文件、签订合同和处理有关事宜，其法律后果由我方承担。</w:t>
      </w:r>
    </w:p>
    <w:p w14:paraId="79C17A62">
      <w:pPr>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委托期限：自本委托书签署之日起至谈判采购项目合同履约完毕之日止。</w:t>
      </w:r>
    </w:p>
    <w:p w14:paraId="195EDD64">
      <w:pPr>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代理人无转委托权。</w:t>
      </w:r>
    </w:p>
    <w:p w14:paraId="4BD3CA26">
      <w:pPr>
        <w:spacing w:line="560" w:lineRule="exact"/>
        <w:ind w:firstLine="640" w:firstLineChars="200"/>
        <w:jc w:val="both"/>
        <w:rPr>
          <w:rFonts w:ascii="Times New Roman" w:hAnsi="Times New Roman" w:eastAsia="仿宋_GB2312" w:cs="Times New Roman"/>
          <w:snapToGrid w:val="0"/>
          <w:sz w:val="32"/>
          <w:szCs w:val="32"/>
        </w:rPr>
      </w:pPr>
    </w:p>
    <w:p w14:paraId="66F237DF">
      <w:pPr>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附：法定代表人（单位负责人）身份证复印件及委托代理人身份证复印件。</w:t>
      </w:r>
    </w:p>
    <w:p w14:paraId="148C6600">
      <w:pPr>
        <w:rPr>
          <w:rFonts w:ascii="Times New Roman" w:hAnsi="Times New Roman" w:cs="Times New Roman"/>
          <w:snapToGrid w:val="0"/>
        </w:rPr>
      </w:pPr>
    </w:p>
    <w:p w14:paraId="0732860F">
      <w:pPr>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供应商：</w:t>
      </w:r>
      <w:r>
        <w:rPr>
          <w:rFonts w:ascii="Times New Roman" w:hAnsi="Times New Roman" w:eastAsia="仿宋_GB2312" w:cs="Times New Roman"/>
          <w:snapToGrid w:val="0"/>
          <w:sz w:val="32"/>
          <w:szCs w:val="32"/>
          <w:u w:val="single"/>
        </w:rPr>
        <w:t xml:space="preserve">                     （盖单位公章）</w:t>
      </w:r>
    </w:p>
    <w:p w14:paraId="123863EF">
      <w:pPr>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法定代表人（单位负责人）：</w:t>
      </w:r>
      <w:r>
        <w:rPr>
          <w:rFonts w:ascii="Times New Roman" w:hAnsi="Times New Roman" w:eastAsia="仿宋_GB2312" w:cs="Times New Roman"/>
          <w:snapToGrid w:val="0"/>
          <w:sz w:val="32"/>
          <w:szCs w:val="32"/>
          <w:u w:val="single"/>
        </w:rPr>
        <w:t xml:space="preserve">         （签字）</w:t>
      </w:r>
    </w:p>
    <w:p w14:paraId="53538859">
      <w:pPr>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 xml:space="preserve">身份证号码：                             </w:t>
      </w:r>
    </w:p>
    <w:p w14:paraId="29370B7D">
      <w:pPr>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委托代理人：</w:t>
      </w:r>
      <w:r>
        <w:rPr>
          <w:rFonts w:ascii="Times New Roman" w:hAnsi="Times New Roman" w:eastAsia="仿宋_GB2312" w:cs="Times New Roman"/>
          <w:snapToGrid w:val="0"/>
          <w:sz w:val="32"/>
          <w:szCs w:val="32"/>
          <w:u w:val="single"/>
        </w:rPr>
        <w:t xml:space="preserve">                       （签字）</w:t>
      </w:r>
    </w:p>
    <w:p w14:paraId="39FC95FA">
      <w:pPr>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 xml:space="preserve">身份证号码：                             </w:t>
      </w:r>
    </w:p>
    <w:p w14:paraId="3F9BB2BB">
      <w:pPr>
        <w:wordWrap w:val="0"/>
        <w:adjustRightInd w:val="0"/>
        <w:snapToGrid w:val="0"/>
        <w:spacing w:line="560" w:lineRule="exact"/>
        <w:ind w:hanging="446"/>
        <w:jc w:val="right"/>
        <w:rPr>
          <w:rFonts w:ascii="Times New Roman" w:hAnsi="Times New Roman" w:eastAsia="仿宋_GB2312" w:cs="Times New Roman"/>
          <w:snapToGrid w:val="0"/>
          <w:sz w:val="32"/>
          <w:szCs w:val="32"/>
          <w:u w:val="single"/>
        </w:rPr>
      </w:pPr>
      <w:bookmarkStart w:id="417" w:name="扫描0053"/>
      <w:bookmarkEnd w:id="417"/>
    </w:p>
    <w:p w14:paraId="61AE8349">
      <w:pPr>
        <w:adjustRightInd w:val="0"/>
        <w:snapToGrid w:val="0"/>
        <w:spacing w:line="560" w:lineRule="exact"/>
        <w:ind w:hanging="446"/>
        <w:jc w:val="right"/>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u w:val="single"/>
        </w:rPr>
        <w:t xml:space="preserve">       </w:t>
      </w:r>
      <w:r>
        <w:rPr>
          <w:rFonts w:ascii="Times New Roman" w:hAnsi="Times New Roman" w:eastAsia="仿宋_GB2312" w:cs="Times New Roman"/>
          <w:snapToGrid w:val="0"/>
          <w:sz w:val="32"/>
          <w:szCs w:val="32"/>
        </w:rPr>
        <w:t>年</w:t>
      </w:r>
      <w:r>
        <w:rPr>
          <w:rFonts w:ascii="Times New Roman" w:hAnsi="Times New Roman" w:eastAsia="仿宋_GB2312" w:cs="Times New Roman"/>
          <w:snapToGrid w:val="0"/>
          <w:sz w:val="32"/>
          <w:szCs w:val="32"/>
          <w:u w:val="single"/>
        </w:rPr>
        <w:t xml:space="preserve">   </w:t>
      </w:r>
      <w:r>
        <w:rPr>
          <w:rFonts w:ascii="Times New Roman" w:hAnsi="Times New Roman" w:eastAsia="仿宋_GB2312" w:cs="Times New Roman"/>
          <w:snapToGrid w:val="0"/>
          <w:sz w:val="32"/>
          <w:szCs w:val="32"/>
        </w:rPr>
        <w:t>月</w:t>
      </w:r>
      <w:r>
        <w:rPr>
          <w:rFonts w:ascii="Times New Roman" w:hAnsi="Times New Roman" w:eastAsia="仿宋_GB2312" w:cs="Times New Roman"/>
          <w:snapToGrid w:val="0"/>
          <w:sz w:val="32"/>
          <w:szCs w:val="32"/>
          <w:u w:val="single"/>
        </w:rPr>
        <w:t xml:space="preserve">   </w:t>
      </w:r>
      <w:r>
        <w:rPr>
          <w:rFonts w:ascii="Times New Roman" w:hAnsi="Times New Roman" w:eastAsia="仿宋_GB2312" w:cs="Times New Roman"/>
          <w:snapToGrid w:val="0"/>
          <w:sz w:val="32"/>
          <w:szCs w:val="32"/>
        </w:rPr>
        <w:t>日</w:t>
      </w:r>
      <w:r>
        <w:rPr>
          <w:rFonts w:ascii="Times New Roman" w:hAnsi="Times New Roman" w:cs="Times New Roman"/>
          <w:snapToGrid w:val="0"/>
        </w:rPr>
        <w:br w:type="page"/>
      </w:r>
    </w:p>
    <w:p w14:paraId="4E3DEE54">
      <w:pPr>
        <w:pStyle w:val="3"/>
        <w:ind w:firstLine="800"/>
        <w:jc w:val="center"/>
        <w:outlineLvl w:val="2"/>
        <w:rPr>
          <w:rFonts w:ascii="Times New Roman" w:hAnsi="Times New Roman" w:eastAsia="黑体" w:cs="Times New Roman"/>
          <w:snapToGrid w:val="0"/>
          <w:color w:val="auto"/>
          <w:sz w:val="32"/>
          <w:szCs w:val="32"/>
        </w:rPr>
      </w:pPr>
      <w:bookmarkStart w:id="418" w:name="_Toc9024"/>
      <w:r>
        <w:rPr>
          <w:rFonts w:ascii="Times New Roman" w:hAnsi="Times New Roman" w:eastAsia="黑体" w:cs="Times New Roman"/>
          <w:snapToGrid w:val="0"/>
          <w:color w:val="auto"/>
          <w:sz w:val="32"/>
          <w:szCs w:val="32"/>
        </w:rPr>
        <w:t>三、联合体协议书</w:t>
      </w:r>
      <w:bookmarkEnd w:id="418"/>
    </w:p>
    <w:p w14:paraId="79B84AE2">
      <w:pPr>
        <w:jc w:val="center"/>
        <w:rPr>
          <w:rFonts w:ascii="Times New Roman" w:hAnsi="Times New Roman" w:eastAsia="仿宋_GB2312" w:cs="Times New Roman"/>
          <w:snapToGrid w:val="0"/>
          <w:sz w:val="28"/>
          <w:szCs w:val="28"/>
        </w:rPr>
      </w:pPr>
    </w:p>
    <w:p w14:paraId="594FB8A8">
      <w:pPr>
        <w:jc w:val="center"/>
        <w:outlineLvl w:val="1"/>
        <w:rPr>
          <w:rFonts w:hint="eastAsia" w:ascii="Times New Roman" w:hAnsi="Times New Roman" w:eastAsia="仿宋_GB2312" w:cs="Times New Roman"/>
          <w:snapToGrid w:val="0"/>
          <w:sz w:val="28"/>
          <w:szCs w:val="28"/>
        </w:rPr>
      </w:pPr>
      <w:bookmarkStart w:id="419" w:name="_Toc23233"/>
      <w:r>
        <w:rPr>
          <w:rFonts w:ascii="Times New Roman" w:hAnsi="Times New Roman" w:eastAsia="仿宋_GB2312" w:cs="Times New Roman"/>
          <w:snapToGrid w:val="0"/>
          <w:sz w:val="28"/>
          <w:szCs w:val="28"/>
        </w:rPr>
        <w:t>（适用于供应商组成联合体的情况）</w:t>
      </w:r>
      <w:bookmarkEnd w:id="419"/>
    </w:p>
    <w:p w14:paraId="50EBB68A">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（所有成员单位名称）自愿组成（联合体名称）联合体，共同参加</w:t>
      </w:r>
      <w:r>
        <w:rPr>
          <w:rFonts w:hint="eastAsia" w:ascii="Times New Roman" w:hAnsi="Times New Roman" w:eastAsia="仿宋_GB2312" w:cs="Times New Roman"/>
          <w:sz w:val="32"/>
          <w:szCs w:val="32"/>
          <w:u w:val="single"/>
          <w:lang w:val="en-US" w:eastAsia="zh-CN"/>
        </w:rPr>
        <w:t>中粮梁河糖业公司设备购置及土建项目-</w:t>
      </w:r>
      <w:r>
        <w:rPr>
          <w:rFonts w:ascii="Times New Roman" w:hAnsi="Times New Roman" w:eastAsia="仿宋_GB2312" w:cs="Times New Roman"/>
          <w:sz w:val="32"/>
          <w:szCs w:val="32"/>
        </w:rPr>
        <w:t>梁河糖业2024年勐养动力车间35t/h锅炉修理项目</w:t>
      </w:r>
      <w:r>
        <w:rPr>
          <w:rFonts w:ascii="Times New Roman" w:hAnsi="Times New Roman" w:eastAsia="仿宋_GB2312" w:cs="Times New Roman"/>
          <w:snapToGrid w:val="0"/>
          <w:sz w:val="32"/>
          <w:szCs w:val="32"/>
        </w:rPr>
        <w:t>采购活动。现就组成联合体事宜订立如下协议。</w:t>
      </w:r>
    </w:p>
    <w:p w14:paraId="400BEC3C">
      <w:pPr>
        <w:pStyle w:val="14"/>
        <w:jc w:val="both"/>
        <w:rPr>
          <w:rFonts w:ascii="Times New Roman" w:hAnsi="Times New Roman" w:cs="Times New Roman"/>
          <w:snapToGrid w:val="0"/>
        </w:rPr>
      </w:pPr>
      <w:r>
        <w:rPr>
          <w:rFonts w:ascii="Times New Roman" w:hAnsi="Times New Roman" w:cs="Times New Roman"/>
          <w:snapToGrid w:val="0"/>
        </w:rPr>
        <w:t xml:space="preserve"> 1. </w:t>
      </w:r>
      <w:r>
        <w:rPr>
          <w:rFonts w:ascii="Times New Roman" w:hAnsi="Times New Roman" w:cs="Times New Roman"/>
          <w:snapToGrid w:val="0"/>
          <w:u w:val="single"/>
        </w:rPr>
        <w:t xml:space="preserve">                            </w:t>
      </w:r>
      <w:r>
        <w:rPr>
          <w:rFonts w:ascii="Times New Roman" w:hAnsi="Times New Roman" w:cs="Times New Roman"/>
          <w:snapToGrid w:val="0"/>
        </w:rPr>
        <w:t>（某成员单位名称）为                （联合体名称）牵头人。</w:t>
      </w:r>
    </w:p>
    <w:p w14:paraId="2360CB2E">
      <w:pPr>
        <w:pStyle w:val="14"/>
        <w:jc w:val="both"/>
        <w:rPr>
          <w:rFonts w:ascii="Times New Roman" w:hAnsi="Times New Roman" w:cs="Times New Roman"/>
          <w:snapToGrid w:val="0"/>
        </w:rPr>
      </w:pPr>
      <w:r>
        <w:rPr>
          <w:rFonts w:ascii="Times New Roman" w:hAnsi="Times New Roman" w:cs="Times New Roman"/>
          <w:snapToGrid w:val="0"/>
        </w:rPr>
        <w:t>2.联合体各成员授权牵头人代表联合体参加谈判采购活动，签署文件，递交和接收相关的资料、信息及指示，进行合同采购活动，负责合同实施阶段的组织和协调工作，以及处理与本采购项目有关的一切事宜。</w:t>
      </w:r>
    </w:p>
    <w:p w14:paraId="06E69ED8">
      <w:pPr>
        <w:pStyle w:val="14"/>
        <w:jc w:val="both"/>
        <w:rPr>
          <w:rFonts w:ascii="Times New Roman" w:hAnsi="Times New Roman" w:cs="Times New Roman"/>
          <w:snapToGrid w:val="0"/>
        </w:rPr>
      </w:pPr>
      <w:r>
        <w:rPr>
          <w:rFonts w:ascii="Times New Roman" w:hAnsi="Times New Roman" w:cs="Times New Roman"/>
          <w:snapToGrid w:val="0"/>
        </w:rPr>
        <w:t>3.联合体牵头人在本项目中签署的一切文件和处理的一切事宜，联合体各成员均予以承认。联合体各成员将严格按照采购文件、响应文件和合同的要求全面履行义务，并向采购人承担连带责任。</w:t>
      </w:r>
    </w:p>
    <w:p w14:paraId="4637EA83">
      <w:pPr>
        <w:pStyle w:val="14"/>
        <w:jc w:val="both"/>
        <w:rPr>
          <w:rFonts w:ascii="Times New Roman" w:hAnsi="Times New Roman" w:cs="Times New Roman"/>
          <w:snapToGrid w:val="0"/>
        </w:rPr>
      </w:pPr>
      <w:r>
        <w:rPr>
          <w:rFonts w:ascii="Times New Roman" w:hAnsi="Times New Roman" w:cs="Times New Roman"/>
          <w:snapToGrid w:val="0"/>
        </w:rPr>
        <w:t>4.联合体各方承诺不以自己名义单独或参加其他联合体参与本谈判采购项目。</w:t>
      </w:r>
    </w:p>
    <w:p w14:paraId="3ECC01DF">
      <w:pPr>
        <w:pStyle w:val="14"/>
        <w:jc w:val="both"/>
        <w:rPr>
          <w:rFonts w:ascii="Times New Roman" w:hAnsi="Times New Roman" w:cs="Times New Roman"/>
          <w:snapToGrid w:val="0"/>
        </w:rPr>
      </w:pPr>
      <w:r>
        <w:rPr>
          <w:rFonts w:ascii="Times New Roman" w:hAnsi="Times New Roman" w:cs="Times New Roman"/>
          <w:snapToGrid w:val="0"/>
        </w:rPr>
        <w:t xml:space="preserve">5.联合体各成员单位内部的职责分工如下：                                     </w:t>
      </w:r>
    </w:p>
    <w:p w14:paraId="1B8D175A">
      <w:pPr>
        <w:pStyle w:val="14"/>
        <w:jc w:val="both"/>
        <w:rPr>
          <w:rFonts w:ascii="Times New Roman" w:hAnsi="Times New Roman" w:cs="Times New Roman"/>
          <w:snapToGrid w:val="0"/>
        </w:rPr>
      </w:pPr>
      <w:r>
        <w:rPr>
          <w:rFonts w:ascii="Times New Roman" w:hAnsi="Times New Roman" w:cs="Times New Roman"/>
          <w:snapToGrid w:val="0"/>
        </w:rPr>
        <w:t>6.本协议书自所有成员单位法定代表人（单位负责人）或其授权的代理人签字并加盖单位公章之日起生效，合同履行完毕后自动失效。</w:t>
      </w:r>
    </w:p>
    <w:p w14:paraId="1E187ECD">
      <w:pPr>
        <w:pStyle w:val="14"/>
        <w:outlineLvl w:val="1"/>
        <w:rPr>
          <w:rFonts w:ascii="Times New Roman" w:hAnsi="Times New Roman" w:cs="Times New Roman"/>
          <w:snapToGrid w:val="0"/>
        </w:rPr>
      </w:pPr>
      <w:bookmarkStart w:id="420" w:name="_Toc3264"/>
      <w:r>
        <w:rPr>
          <w:rFonts w:ascii="Times New Roman" w:hAnsi="Times New Roman" w:cs="Times New Roman"/>
          <w:snapToGrid w:val="0"/>
        </w:rPr>
        <w:t>7.本协议书一式</w:t>
      </w:r>
      <w:r>
        <w:rPr>
          <w:rFonts w:ascii="Times New Roman" w:hAnsi="Times New Roman" w:cs="Times New Roman"/>
          <w:snapToGrid w:val="0"/>
          <w:u w:val="single"/>
        </w:rPr>
        <w:t xml:space="preserve">    </w:t>
      </w:r>
      <w:r>
        <w:rPr>
          <w:rFonts w:ascii="Times New Roman" w:hAnsi="Times New Roman" w:cs="Times New Roman"/>
          <w:snapToGrid w:val="0"/>
        </w:rPr>
        <w:t>份，联合体成员和采购人各执一份。</w:t>
      </w:r>
      <w:bookmarkEnd w:id="420"/>
    </w:p>
    <w:p w14:paraId="7FACEAA5">
      <w:pPr>
        <w:spacing w:after="0" w:line="560" w:lineRule="exact"/>
        <w:ind w:firstLine="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（注：本协议书由委托代理人签字的，应附授权委托书。）</w:t>
      </w:r>
    </w:p>
    <w:p w14:paraId="06E3F9D8">
      <w:pPr>
        <w:rPr>
          <w:rFonts w:ascii="Times New Roman" w:hAnsi="Times New Roman" w:eastAsia="仿宋_GB2312" w:cs="Times New Roman"/>
          <w:snapToGrid w:val="0"/>
          <w:sz w:val="32"/>
          <w:szCs w:val="32"/>
        </w:rPr>
      </w:pPr>
    </w:p>
    <w:p w14:paraId="0CA56504">
      <w:pPr>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联合体牵头人名称：</w:t>
      </w:r>
      <w:r>
        <w:rPr>
          <w:rFonts w:ascii="Times New Roman" w:hAnsi="Times New Roman" w:eastAsia="仿宋_GB2312" w:cs="Times New Roman"/>
          <w:snapToGrid w:val="0"/>
          <w:sz w:val="32"/>
          <w:szCs w:val="32"/>
          <w:u w:val="single"/>
        </w:rPr>
        <w:t xml:space="preserve">                             </w:t>
      </w:r>
      <w:r>
        <w:rPr>
          <w:rFonts w:ascii="Times New Roman" w:hAnsi="Times New Roman" w:eastAsia="仿宋_GB2312" w:cs="Times New Roman"/>
          <w:snapToGrid w:val="0"/>
          <w:sz w:val="32"/>
          <w:szCs w:val="32"/>
        </w:rPr>
        <w:t>（盖单位公章）</w:t>
      </w:r>
    </w:p>
    <w:p w14:paraId="0D72B395">
      <w:pPr>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法定代表人（单位负责人）或其授权的代理人：</w:t>
      </w:r>
      <w:r>
        <w:rPr>
          <w:rFonts w:ascii="Times New Roman" w:hAnsi="Times New Roman" w:eastAsia="仿宋_GB2312" w:cs="Times New Roman"/>
          <w:snapToGrid w:val="0"/>
          <w:sz w:val="32"/>
          <w:szCs w:val="32"/>
          <w:u w:val="single"/>
        </w:rPr>
        <w:t xml:space="preserve">         （签字）</w:t>
      </w:r>
    </w:p>
    <w:p w14:paraId="347161EE">
      <w:pPr>
        <w:rPr>
          <w:rFonts w:ascii="Times New Roman" w:hAnsi="Times New Roman" w:eastAsia="仿宋_GB2312" w:cs="Times New Roman"/>
          <w:snapToGrid w:val="0"/>
          <w:sz w:val="32"/>
          <w:szCs w:val="32"/>
        </w:rPr>
      </w:pPr>
    </w:p>
    <w:p w14:paraId="694979EC">
      <w:pPr>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联合体成员名称：</w:t>
      </w:r>
      <w:r>
        <w:rPr>
          <w:rFonts w:ascii="Times New Roman" w:hAnsi="Times New Roman" w:eastAsia="仿宋_GB2312" w:cs="Times New Roman"/>
          <w:snapToGrid w:val="0"/>
          <w:sz w:val="32"/>
          <w:szCs w:val="32"/>
          <w:u w:val="single"/>
        </w:rPr>
        <w:t xml:space="preserve">                               （</w:t>
      </w:r>
      <w:r>
        <w:rPr>
          <w:rFonts w:ascii="Times New Roman" w:hAnsi="Times New Roman" w:eastAsia="仿宋_GB2312" w:cs="Times New Roman"/>
          <w:snapToGrid w:val="0"/>
          <w:sz w:val="32"/>
          <w:szCs w:val="32"/>
        </w:rPr>
        <w:t>盖单位公章）</w:t>
      </w:r>
    </w:p>
    <w:p w14:paraId="6C73608A">
      <w:pPr>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法定代表人（单位负责人）或其授权的代理人：</w:t>
      </w:r>
      <w:r>
        <w:rPr>
          <w:rFonts w:ascii="Times New Roman" w:hAnsi="Times New Roman" w:eastAsia="仿宋_GB2312" w:cs="Times New Roman"/>
          <w:snapToGrid w:val="0"/>
          <w:sz w:val="32"/>
          <w:szCs w:val="32"/>
          <w:u w:val="single"/>
        </w:rPr>
        <w:t xml:space="preserve">         （签字）</w:t>
      </w:r>
    </w:p>
    <w:p w14:paraId="46390664">
      <w:pPr>
        <w:rPr>
          <w:rFonts w:ascii="Times New Roman" w:hAnsi="Times New Roman" w:eastAsia="仿宋_GB2312" w:cs="Times New Roman"/>
          <w:snapToGrid w:val="0"/>
          <w:sz w:val="32"/>
          <w:szCs w:val="32"/>
        </w:rPr>
      </w:pPr>
    </w:p>
    <w:p w14:paraId="179B2D01">
      <w:pPr>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联合体成员名称</w:t>
      </w:r>
      <w:r>
        <w:rPr>
          <w:rFonts w:ascii="Times New Roman" w:hAnsi="Times New Roman" w:eastAsia="仿宋_GB2312" w:cs="Times New Roman"/>
          <w:snapToGrid w:val="0"/>
          <w:sz w:val="32"/>
          <w:szCs w:val="32"/>
          <w:u w:val="single"/>
        </w:rPr>
        <w:t xml:space="preserve">：                               </w:t>
      </w:r>
      <w:r>
        <w:rPr>
          <w:rFonts w:ascii="Times New Roman" w:hAnsi="Times New Roman" w:eastAsia="仿宋_GB2312" w:cs="Times New Roman"/>
          <w:snapToGrid w:val="0"/>
          <w:sz w:val="32"/>
          <w:szCs w:val="32"/>
        </w:rPr>
        <w:t>（盖单位公章）</w:t>
      </w:r>
    </w:p>
    <w:p w14:paraId="1587E112">
      <w:pPr>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法定代表人（单位负责人）或其授权的代理人：</w:t>
      </w:r>
      <w:r>
        <w:rPr>
          <w:rFonts w:ascii="Times New Roman" w:hAnsi="Times New Roman" w:eastAsia="仿宋_GB2312" w:cs="Times New Roman"/>
          <w:snapToGrid w:val="0"/>
          <w:sz w:val="32"/>
          <w:szCs w:val="32"/>
          <w:u w:val="single"/>
        </w:rPr>
        <w:t xml:space="preserve">         （签字）</w:t>
      </w:r>
    </w:p>
    <w:p w14:paraId="0255E386">
      <w:pPr>
        <w:rPr>
          <w:rFonts w:ascii="Times New Roman" w:hAnsi="Times New Roman" w:eastAsia="仿宋_GB2312" w:cs="Times New Roman"/>
          <w:sz w:val="32"/>
          <w:szCs w:val="32"/>
        </w:rPr>
      </w:pPr>
    </w:p>
    <w:p w14:paraId="6FD17AAE">
      <w:pPr>
        <w:ind w:left="9400" w:leftChars="2800" w:hanging="3520" w:hangingChars="1100"/>
        <w:rPr>
          <w:rFonts w:ascii="Times New Roman" w:hAnsi="Times New Roman" w:eastAsia="仿宋_GB2312" w:cs="Times New Roman"/>
          <w:snapToGrid w:val="0"/>
          <w:sz w:val="24"/>
          <w:szCs w:val="24"/>
        </w:rPr>
      </w:pPr>
      <w:bookmarkStart w:id="421" w:name="扫描0054"/>
      <w:bookmarkEnd w:id="421"/>
      <w:r>
        <w:rPr>
          <w:rFonts w:ascii="Times New Roman" w:hAnsi="Times New Roman" w:eastAsia="仿宋_GB2312" w:cs="Times New Roman"/>
          <w:snapToGrid w:val="0"/>
          <w:sz w:val="32"/>
          <w:szCs w:val="32"/>
        </w:rPr>
        <w:t xml:space="preserve">      年    月    日</w:t>
      </w:r>
      <w:r>
        <w:rPr>
          <w:rFonts w:ascii="Times New Roman" w:hAnsi="Times New Roman" w:eastAsia="仿宋_GB2312" w:cs="Times New Roman"/>
          <w:snapToGrid w:val="0"/>
          <w:sz w:val="24"/>
          <w:szCs w:val="24"/>
        </w:rPr>
        <w:br w:type="page"/>
      </w:r>
    </w:p>
    <w:p w14:paraId="1D7C990A">
      <w:pPr>
        <w:pStyle w:val="3"/>
        <w:ind w:firstLine="800"/>
        <w:jc w:val="center"/>
        <w:outlineLvl w:val="2"/>
        <w:rPr>
          <w:rFonts w:ascii="黑体" w:hAnsi="黑体" w:eastAsia="黑体" w:cs="Times New Roman"/>
          <w:snapToGrid w:val="0"/>
          <w:color w:val="auto"/>
          <w:sz w:val="32"/>
          <w:szCs w:val="32"/>
        </w:rPr>
      </w:pPr>
      <w:bookmarkStart w:id="422" w:name="_Toc10607"/>
      <w:r>
        <w:rPr>
          <w:rFonts w:ascii="黑体" w:hAnsi="黑体" w:eastAsia="黑体" w:cs="Times New Roman"/>
          <w:snapToGrid w:val="0"/>
          <w:color w:val="auto"/>
          <w:sz w:val="32"/>
          <w:szCs w:val="32"/>
        </w:rPr>
        <w:t>四、响应保证金</w:t>
      </w:r>
      <w:bookmarkEnd w:id="422"/>
    </w:p>
    <w:p w14:paraId="16E28F83">
      <w:pPr>
        <w:spacing w:line="560" w:lineRule="exact"/>
        <w:jc w:val="center"/>
        <w:outlineLvl w:val="1"/>
        <w:rPr>
          <w:rFonts w:hint="eastAsia" w:ascii="Times New Roman" w:hAnsi="Times New Roman" w:eastAsia="仿宋_GB2312" w:cs="Times New Roman"/>
          <w:snapToGrid w:val="0"/>
          <w:sz w:val="32"/>
          <w:szCs w:val="32"/>
        </w:rPr>
      </w:pPr>
      <w:bookmarkStart w:id="423" w:name="_Toc18126"/>
      <w:r>
        <w:rPr>
          <w:rFonts w:ascii="Times New Roman" w:hAnsi="Times New Roman" w:eastAsia="仿宋_GB2312" w:cs="Times New Roman"/>
          <w:snapToGrid w:val="0"/>
          <w:sz w:val="32"/>
          <w:szCs w:val="32"/>
        </w:rPr>
        <w:t>（适用于递交响应保证金的情况）</w:t>
      </w:r>
      <w:bookmarkEnd w:id="423"/>
    </w:p>
    <w:p w14:paraId="76D014FD">
      <w:pPr>
        <w:pStyle w:val="14"/>
        <w:keepNext w:val="0"/>
        <w:keepLines w:val="0"/>
        <w:pageBreakBefore w:val="0"/>
        <w:widowControl/>
        <w:kinsoku/>
        <w:wordWrap/>
        <w:overflowPunct/>
        <w:topLinePunct w:val="0"/>
        <w:autoSpaceDE/>
        <w:autoSpaceDN/>
        <w:bidi w:val="0"/>
        <w:adjustRightInd/>
        <w:snapToGrid/>
        <w:spacing w:line="520" w:lineRule="exact"/>
        <w:jc w:val="both"/>
        <w:textAlignment w:val="auto"/>
        <w:outlineLvl w:val="1"/>
        <w:rPr>
          <w:rFonts w:ascii="Times New Roman" w:hAnsi="Times New Roman" w:cs="Times New Roman"/>
          <w:snapToGrid w:val="0"/>
        </w:rPr>
      </w:pPr>
      <w:bookmarkStart w:id="424" w:name="_Toc12828"/>
      <w:r>
        <w:rPr>
          <w:rFonts w:ascii="Times New Roman" w:hAnsi="Times New Roman" w:cs="Times New Roman"/>
          <w:snapToGrid w:val="0"/>
        </w:rPr>
        <w:t>1.采用转账方式的，供应商应在此提供转账凭证复印件。</w:t>
      </w:r>
      <w:bookmarkEnd w:id="424"/>
    </w:p>
    <w:p w14:paraId="4F92A4E6">
      <w:pPr>
        <w:pStyle w:val="14"/>
        <w:keepNext w:val="0"/>
        <w:keepLines w:val="0"/>
        <w:pageBreakBefore w:val="0"/>
        <w:widowControl/>
        <w:kinsoku/>
        <w:wordWrap/>
        <w:overflowPunct/>
        <w:topLinePunct w:val="0"/>
        <w:autoSpaceDE/>
        <w:autoSpaceDN/>
        <w:bidi w:val="0"/>
        <w:adjustRightInd/>
        <w:snapToGrid/>
        <w:spacing w:line="520" w:lineRule="exact"/>
        <w:jc w:val="both"/>
        <w:textAlignment w:val="auto"/>
        <w:rPr>
          <w:rFonts w:ascii="Times New Roman" w:hAnsi="Times New Roman" w:cs="Times New Roman"/>
          <w:snapToGrid w:val="0"/>
        </w:rPr>
      </w:pPr>
      <w:r>
        <w:rPr>
          <w:rFonts w:ascii="Times New Roman" w:hAnsi="Times New Roman" w:cs="Times New Roman"/>
          <w:snapToGrid w:val="0"/>
        </w:rPr>
        <w:t>2.采用支票、汇票等方式的，供应商应在此提供支票、汇票等的复印件 原件应单独递交。</w:t>
      </w:r>
    </w:p>
    <w:p w14:paraId="2B11BE35">
      <w:pPr>
        <w:pStyle w:val="14"/>
        <w:keepNext w:val="0"/>
        <w:keepLines w:val="0"/>
        <w:pageBreakBefore w:val="0"/>
        <w:widowControl/>
        <w:kinsoku/>
        <w:wordWrap/>
        <w:overflowPunct/>
        <w:topLinePunct w:val="0"/>
        <w:autoSpaceDE/>
        <w:autoSpaceDN/>
        <w:bidi w:val="0"/>
        <w:adjustRightInd/>
        <w:snapToGrid/>
        <w:spacing w:line="520" w:lineRule="exact"/>
        <w:jc w:val="both"/>
        <w:textAlignment w:val="auto"/>
        <w:outlineLvl w:val="1"/>
        <w:rPr>
          <w:rFonts w:ascii="Times New Roman" w:hAnsi="Times New Roman" w:cs="Times New Roman"/>
          <w:snapToGrid w:val="0"/>
        </w:rPr>
      </w:pPr>
      <w:bookmarkStart w:id="425" w:name="_Toc3291"/>
      <w:r>
        <w:rPr>
          <w:rFonts w:ascii="Times New Roman" w:hAnsi="Times New Roman" w:cs="Times New Roman"/>
          <w:snapToGrid w:val="0"/>
        </w:rPr>
        <w:t>3.采用银行或担保机构担保函方式的，格式如下：</w:t>
      </w:r>
      <w:bookmarkEnd w:id="425"/>
    </w:p>
    <w:p w14:paraId="0210D62F">
      <w:pPr>
        <w:keepNext w:val="0"/>
        <w:keepLines w:val="0"/>
        <w:pageBreakBefore w:val="0"/>
        <w:widowControl/>
        <w:kinsoku/>
        <w:wordWrap/>
        <w:overflowPunct/>
        <w:topLinePunct w:val="0"/>
        <w:autoSpaceDE/>
        <w:autoSpaceDN/>
        <w:bidi w:val="0"/>
        <w:adjustRightInd/>
        <w:snapToGrid/>
        <w:spacing w:after="0" w:line="520" w:lineRule="exact"/>
        <w:ind w:firstLine="200"/>
        <w:jc w:val="both"/>
        <w:textAlignment w:val="auto"/>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 xml:space="preserve"> </w:t>
      </w:r>
      <w:r>
        <w:rPr>
          <w:rFonts w:ascii="Times New Roman" w:hAnsi="Times New Roman" w:eastAsia="仿宋_GB2312" w:cs="Times New Roman"/>
          <w:snapToGrid w:val="0"/>
          <w:sz w:val="32"/>
          <w:szCs w:val="32"/>
          <w:u w:val="single"/>
        </w:rPr>
        <w:t xml:space="preserve">                （采购人名称）</w:t>
      </w:r>
      <w:r>
        <w:rPr>
          <w:rFonts w:ascii="Times New Roman" w:hAnsi="Times New Roman" w:eastAsia="仿宋_GB2312" w:cs="Times New Roman"/>
          <w:snapToGrid w:val="0"/>
          <w:sz w:val="32"/>
          <w:szCs w:val="32"/>
        </w:rPr>
        <w:t>:</w:t>
      </w:r>
    </w:p>
    <w:p w14:paraId="30EC46E7">
      <w:pPr>
        <w:pStyle w:val="14"/>
        <w:keepNext w:val="0"/>
        <w:keepLines w:val="0"/>
        <w:pageBreakBefore w:val="0"/>
        <w:widowControl/>
        <w:kinsoku/>
        <w:wordWrap/>
        <w:overflowPunct/>
        <w:topLinePunct w:val="0"/>
        <w:autoSpaceDE/>
        <w:autoSpaceDN/>
        <w:bidi w:val="0"/>
        <w:adjustRightInd/>
        <w:snapToGrid/>
        <w:spacing w:line="520" w:lineRule="exact"/>
        <w:jc w:val="both"/>
        <w:textAlignment w:val="auto"/>
        <w:rPr>
          <w:rFonts w:ascii="Times New Roman" w:hAnsi="Times New Roman" w:cs="Times New Roman"/>
          <w:snapToGrid w:val="0"/>
        </w:rPr>
      </w:pPr>
      <w:r>
        <w:rPr>
          <w:rFonts w:ascii="Times New Roman" w:hAnsi="Times New Roman" w:cs="Times New Roman"/>
          <w:snapToGrid w:val="0"/>
        </w:rPr>
        <w:t>鉴于</w:t>
      </w:r>
      <w:r>
        <w:rPr>
          <w:rFonts w:ascii="Times New Roman" w:hAnsi="Times New Roman" w:cs="Times New Roman"/>
          <w:snapToGrid w:val="0"/>
          <w:u w:val="single"/>
        </w:rPr>
        <w:t xml:space="preserve">                     </w:t>
      </w:r>
      <w:r>
        <w:rPr>
          <w:rFonts w:ascii="Times New Roman" w:hAnsi="Times New Roman" w:cs="Times New Roman"/>
          <w:snapToGrid w:val="0"/>
        </w:rPr>
        <w:t>（供应商名称）（以下称“供应商”）于</w:t>
      </w:r>
      <w:r>
        <w:rPr>
          <w:rFonts w:ascii="Times New Roman" w:hAnsi="Times New Roman" w:cs="Times New Roman"/>
          <w:snapToGrid w:val="0"/>
          <w:u w:val="single"/>
        </w:rPr>
        <w:t xml:space="preserve">    </w:t>
      </w:r>
      <w:r>
        <w:rPr>
          <w:rFonts w:ascii="Times New Roman" w:hAnsi="Times New Roman" w:cs="Times New Roman"/>
          <w:snapToGrid w:val="0"/>
        </w:rPr>
        <w:t>年</w:t>
      </w:r>
      <w:r>
        <w:rPr>
          <w:rFonts w:ascii="Times New Roman" w:hAnsi="Times New Roman" w:cs="Times New Roman"/>
          <w:snapToGrid w:val="0"/>
          <w:u w:val="single"/>
        </w:rPr>
        <w:t xml:space="preserve">   </w:t>
      </w:r>
      <w:r>
        <w:rPr>
          <w:rFonts w:ascii="Times New Roman" w:hAnsi="Times New Roman" w:cs="Times New Roman"/>
          <w:snapToGrid w:val="0"/>
        </w:rPr>
        <w:t>月</w:t>
      </w:r>
      <w:r>
        <w:rPr>
          <w:rFonts w:ascii="Times New Roman" w:hAnsi="Times New Roman" w:cs="Times New Roman"/>
          <w:snapToGrid w:val="0"/>
          <w:u w:val="single"/>
        </w:rPr>
        <w:t xml:space="preserve">   </w:t>
      </w:r>
      <w:r>
        <w:rPr>
          <w:rFonts w:ascii="Times New Roman" w:hAnsi="Times New Roman" w:cs="Times New Roman"/>
          <w:snapToGrid w:val="0"/>
        </w:rPr>
        <w:t xml:space="preserve">日参加 </w:t>
      </w:r>
      <w:r>
        <w:rPr>
          <w:rFonts w:hint="eastAsia" w:ascii="Times New Roman" w:hAnsi="Times New Roman" w:eastAsia="仿宋_GB2312" w:cs="Times New Roman"/>
          <w:sz w:val="32"/>
          <w:szCs w:val="32"/>
          <w:u w:val="none"/>
          <w:lang w:val="en-US" w:eastAsia="zh-CN"/>
        </w:rPr>
        <w:t>中粮梁河糖业公司设备购置及土建项目-</w:t>
      </w:r>
      <w:r>
        <w:rPr>
          <w:rFonts w:ascii="Times New Roman" w:hAnsi="Times New Roman" w:cs="Times New Roman"/>
          <w:snapToGrid w:val="0"/>
        </w:rPr>
        <w:t xml:space="preserve">梁河糖业2024年勐养动力车间35t/h锅炉修理项目生产工艺设备谈判采购活动，           </w:t>
      </w:r>
    </w:p>
    <w:p w14:paraId="4C1C7977">
      <w:pPr>
        <w:keepNext w:val="0"/>
        <w:keepLines w:val="0"/>
        <w:pageBreakBefore w:val="0"/>
        <w:widowControl/>
        <w:kinsoku/>
        <w:wordWrap/>
        <w:overflowPunct/>
        <w:topLinePunct w:val="0"/>
        <w:autoSpaceDE/>
        <w:autoSpaceDN/>
        <w:bidi w:val="0"/>
        <w:adjustRightInd/>
        <w:snapToGrid/>
        <w:spacing w:after="0" w:line="520" w:lineRule="exact"/>
        <w:ind w:firstLine="200"/>
        <w:jc w:val="both"/>
        <w:textAlignment w:val="auto"/>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u w:val="single"/>
        </w:rPr>
        <w:t xml:space="preserve">    （担保人名称）</w:t>
      </w:r>
      <w:r>
        <w:rPr>
          <w:rFonts w:ascii="Times New Roman" w:hAnsi="Times New Roman" w:eastAsia="仿宋_GB2312" w:cs="Times New Roman"/>
          <w:snapToGrid w:val="0"/>
          <w:sz w:val="32"/>
          <w:szCs w:val="32"/>
        </w:rPr>
        <w:t>（以下称“我方”）无条件地、不可撤销地保证：若供应商在响应文件有效期内撤销响应文件，或成交后无正当理由不与采购人订立合同，或在签订合同时向采购人提出附加条件，或不按照采购文件要求递交履约保证金，或者发生采购文件明确规定不予退还响应保证金的其他情形，我方承担保证责任。收到你方书面通知后，我方在7日内向你方无条件支付人民币（大写）</w:t>
      </w:r>
      <w:r>
        <w:rPr>
          <w:rFonts w:ascii="Times New Roman" w:hAnsi="Times New Roman" w:eastAsia="仿宋_GB2312" w:cs="Times New Roman"/>
          <w:snapToGrid w:val="0"/>
          <w:sz w:val="32"/>
          <w:szCs w:val="32"/>
          <w:u w:val="single"/>
        </w:rPr>
        <w:t xml:space="preserve">                        </w:t>
      </w:r>
      <w:r>
        <w:rPr>
          <w:rFonts w:ascii="Times New Roman" w:hAnsi="Times New Roman" w:eastAsia="仿宋_GB2312" w:cs="Times New Roman"/>
          <w:snapToGrid w:val="0"/>
          <w:sz w:val="32"/>
          <w:szCs w:val="32"/>
        </w:rPr>
        <w:t>。</w:t>
      </w:r>
    </w:p>
    <w:p w14:paraId="075AD5B4">
      <w:pPr>
        <w:pStyle w:val="14"/>
        <w:keepNext w:val="0"/>
        <w:keepLines w:val="0"/>
        <w:pageBreakBefore w:val="0"/>
        <w:widowControl/>
        <w:kinsoku/>
        <w:wordWrap/>
        <w:overflowPunct/>
        <w:topLinePunct w:val="0"/>
        <w:autoSpaceDE/>
        <w:autoSpaceDN/>
        <w:bidi w:val="0"/>
        <w:adjustRightInd/>
        <w:snapToGrid/>
        <w:spacing w:line="520" w:lineRule="exact"/>
        <w:jc w:val="both"/>
        <w:textAlignment w:val="auto"/>
        <w:rPr>
          <w:rFonts w:ascii="Times New Roman" w:hAnsi="Times New Roman" w:cs="Times New Roman"/>
          <w:snapToGrid w:val="0"/>
        </w:rPr>
      </w:pPr>
      <w:r>
        <w:rPr>
          <w:rFonts w:ascii="Times New Roman" w:hAnsi="Times New Roman" w:cs="Times New Roman"/>
          <w:snapToGrid w:val="0"/>
        </w:rPr>
        <w:t>本保函在响应文件有效期内保持有效。要求我方承担保证责任的通知应在响应文件有效期内送达我方。</w:t>
      </w:r>
    </w:p>
    <w:p w14:paraId="0A915206">
      <w:pPr>
        <w:pStyle w:val="14"/>
        <w:keepNext w:val="0"/>
        <w:keepLines w:val="0"/>
        <w:pageBreakBefore w:val="0"/>
        <w:widowControl/>
        <w:kinsoku/>
        <w:wordWrap/>
        <w:overflowPunct/>
        <w:topLinePunct w:val="0"/>
        <w:autoSpaceDE/>
        <w:autoSpaceDN/>
        <w:bidi w:val="0"/>
        <w:adjustRightInd/>
        <w:snapToGrid/>
        <w:spacing w:line="520" w:lineRule="exact"/>
        <w:ind w:firstLine="0" w:firstLineChars="0"/>
        <w:jc w:val="both"/>
        <w:textAlignment w:val="auto"/>
        <w:rPr>
          <w:rFonts w:ascii="Times New Roman" w:hAnsi="Times New Roman" w:cs="Times New Roman"/>
          <w:snapToGrid w:val="0"/>
        </w:rPr>
      </w:pPr>
      <w:r>
        <w:rPr>
          <w:rFonts w:ascii="Times New Roman" w:hAnsi="Times New Roman" w:cs="Times New Roman"/>
          <w:snapToGrid w:val="0"/>
        </w:rPr>
        <w:t>担保人名称</w:t>
      </w:r>
      <w:r>
        <w:rPr>
          <w:rFonts w:ascii="Times New Roman" w:hAnsi="Times New Roman" w:cs="Times New Roman"/>
          <w:snapToGrid w:val="0"/>
          <w:u w:val="single"/>
        </w:rPr>
        <w:t>：               （盖单位公章）</w:t>
      </w:r>
    </w:p>
    <w:p w14:paraId="45DCA902">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ascii="Times New Roman" w:hAnsi="Times New Roman" w:eastAsia="仿宋_GB2312" w:cs="Times New Roman"/>
          <w:snapToGrid w:val="0"/>
          <w:sz w:val="32"/>
          <w:szCs w:val="32"/>
          <w:u w:val="single"/>
        </w:rPr>
      </w:pPr>
      <w:r>
        <w:rPr>
          <w:rFonts w:ascii="Times New Roman" w:hAnsi="Times New Roman" w:eastAsia="仿宋_GB2312" w:cs="Times New Roman"/>
          <w:snapToGrid w:val="0"/>
          <w:sz w:val="32"/>
          <w:szCs w:val="32"/>
        </w:rPr>
        <w:t>地    址</w:t>
      </w:r>
      <w:r>
        <w:rPr>
          <w:rFonts w:ascii="Times New Roman" w:hAnsi="Times New Roman" w:eastAsia="仿宋_GB2312" w:cs="Times New Roman"/>
          <w:snapToGrid w:val="0"/>
          <w:sz w:val="32"/>
          <w:szCs w:val="32"/>
          <w:u w:val="single"/>
        </w:rPr>
        <w:t xml:space="preserve">：                              </w:t>
      </w:r>
    </w:p>
    <w:p w14:paraId="697316C0">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邮政编码</w:t>
      </w:r>
      <w:r>
        <w:rPr>
          <w:rFonts w:ascii="Times New Roman" w:hAnsi="Times New Roman" w:eastAsia="仿宋_GB2312" w:cs="Times New Roman"/>
          <w:snapToGrid w:val="0"/>
          <w:sz w:val="32"/>
          <w:szCs w:val="32"/>
          <w:u w:val="single"/>
        </w:rPr>
        <w:t xml:space="preserve">：                              </w:t>
      </w:r>
    </w:p>
    <w:p w14:paraId="7BE2498E">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电    话</w:t>
      </w:r>
      <w:r>
        <w:rPr>
          <w:rFonts w:ascii="Times New Roman" w:hAnsi="Times New Roman" w:eastAsia="仿宋_GB2312" w:cs="Times New Roman"/>
          <w:snapToGrid w:val="0"/>
          <w:sz w:val="32"/>
          <w:szCs w:val="32"/>
          <w:u w:val="single"/>
        </w:rPr>
        <w:t xml:space="preserve">：                              </w:t>
      </w:r>
    </w:p>
    <w:p w14:paraId="02C271D0">
      <w:pPr>
        <w:rPr>
          <w:rFonts w:ascii="Times New Roman" w:hAnsi="Times New Roman" w:eastAsia="仿宋_GB2312" w:cs="Times New Roman"/>
          <w:sz w:val="24"/>
          <w:szCs w:val="24"/>
        </w:rPr>
      </w:pPr>
    </w:p>
    <w:p w14:paraId="099960CD">
      <w:pPr>
        <w:rPr>
          <w:rFonts w:ascii="Times New Roman" w:hAnsi="Times New Roman" w:eastAsia="仿宋_GB2312" w:cs="Times New Roman"/>
          <w:snapToGrid w:val="0"/>
          <w:sz w:val="32"/>
          <w:szCs w:val="32"/>
        </w:rPr>
      </w:pPr>
      <w:bookmarkStart w:id="426" w:name="扫描0055"/>
      <w:bookmarkEnd w:id="426"/>
      <w:r>
        <w:rPr>
          <w:rFonts w:ascii="Times New Roman" w:hAnsi="Times New Roman" w:eastAsia="仿宋_GB2312" w:cs="Times New Roman"/>
          <w:snapToGrid w:val="0"/>
          <w:sz w:val="24"/>
          <w:szCs w:val="24"/>
        </w:rPr>
        <w:t xml:space="preserve">                                                                                                     </w:t>
      </w:r>
      <w:r>
        <w:rPr>
          <w:rFonts w:ascii="Times New Roman" w:hAnsi="Times New Roman" w:eastAsia="仿宋_GB2312" w:cs="Times New Roman"/>
          <w:snapToGrid w:val="0"/>
          <w:sz w:val="24"/>
          <w:szCs w:val="24"/>
          <w:u w:val="single"/>
        </w:rPr>
        <w:t xml:space="preserve">           </w:t>
      </w:r>
      <w:r>
        <w:rPr>
          <w:rFonts w:ascii="Times New Roman" w:hAnsi="Times New Roman" w:eastAsia="仿宋_GB2312" w:cs="Times New Roman"/>
          <w:snapToGrid w:val="0"/>
          <w:sz w:val="32"/>
          <w:szCs w:val="32"/>
          <w:u w:val="single"/>
        </w:rPr>
        <w:t xml:space="preserve">    </w:t>
      </w:r>
      <w:r>
        <w:rPr>
          <w:rFonts w:ascii="Times New Roman" w:hAnsi="Times New Roman" w:eastAsia="仿宋_GB2312" w:cs="Times New Roman"/>
          <w:snapToGrid w:val="0"/>
          <w:sz w:val="32"/>
          <w:szCs w:val="32"/>
        </w:rPr>
        <w:t>年</w:t>
      </w:r>
      <w:r>
        <w:rPr>
          <w:rFonts w:ascii="Times New Roman" w:hAnsi="Times New Roman" w:eastAsia="仿宋_GB2312" w:cs="Times New Roman"/>
          <w:snapToGrid w:val="0"/>
          <w:sz w:val="32"/>
          <w:szCs w:val="32"/>
          <w:u w:val="single"/>
        </w:rPr>
        <w:t xml:space="preserve">     </w:t>
      </w:r>
      <w:r>
        <w:rPr>
          <w:rFonts w:ascii="Times New Roman" w:hAnsi="Times New Roman" w:eastAsia="仿宋_GB2312" w:cs="Times New Roman"/>
          <w:snapToGrid w:val="0"/>
          <w:sz w:val="32"/>
          <w:szCs w:val="32"/>
        </w:rPr>
        <w:t>月</w:t>
      </w:r>
      <w:r>
        <w:rPr>
          <w:rFonts w:ascii="Times New Roman" w:hAnsi="Times New Roman" w:eastAsia="仿宋_GB2312" w:cs="Times New Roman"/>
          <w:snapToGrid w:val="0"/>
          <w:sz w:val="32"/>
          <w:szCs w:val="32"/>
          <w:u w:val="single"/>
        </w:rPr>
        <w:t xml:space="preserve">      </w:t>
      </w:r>
      <w:r>
        <w:rPr>
          <w:rFonts w:ascii="Times New Roman" w:hAnsi="Times New Roman" w:eastAsia="仿宋_GB2312" w:cs="Times New Roman"/>
          <w:snapToGrid w:val="0"/>
          <w:sz w:val="32"/>
          <w:szCs w:val="32"/>
        </w:rPr>
        <w:t>日</w:t>
      </w:r>
    </w:p>
    <w:p w14:paraId="495DE026">
      <w:pPr>
        <w:jc w:val="center"/>
        <w:rPr>
          <w:rFonts w:ascii="Times New Roman" w:hAnsi="Times New Roman" w:eastAsia="方正小标宋简体" w:cs="Times New Roman"/>
          <w:b/>
          <w:sz w:val="36"/>
          <w:szCs w:val="36"/>
        </w:rPr>
      </w:pPr>
    </w:p>
    <w:p w14:paraId="1A33BAFF">
      <w:pPr>
        <w:spacing w:line="560" w:lineRule="exact"/>
        <w:jc w:val="center"/>
        <w:outlineLvl w:val="2"/>
        <w:rPr>
          <w:rFonts w:ascii="Times New Roman" w:hAnsi="Times New Roman" w:eastAsia="方正小标宋简体" w:cs="Times New Roman"/>
          <w:b/>
          <w:sz w:val="36"/>
          <w:szCs w:val="36"/>
        </w:rPr>
      </w:pPr>
      <w:bookmarkStart w:id="427" w:name="_Toc12756"/>
      <w:r>
        <w:rPr>
          <w:rFonts w:hint="eastAsia" w:ascii="方正小标宋_GBK" w:hAnsi="方正小标宋_GBK" w:eastAsia="方正小标宋_GBK" w:cs="方正小标宋_GBK"/>
          <w:b/>
          <w:sz w:val="36"/>
          <w:szCs w:val="36"/>
        </w:rPr>
        <w:t>投标保证金退还申请书</w:t>
      </w:r>
      <w:bookmarkEnd w:id="427"/>
    </w:p>
    <w:p w14:paraId="306BE250">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致：中粮梁河糖业有限公司</w:t>
      </w:r>
    </w:p>
    <w:tbl>
      <w:tblPr>
        <w:tblStyle w:val="33"/>
        <w:tblpPr w:leftFromText="180" w:rightFromText="180" w:vertAnchor="text" w:horzAnchor="page" w:tblpX="1705" w:tblpY="2229"/>
        <w:tblOverlap w:val="never"/>
        <w:tblW w:w="8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1731"/>
        <w:gridCol w:w="1860"/>
        <w:gridCol w:w="1840"/>
      </w:tblGrid>
      <w:tr w14:paraId="7EDD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3533" w:type="dxa"/>
            <w:tcBorders>
              <w:top w:val="single" w:color="auto" w:sz="4" w:space="0"/>
              <w:left w:val="single" w:color="auto" w:sz="4" w:space="0"/>
              <w:bottom w:val="single" w:color="auto" w:sz="4" w:space="0"/>
              <w:right w:val="single" w:color="auto" w:sz="4" w:space="0"/>
            </w:tcBorders>
            <w:vAlign w:val="center"/>
          </w:tcPr>
          <w:p w14:paraId="34BAFA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投标人（收款单位）名称</w:t>
            </w:r>
          </w:p>
        </w:tc>
        <w:tc>
          <w:tcPr>
            <w:tcW w:w="5431" w:type="dxa"/>
            <w:gridSpan w:val="3"/>
            <w:tcBorders>
              <w:top w:val="single" w:color="auto" w:sz="4" w:space="0"/>
              <w:left w:val="single" w:color="auto" w:sz="4" w:space="0"/>
              <w:bottom w:val="single" w:color="auto" w:sz="4" w:space="0"/>
              <w:right w:val="single" w:color="auto" w:sz="4" w:space="0"/>
            </w:tcBorders>
            <w:vAlign w:val="center"/>
          </w:tcPr>
          <w:p w14:paraId="0674E25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r>
      <w:tr w14:paraId="69D2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3533" w:type="dxa"/>
            <w:tcBorders>
              <w:top w:val="single" w:color="auto" w:sz="4" w:space="0"/>
              <w:left w:val="single" w:color="auto" w:sz="4" w:space="0"/>
              <w:bottom w:val="single" w:color="auto" w:sz="4" w:space="0"/>
              <w:right w:val="single" w:color="auto" w:sz="4" w:space="0"/>
            </w:tcBorders>
            <w:vAlign w:val="center"/>
          </w:tcPr>
          <w:p w14:paraId="2D72D22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投标人地址</w:t>
            </w:r>
          </w:p>
        </w:tc>
        <w:tc>
          <w:tcPr>
            <w:tcW w:w="5431" w:type="dxa"/>
            <w:gridSpan w:val="3"/>
            <w:tcBorders>
              <w:top w:val="single" w:color="auto" w:sz="4" w:space="0"/>
              <w:left w:val="single" w:color="auto" w:sz="4" w:space="0"/>
              <w:bottom w:val="single" w:color="auto" w:sz="4" w:space="0"/>
              <w:right w:val="single" w:color="auto" w:sz="4" w:space="0"/>
            </w:tcBorders>
            <w:vAlign w:val="center"/>
          </w:tcPr>
          <w:p w14:paraId="2755A553">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r>
      <w:tr w14:paraId="7737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trPr>
        <w:tc>
          <w:tcPr>
            <w:tcW w:w="3533" w:type="dxa"/>
            <w:tcBorders>
              <w:top w:val="single" w:color="auto" w:sz="4" w:space="0"/>
              <w:left w:val="single" w:color="auto" w:sz="4" w:space="0"/>
              <w:bottom w:val="single" w:color="auto" w:sz="4" w:space="0"/>
              <w:right w:val="single" w:color="auto" w:sz="4" w:space="0"/>
            </w:tcBorders>
            <w:vAlign w:val="center"/>
          </w:tcPr>
          <w:p w14:paraId="1BD449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开户银行</w:t>
            </w:r>
          </w:p>
        </w:tc>
        <w:tc>
          <w:tcPr>
            <w:tcW w:w="5431" w:type="dxa"/>
            <w:gridSpan w:val="3"/>
            <w:tcBorders>
              <w:top w:val="single" w:color="auto" w:sz="4" w:space="0"/>
              <w:left w:val="single" w:color="auto" w:sz="4" w:space="0"/>
              <w:bottom w:val="single" w:color="auto" w:sz="4" w:space="0"/>
              <w:right w:val="single" w:color="auto" w:sz="4" w:space="0"/>
            </w:tcBorders>
            <w:vAlign w:val="center"/>
          </w:tcPr>
          <w:p w14:paraId="69214A60">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r>
      <w:tr w14:paraId="0E3D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3533" w:type="dxa"/>
            <w:tcBorders>
              <w:top w:val="single" w:color="auto" w:sz="4" w:space="0"/>
              <w:left w:val="single" w:color="auto" w:sz="4" w:space="0"/>
              <w:bottom w:val="single" w:color="auto" w:sz="4" w:space="0"/>
              <w:right w:val="single" w:color="auto" w:sz="4" w:space="0"/>
            </w:tcBorders>
            <w:vAlign w:val="center"/>
          </w:tcPr>
          <w:p w14:paraId="24D2DE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账    号</w:t>
            </w:r>
          </w:p>
        </w:tc>
        <w:tc>
          <w:tcPr>
            <w:tcW w:w="5431" w:type="dxa"/>
            <w:gridSpan w:val="3"/>
            <w:tcBorders>
              <w:top w:val="single" w:color="auto" w:sz="4" w:space="0"/>
              <w:left w:val="single" w:color="auto" w:sz="4" w:space="0"/>
              <w:bottom w:val="single" w:color="auto" w:sz="4" w:space="0"/>
              <w:right w:val="single" w:color="auto" w:sz="4" w:space="0"/>
            </w:tcBorders>
            <w:vAlign w:val="center"/>
          </w:tcPr>
          <w:p w14:paraId="50DBE1C4">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r>
      <w:tr w14:paraId="52E0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3533" w:type="dxa"/>
            <w:tcBorders>
              <w:top w:val="single" w:color="auto" w:sz="4" w:space="0"/>
              <w:left w:val="single" w:color="auto" w:sz="4" w:space="0"/>
              <w:bottom w:val="single" w:color="auto" w:sz="4" w:space="0"/>
              <w:right w:val="single" w:color="auto" w:sz="4" w:space="0"/>
            </w:tcBorders>
            <w:vAlign w:val="center"/>
          </w:tcPr>
          <w:p w14:paraId="53D34F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 系 人</w:t>
            </w:r>
          </w:p>
        </w:tc>
        <w:tc>
          <w:tcPr>
            <w:tcW w:w="1731" w:type="dxa"/>
            <w:tcBorders>
              <w:top w:val="single" w:color="auto" w:sz="4" w:space="0"/>
              <w:left w:val="single" w:color="auto" w:sz="4" w:space="0"/>
              <w:bottom w:val="single" w:color="auto" w:sz="4" w:space="0"/>
              <w:right w:val="single" w:color="auto" w:sz="4" w:space="0"/>
            </w:tcBorders>
            <w:vAlign w:val="center"/>
          </w:tcPr>
          <w:p w14:paraId="522AA395">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c>
          <w:tcPr>
            <w:tcW w:w="1860" w:type="dxa"/>
            <w:tcBorders>
              <w:top w:val="single" w:color="auto" w:sz="4" w:space="0"/>
              <w:left w:val="single" w:color="auto" w:sz="4" w:space="0"/>
              <w:bottom w:val="single" w:color="auto" w:sz="4" w:space="0"/>
              <w:right w:val="single" w:color="auto" w:sz="4" w:space="0"/>
            </w:tcBorders>
            <w:vAlign w:val="center"/>
          </w:tcPr>
          <w:p w14:paraId="375852FA">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c>
          <w:tcPr>
            <w:tcW w:w="1840" w:type="dxa"/>
            <w:tcBorders>
              <w:top w:val="single" w:color="auto" w:sz="4" w:space="0"/>
              <w:left w:val="single" w:color="auto" w:sz="4" w:space="0"/>
              <w:bottom w:val="single" w:color="auto" w:sz="4" w:space="0"/>
              <w:right w:val="single" w:color="auto" w:sz="4" w:space="0"/>
            </w:tcBorders>
            <w:vAlign w:val="center"/>
          </w:tcPr>
          <w:p w14:paraId="6577683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p>
        </w:tc>
      </w:tr>
    </w:tbl>
    <w:p w14:paraId="02A41801">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我单位参加了贵方组织的 </w:t>
      </w:r>
      <w:r>
        <w:rPr>
          <w:rFonts w:hint="default" w:ascii="Times New Roman" w:hAnsi="Times New Roman" w:eastAsia="仿宋_GB2312" w:cs="Times New Roman"/>
          <w:sz w:val="32"/>
          <w:szCs w:val="32"/>
          <w:u w:val="single"/>
        </w:rPr>
        <w:t>梁河糖业公司设备购置及土建项目-</w:t>
      </w:r>
      <w:r>
        <w:rPr>
          <w:rFonts w:ascii="Times New Roman" w:hAnsi="Times New Roman" w:eastAsia="仿宋_GB2312" w:cs="Times New Roman"/>
          <w:sz w:val="32"/>
          <w:szCs w:val="32"/>
          <w:u w:val="single"/>
        </w:rPr>
        <w:t>梁河糖业2024年勐养动力车间35t/h锅炉修理项目</w:t>
      </w:r>
      <w:r>
        <w:rPr>
          <w:rFonts w:ascii="Times New Roman" w:hAnsi="Times New Roman" w:eastAsia="仿宋_GB2312" w:cs="Times New Roman"/>
          <w:sz w:val="32"/>
          <w:szCs w:val="32"/>
        </w:rPr>
        <w:t>投标并递交了形式为的投标保证金人民币</w:t>
      </w:r>
      <w:r>
        <w:rPr>
          <w:rFonts w:ascii="Times New Roman" w:hAnsi="Times New Roman" w:eastAsia="仿宋_GB2312" w:cs="Times New Roman"/>
          <w:sz w:val="32"/>
          <w:szCs w:val="32"/>
          <w:u w:val="single"/>
        </w:rPr>
        <w:t xml:space="preserve">    万</w:t>
      </w:r>
      <w:r>
        <w:rPr>
          <w:rFonts w:ascii="Times New Roman" w:hAnsi="Times New Roman" w:eastAsia="仿宋_GB2312" w:cs="Times New Roman"/>
          <w:sz w:val="32"/>
          <w:szCs w:val="32"/>
        </w:rPr>
        <w:t xml:space="preserve">元，若我单位未能中标贵方项目的，我单位投标保证金请按下表账户信息退还。 </w:t>
      </w:r>
    </w:p>
    <w:p w14:paraId="4A49088E">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如果我单位未遵守有关招标文件关于投标保证金的规定，贵方可以没收我单位投标保证金。</w:t>
      </w:r>
    </w:p>
    <w:p w14:paraId="621A5163">
      <w:pPr>
        <w:keepNext w:val="0"/>
        <w:keepLines w:val="0"/>
        <w:pageBreakBefore w:val="0"/>
        <w:widowControl/>
        <w:kinsoku/>
        <w:wordWrap/>
        <w:overflowPunct/>
        <w:topLinePunct w:val="0"/>
        <w:autoSpaceDE/>
        <w:autoSpaceDN/>
        <w:bidi w:val="0"/>
        <w:adjustRightInd/>
        <w:snapToGrid/>
        <w:spacing w:line="520" w:lineRule="exact"/>
        <w:textAlignment w:val="auto"/>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投标人名称（盖章）：</w:t>
      </w:r>
    </w:p>
    <w:p w14:paraId="4938D8CD">
      <w:pPr>
        <w:keepNext w:val="0"/>
        <w:keepLines w:val="0"/>
        <w:pageBreakBefore w:val="0"/>
        <w:widowControl/>
        <w:kinsoku/>
        <w:wordWrap/>
        <w:overflowPunct/>
        <w:topLinePunct w:val="0"/>
        <w:autoSpaceDE/>
        <w:autoSpaceDN/>
        <w:bidi w:val="0"/>
        <w:adjustRightInd/>
        <w:snapToGrid/>
        <w:spacing w:line="520" w:lineRule="exact"/>
        <w:textAlignment w:val="auto"/>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投标人授权代表（签字）：</w:t>
      </w:r>
    </w:p>
    <w:p w14:paraId="7E7F8320">
      <w:pPr>
        <w:keepNext w:val="0"/>
        <w:keepLines w:val="0"/>
        <w:pageBreakBefore w:val="0"/>
        <w:widowControl/>
        <w:kinsoku/>
        <w:wordWrap/>
        <w:overflowPunct/>
        <w:topLinePunct w:val="0"/>
        <w:autoSpaceDE/>
        <w:autoSpaceDN/>
        <w:bidi w:val="0"/>
        <w:adjustRightInd/>
        <w:snapToGrid/>
        <w:spacing w:line="520" w:lineRule="exact"/>
        <w:textAlignment w:val="auto"/>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日期：        年    月    日</w:t>
      </w:r>
    </w:p>
    <w:p w14:paraId="70C1F8B9">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说明：</w:t>
      </w:r>
    </w:p>
    <w:p w14:paraId="45614C1A">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1"/>
        <w:rPr>
          <w:rFonts w:ascii="Times New Roman" w:hAnsi="Times New Roman" w:eastAsia="仿宋_GB2312" w:cs="Times New Roman"/>
          <w:sz w:val="32"/>
          <w:szCs w:val="32"/>
        </w:rPr>
      </w:pPr>
      <w:bookmarkStart w:id="428" w:name="_Toc16827"/>
      <w:r>
        <w:rPr>
          <w:rFonts w:ascii="Times New Roman" w:hAnsi="Times New Roman" w:eastAsia="仿宋_GB2312" w:cs="Times New Roman"/>
          <w:sz w:val="32"/>
          <w:szCs w:val="32"/>
        </w:rPr>
        <w:t>1．为保障资金安全，上述账户不能为私人账户。</w:t>
      </w:r>
      <w:bookmarkEnd w:id="428"/>
    </w:p>
    <w:p w14:paraId="5DD811B6">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2．如因上述账户信息有误或账户信息变更未及时通知导致投标保证金无法退还或丢失等可能产生的一切后果由投标人自行负责。</w:t>
      </w:r>
    </w:p>
    <w:p w14:paraId="457F0CB0">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3．如投标人未及时收到退回款项，请与中粮梁河糖业有限公司设备部联系。</w:t>
      </w:r>
    </w:p>
    <w:p w14:paraId="5634C214">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outlineLvl w:val="1"/>
        <w:rPr>
          <w:rFonts w:ascii="Times New Roman" w:hAnsi="Times New Roman" w:eastAsia="仿宋_GB2312" w:cs="Times New Roman"/>
          <w:sz w:val="32"/>
          <w:szCs w:val="32"/>
          <w:highlight w:val="yellow"/>
        </w:rPr>
      </w:pPr>
      <w:bookmarkStart w:id="429" w:name="_Toc31298"/>
      <w:r>
        <w:rPr>
          <w:rFonts w:ascii="Times New Roman" w:hAnsi="Times New Roman" w:eastAsia="仿宋_GB2312" w:cs="Times New Roman"/>
          <w:sz w:val="32"/>
          <w:szCs w:val="32"/>
          <w:highlight w:val="none"/>
        </w:rPr>
        <w:t>4．中粮梁河糖业有限公司设备部联系方式：</w:t>
      </w:r>
      <w:bookmarkEnd w:id="429"/>
    </w:p>
    <w:p w14:paraId="6102DD72">
      <w:pPr>
        <w:keepNext w:val="0"/>
        <w:keepLines w:val="0"/>
        <w:pageBreakBefore w:val="0"/>
        <w:widowControl/>
        <w:kinsoku/>
        <w:wordWrap/>
        <w:overflowPunct/>
        <w:topLinePunct w:val="0"/>
        <w:autoSpaceDE/>
        <w:autoSpaceDN/>
        <w:bidi w:val="0"/>
        <w:adjustRightInd/>
        <w:snapToGrid/>
        <w:spacing w:after="0" w:line="520" w:lineRule="exact"/>
        <w:ind w:firstLine="640" w:firstLineChars="200"/>
        <w:jc w:val="both"/>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highlight w:val="none"/>
        </w:rPr>
        <w:t>联系人：杨常茂13987028948</w:t>
      </w:r>
    </w:p>
    <w:p w14:paraId="33C27799">
      <w:pPr>
        <w:pStyle w:val="3"/>
        <w:ind w:firstLine="800"/>
        <w:jc w:val="center"/>
        <w:outlineLvl w:val="2"/>
        <w:rPr>
          <w:rFonts w:ascii="黑体" w:hAnsi="黑体" w:eastAsia="黑体" w:cs="Times New Roman"/>
          <w:snapToGrid w:val="0"/>
          <w:color w:val="auto"/>
          <w:sz w:val="32"/>
          <w:szCs w:val="32"/>
        </w:rPr>
      </w:pPr>
      <w:bookmarkStart w:id="430" w:name="_bookmark18"/>
      <w:bookmarkEnd w:id="430"/>
      <w:bookmarkStart w:id="431" w:name="_Toc10730"/>
      <w:r>
        <w:rPr>
          <w:rFonts w:ascii="黑体" w:hAnsi="黑体" w:eastAsia="黑体" w:cs="Times New Roman"/>
          <w:snapToGrid w:val="0"/>
          <w:color w:val="auto"/>
          <w:sz w:val="32"/>
          <w:szCs w:val="32"/>
        </w:rPr>
        <w:t>五、商务和技术偏差表</w:t>
      </w:r>
      <w:bookmarkEnd w:id="431"/>
    </w:p>
    <w:p w14:paraId="6F03F2AE">
      <w:pPr>
        <w:rPr>
          <w:rFonts w:hint="eastAsia"/>
        </w:rPr>
      </w:pP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3120"/>
        <w:gridCol w:w="3120"/>
        <w:gridCol w:w="1718"/>
      </w:tblGrid>
      <w:tr w14:paraId="076ED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152" w:type="dxa"/>
            <w:vAlign w:val="center"/>
          </w:tcPr>
          <w:p w14:paraId="5978F4F6">
            <w:pPr>
              <w:jc w:val="cente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序号</w:t>
            </w:r>
          </w:p>
        </w:tc>
        <w:tc>
          <w:tcPr>
            <w:tcW w:w="3120" w:type="dxa"/>
            <w:vAlign w:val="center"/>
          </w:tcPr>
          <w:p w14:paraId="56FCF1FA">
            <w:pPr>
              <w:jc w:val="cente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采购文件章节及条款号</w:t>
            </w:r>
          </w:p>
        </w:tc>
        <w:tc>
          <w:tcPr>
            <w:tcW w:w="3120" w:type="dxa"/>
            <w:vAlign w:val="center"/>
          </w:tcPr>
          <w:p w14:paraId="4048148A">
            <w:pPr>
              <w:jc w:val="cente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响应文件章节及条款号</w:t>
            </w:r>
          </w:p>
        </w:tc>
        <w:tc>
          <w:tcPr>
            <w:tcW w:w="1718" w:type="dxa"/>
            <w:vAlign w:val="center"/>
          </w:tcPr>
          <w:p w14:paraId="25A6EC28">
            <w:pPr>
              <w:jc w:val="cente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偏差说明</w:t>
            </w:r>
          </w:p>
        </w:tc>
      </w:tr>
      <w:tr w14:paraId="3D3C9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152" w:type="dxa"/>
            <w:vAlign w:val="center"/>
          </w:tcPr>
          <w:p w14:paraId="19D55002">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1</w:t>
            </w:r>
          </w:p>
        </w:tc>
        <w:tc>
          <w:tcPr>
            <w:tcW w:w="3120" w:type="dxa"/>
            <w:vAlign w:val="center"/>
          </w:tcPr>
          <w:p w14:paraId="581DA6A3">
            <w:pPr>
              <w:rPr>
                <w:rFonts w:hint="eastAsia" w:ascii="仿宋_GB2312" w:hAnsi="仿宋_GB2312" w:eastAsia="仿宋_GB2312" w:cs="仿宋_GB2312"/>
                <w:snapToGrid w:val="0"/>
                <w:sz w:val="24"/>
                <w:szCs w:val="24"/>
              </w:rPr>
            </w:pPr>
          </w:p>
        </w:tc>
        <w:tc>
          <w:tcPr>
            <w:tcW w:w="3120" w:type="dxa"/>
            <w:vAlign w:val="center"/>
          </w:tcPr>
          <w:p w14:paraId="6A76BF5E">
            <w:pPr>
              <w:rPr>
                <w:rFonts w:hint="eastAsia" w:ascii="仿宋_GB2312" w:hAnsi="仿宋_GB2312" w:eastAsia="仿宋_GB2312" w:cs="仿宋_GB2312"/>
                <w:snapToGrid w:val="0"/>
                <w:sz w:val="24"/>
                <w:szCs w:val="24"/>
              </w:rPr>
            </w:pPr>
          </w:p>
        </w:tc>
        <w:tc>
          <w:tcPr>
            <w:tcW w:w="1718" w:type="dxa"/>
            <w:vAlign w:val="center"/>
          </w:tcPr>
          <w:p w14:paraId="0356FA63">
            <w:pPr>
              <w:rPr>
                <w:rFonts w:hint="eastAsia" w:ascii="仿宋_GB2312" w:hAnsi="仿宋_GB2312" w:eastAsia="仿宋_GB2312" w:cs="仿宋_GB2312"/>
                <w:snapToGrid w:val="0"/>
                <w:sz w:val="24"/>
                <w:szCs w:val="24"/>
              </w:rPr>
            </w:pPr>
          </w:p>
        </w:tc>
      </w:tr>
      <w:tr w14:paraId="7A6C7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152" w:type="dxa"/>
            <w:vAlign w:val="center"/>
          </w:tcPr>
          <w:p w14:paraId="10F2C586">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2</w:t>
            </w:r>
          </w:p>
        </w:tc>
        <w:tc>
          <w:tcPr>
            <w:tcW w:w="3120" w:type="dxa"/>
            <w:vAlign w:val="center"/>
          </w:tcPr>
          <w:p w14:paraId="1B344B75">
            <w:pPr>
              <w:rPr>
                <w:rFonts w:hint="eastAsia" w:ascii="仿宋_GB2312" w:hAnsi="仿宋_GB2312" w:eastAsia="仿宋_GB2312" w:cs="仿宋_GB2312"/>
                <w:snapToGrid w:val="0"/>
                <w:sz w:val="24"/>
                <w:szCs w:val="24"/>
              </w:rPr>
            </w:pPr>
          </w:p>
        </w:tc>
        <w:tc>
          <w:tcPr>
            <w:tcW w:w="3120" w:type="dxa"/>
            <w:vAlign w:val="center"/>
          </w:tcPr>
          <w:p w14:paraId="5A6C892E">
            <w:pPr>
              <w:rPr>
                <w:rFonts w:hint="eastAsia" w:ascii="仿宋_GB2312" w:hAnsi="仿宋_GB2312" w:eastAsia="仿宋_GB2312" w:cs="仿宋_GB2312"/>
                <w:snapToGrid w:val="0"/>
                <w:sz w:val="24"/>
                <w:szCs w:val="24"/>
              </w:rPr>
            </w:pPr>
          </w:p>
        </w:tc>
        <w:tc>
          <w:tcPr>
            <w:tcW w:w="1718" w:type="dxa"/>
            <w:vAlign w:val="center"/>
          </w:tcPr>
          <w:p w14:paraId="78BFD7F2">
            <w:pPr>
              <w:rPr>
                <w:rFonts w:hint="eastAsia" w:ascii="仿宋_GB2312" w:hAnsi="仿宋_GB2312" w:eastAsia="仿宋_GB2312" w:cs="仿宋_GB2312"/>
                <w:snapToGrid w:val="0"/>
                <w:sz w:val="24"/>
                <w:szCs w:val="24"/>
              </w:rPr>
            </w:pPr>
          </w:p>
        </w:tc>
      </w:tr>
      <w:tr w14:paraId="1E80E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1152" w:type="dxa"/>
            <w:vAlign w:val="center"/>
          </w:tcPr>
          <w:p w14:paraId="4DD2A410">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3</w:t>
            </w:r>
          </w:p>
        </w:tc>
        <w:tc>
          <w:tcPr>
            <w:tcW w:w="3120" w:type="dxa"/>
            <w:vAlign w:val="center"/>
          </w:tcPr>
          <w:p w14:paraId="348BBCA6">
            <w:pPr>
              <w:rPr>
                <w:rFonts w:hint="eastAsia" w:ascii="仿宋_GB2312" w:hAnsi="仿宋_GB2312" w:eastAsia="仿宋_GB2312" w:cs="仿宋_GB2312"/>
                <w:snapToGrid w:val="0"/>
                <w:sz w:val="24"/>
                <w:szCs w:val="24"/>
              </w:rPr>
            </w:pPr>
          </w:p>
        </w:tc>
        <w:tc>
          <w:tcPr>
            <w:tcW w:w="3120" w:type="dxa"/>
            <w:vAlign w:val="center"/>
          </w:tcPr>
          <w:p w14:paraId="6BAE2CD1">
            <w:pPr>
              <w:rPr>
                <w:rFonts w:hint="eastAsia" w:ascii="仿宋_GB2312" w:hAnsi="仿宋_GB2312" w:eastAsia="仿宋_GB2312" w:cs="仿宋_GB2312"/>
                <w:snapToGrid w:val="0"/>
                <w:sz w:val="24"/>
                <w:szCs w:val="24"/>
              </w:rPr>
            </w:pPr>
          </w:p>
        </w:tc>
        <w:tc>
          <w:tcPr>
            <w:tcW w:w="1718" w:type="dxa"/>
            <w:vAlign w:val="center"/>
          </w:tcPr>
          <w:p w14:paraId="008BDBCD">
            <w:pPr>
              <w:rPr>
                <w:rFonts w:hint="eastAsia" w:ascii="仿宋_GB2312" w:hAnsi="仿宋_GB2312" w:eastAsia="仿宋_GB2312" w:cs="仿宋_GB2312"/>
                <w:snapToGrid w:val="0"/>
                <w:sz w:val="24"/>
                <w:szCs w:val="24"/>
              </w:rPr>
            </w:pPr>
          </w:p>
        </w:tc>
      </w:tr>
      <w:tr w14:paraId="70F65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1152" w:type="dxa"/>
            <w:vAlign w:val="center"/>
          </w:tcPr>
          <w:p w14:paraId="1AF1BFF8">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4</w:t>
            </w:r>
          </w:p>
        </w:tc>
        <w:tc>
          <w:tcPr>
            <w:tcW w:w="3120" w:type="dxa"/>
            <w:vAlign w:val="center"/>
          </w:tcPr>
          <w:p w14:paraId="6CCE50A9">
            <w:pPr>
              <w:rPr>
                <w:rFonts w:hint="eastAsia" w:ascii="仿宋_GB2312" w:hAnsi="仿宋_GB2312" w:eastAsia="仿宋_GB2312" w:cs="仿宋_GB2312"/>
                <w:snapToGrid w:val="0"/>
                <w:sz w:val="24"/>
                <w:szCs w:val="24"/>
              </w:rPr>
            </w:pPr>
          </w:p>
        </w:tc>
        <w:tc>
          <w:tcPr>
            <w:tcW w:w="3120" w:type="dxa"/>
            <w:vAlign w:val="center"/>
          </w:tcPr>
          <w:p w14:paraId="56036FEB">
            <w:pPr>
              <w:rPr>
                <w:rFonts w:hint="eastAsia" w:ascii="仿宋_GB2312" w:hAnsi="仿宋_GB2312" w:eastAsia="仿宋_GB2312" w:cs="仿宋_GB2312"/>
                <w:snapToGrid w:val="0"/>
                <w:sz w:val="24"/>
                <w:szCs w:val="24"/>
              </w:rPr>
            </w:pPr>
          </w:p>
        </w:tc>
        <w:tc>
          <w:tcPr>
            <w:tcW w:w="1718" w:type="dxa"/>
            <w:vAlign w:val="center"/>
          </w:tcPr>
          <w:p w14:paraId="17EAB31A">
            <w:pPr>
              <w:rPr>
                <w:rFonts w:hint="eastAsia" w:ascii="仿宋_GB2312" w:hAnsi="仿宋_GB2312" w:eastAsia="仿宋_GB2312" w:cs="仿宋_GB2312"/>
                <w:snapToGrid w:val="0"/>
                <w:sz w:val="24"/>
                <w:szCs w:val="24"/>
              </w:rPr>
            </w:pPr>
          </w:p>
        </w:tc>
      </w:tr>
      <w:tr w14:paraId="1F25A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152" w:type="dxa"/>
            <w:vAlign w:val="center"/>
          </w:tcPr>
          <w:p w14:paraId="6052D372">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5</w:t>
            </w:r>
          </w:p>
        </w:tc>
        <w:tc>
          <w:tcPr>
            <w:tcW w:w="3120" w:type="dxa"/>
            <w:vAlign w:val="center"/>
          </w:tcPr>
          <w:p w14:paraId="0521E08B">
            <w:pPr>
              <w:rPr>
                <w:rFonts w:hint="eastAsia" w:ascii="仿宋_GB2312" w:hAnsi="仿宋_GB2312" w:eastAsia="仿宋_GB2312" w:cs="仿宋_GB2312"/>
                <w:snapToGrid w:val="0"/>
                <w:sz w:val="24"/>
                <w:szCs w:val="24"/>
              </w:rPr>
            </w:pPr>
          </w:p>
        </w:tc>
        <w:tc>
          <w:tcPr>
            <w:tcW w:w="3120" w:type="dxa"/>
            <w:vAlign w:val="center"/>
          </w:tcPr>
          <w:p w14:paraId="758A1698">
            <w:pPr>
              <w:rPr>
                <w:rFonts w:hint="eastAsia" w:ascii="仿宋_GB2312" w:hAnsi="仿宋_GB2312" w:eastAsia="仿宋_GB2312" w:cs="仿宋_GB2312"/>
                <w:snapToGrid w:val="0"/>
                <w:sz w:val="24"/>
                <w:szCs w:val="24"/>
              </w:rPr>
            </w:pPr>
          </w:p>
        </w:tc>
        <w:tc>
          <w:tcPr>
            <w:tcW w:w="1718" w:type="dxa"/>
            <w:vAlign w:val="center"/>
          </w:tcPr>
          <w:p w14:paraId="17A57749">
            <w:pPr>
              <w:rPr>
                <w:rFonts w:hint="eastAsia" w:ascii="仿宋_GB2312" w:hAnsi="仿宋_GB2312" w:eastAsia="仿宋_GB2312" w:cs="仿宋_GB2312"/>
                <w:snapToGrid w:val="0"/>
                <w:sz w:val="24"/>
                <w:szCs w:val="24"/>
              </w:rPr>
            </w:pPr>
          </w:p>
        </w:tc>
      </w:tr>
      <w:tr w14:paraId="405A3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1152" w:type="dxa"/>
            <w:vAlign w:val="center"/>
          </w:tcPr>
          <w:p w14:paraId="4E8CE021">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w:t>
            </w:r>
          </w:p>
        </w:tc>
        <w:tc>
          <w:tcPr>
            <w:tcW w:w="3120" w:type="dxa"/>
            <w:vAlign w:val="center"/>
          </w:tcPr>
          <w:p w14:paraId="17F46396">
            <w:pPr>
              <w:rPr>
                <w:rFonts w:hint="eastAsia" w:ascii="仿宋_GB2312" w:hAnsi="仿宋_GB2312" w:eastAsia="仿宋_GB2312" w:cs="仿宋_GB2312"/>
                <w:snapToGrid w:val="0"/>
                <w:sz w:val="24"/>
                <w:szCs w:val="24"/>
              </w:rPr>
            </w:pPr>
          </w:p>
        </w:tc>
        <w:tc>
          <w:tcPr>
            <w:tcW w:w="3120" w:type="dxa"/>
            <w:vAlign w:val="center"/>
          </w:tcPr>
          <w:p w14:paraId="4711FD2B">
            <w:pPr>
              <w:rPr>
                <w:rFonts w:hint="eastAsia" w:ascii="仿宋_GB2312" w:hAnsi="仿宋_GB2312" w:eastAsia="仿宋_GB2312" w:cs="仿宋_GB2312"/>
                <w:snapToGrid w:val="0"/>
                <w:sz w:val="24"/>
                <w:szCs w:val="24"/>
              </w:rPr>
            </w:pPr>
          </w:p>
        </w:tc>
        <w:tc>
          <w:tcPr>
            <w:tcW w:w="1718" w:type="dxa"/>
            <w:vAlign w:val="center"/>
          </w:tcPr>
          <w:p w14:paraId="7C7FFAB2">
            <w:pPr>
              <w:rPr>
                <w:rFonts w:hint="eastAsia" w:ascii="仿宋_GB2312" w:hAnsi="仿宋_GB2312" w:eastAsia="仿宋_GB2312" w:cs="仿宋_GB2312"/>
                <w:snapToGrid w:val="0"/>
                <w:sz w:val="24"/>
                <w:szCs w:val="24"/>
              </w:rPr>
            </w:pPr>
          </w:p>
        </w:tc>
      </w:tr>
    </w:tbl>
    <w:p w14:paraId="0173C742">
      <w:pPr>
        <w:rPr>
          <w:rFonts w:ascii="Times New Roman" w:hAnsi="Times New Roman" w:cs="Times New Roman"/>
          <w:snapToGrid w:val="0"/>
        </w:rPr>
      </w:pPr>
    </w:p>
    <w:p w14:paraId="0325EB77">
      <w:pPr>
        <w:rPr>
          <w:rFonts w:ascii="Times New Roman" w:hAnsi="Times New Roman" w:eastAsia="仿宋_GB2312" w:cs="Times New Roman"/>
          <w:snapToGrid w:val="0"/>
          <w:sz w:val="32"/>
          <w:szCs w:val="32"/>
        </w:rPr>
        <w:sectPr>
          <w:pgSz w:w="12160" w:h="17020"/>
          <w:pgMar w:top="2098" w:right="1588" w:bottom="1440" w:left="1588" w:header="720" w:footer="720" w:gutter="0"/>
          <w:cols w:space="720" w:num="1"/>
          <w:docGrid w:linePitch="299" w:charSpace="0"/>
        </w:sectPr>
      </w:pPr>
      <w:r>
        <w:rPr>
          <w:rFonts w:ascii="Times New Roman" w:hAnsi="Times New Roman" w:eastAsia="仿宋_GB2312" w:cs="Times New Roman"/>
          <w:snapToGrid w:val="0"/>
          <w:sz w:val="32"/>
          <w:szCs w:val="32"/>
        </w:rPr>
        <w:t>供应商保证：除商务和技术偏差表列出的偏差外，供应商响应采购文件的全部要求。</w:t>
      </w:r>
      <w:bookmarkStart w:id="432" w:name="扫描0057"/>
      <w:bookmarkEnd w:id="432"/>
      <w:bookmarkStart w:id="433" w:name="扫描0056"/>
      <w:bookmarkEnd w:id="433"/>
    </w:p>
    <w:p w14:paraId="5B7F0A43">
      <w:pPr>
        <w:pStyle w:val="3"/>
        <w:jc w:val="center"/>
        <w:outlineLvl w:val="2"/>
        <w:rPr>
          <w:rFonts w:ascii="黑体" w:hAnsi="黑体" w:eastAsia="黑体" w:cs="Times New Roman"/>
          <w:snapToGrid w:val="0"/>
          <w:color w:val="auto"/>
          <w:sz w:val="32"/>
          <w:szCs w:val="32"/>
        </w:rPr>
      </w:pPr>
      <w:bookmarkStart w:id="434" w:name="_Toc6506"/>
      <w:r>
        <w:rPr>
          <w:rFonts w:ascii="黑体" w:hAnsi="黑体" w:eastAsia="黑体" w:cs="Times New Roman"/>
          <w:snapToGrid w:val="0"/>
          <w:color w:val="auto"/>
          <w:sz w:val="32"/>
          <w:szCs w:val="32"/>
        </w:rPr>
        <w:t>六、响应报价表</w:t>
      </w:r>
      <w:bookmarkEnd w:id="434"/>
    </w:p>
    <w:p w14:paraId="56CCE2BA">
      <w:pPr>
        <w:rPr>
          <w:rFonts w:ascii="Times New Roman" w:hAnsi="Times New Roman" w:eastAsia="仿宋_GB2312" w:cs="Times New Roman"/>
          <w:snapToGrid w:val="0"/>
          <w:sz w:val="32"/>
          <w:szCs w:val="32"/>
        </w:rPr>
      </w:pPr>
    </w:p>
    <w:tbl>
      <w:tblPr>
        <w:tblStyle w:val="33"/>
        <w:tblpPr w:leftFromText="180" w:rightFromText="180" w:vertAnchor="text" w:horzAnchor="page" w:tblpX="1718" w:tblpY="577"/>
        <w:tblOverlap w:val="never"/>
        <w:tblW w:w="4575"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441"/>
        <w:gridCol w:w="2781"/>
        <w:gridCol w:w="1395"/>
        <w:gridCol w:w="1729"/>
        <w:gridCol w:w="1727"/>
        <w:gridCol w:w="1727"/>
        <w:gridCol w:w="1585"/>
      </w:tblGrid>
      <w:tr w14:paraId="4D0839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84" w:hRule="atLeast"/>
        </w:trPr>
        <w:tc>
          <w:tcPr>
            <w:tcW w:w="912" w:type="pct"/>
            <w:tcBorders>
              <w:top w:val="single" w:color="auto" w:sz="4" w:space="0"/>
              <w:left w:val="single" w:color="auto" w:sz="4" w:space="0"/>
              <w:bottom w:val="single" w:color="auto" w:sz="6" w:space="0"/>
              <w:right w:val="single" w:color="auto" w:sz="6" w:space="0"/>
            </w:tcBorders>
            <w:vAlign w:val="center"/>
          </w:tcPr>
          <w:p w14:paraId="5292E319">
            <w:pPr>
              <w:jc w:val="center"/>
              <w:rPr>
                <w:rFonts w:hint="eastAsia" w:ascii="仿宋_GB2312" w:hAnsi="仿宋_GB2312" w:eastAsia="仿宋_GB2312" w:cs="仿宋_GB2312"/>
                <w:sz w:val="24"/>
                <w:szCs w:val="24"/>
              </w:rPr>
            </w:pPr>
            <w:bookmarkStart w:id="435" w:name="OLE_LINK95"/>
            <w:bookmarkStart w:id="436" w:name="OLE_LINK96"/>
            <w:r>
              <w:rPr>
                <w:rFonts w:hint="eastAsia" w:ascii="仿宋_GB2312" w:hAnsi="仿宋_GB2312" w:eastAsia="仿宋_GB2312" w:cs="仿宋_GB2312"/>
                <w:sz w:val="24"/>
                <w:szCs w:val="24"/>
              </w:rPr>
              <w:t>采购内容</w:t>
            </w:r>
          </w:p>
        </w:tc>
        <w:tc>
          <w:tcPr>
            <w:tcW w:w="1039" w:type="pct"/>
            <w:tcBorders>
              <w:top w:val="single" w:color="auto" w:sz="4" w:space="0"/>
              <w:left w:val="single" w:color="auto" w:sz="6" w:space="0"/>
              <w:bottom w:val="single" w:color="auto" w:sz="6" w:space="0"/>
              <w:right w:val="single" w:color="auto" w:sz="6" w:space="0"/>
            </w:tcBorders>
            <w:vAlign w:val="center"/>
          </w:tcPr>
          <w:p w14:paraId="38267CF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采购名称</w:t>
            </w:r>
          </w:p>
        </w:tc>
        <w:tc>
          <w:tcPr>
            <w:tcW w:w="521" w:type="pct"/>
            <w:tcBorders>
              <w:top w:val="single" w:color="auto" w:sz="4" w:space="0"/>
              <w:left w:val="single" w:color="auto" w:sz="6" w:space="0"/>
              <w:bottom w:val="single" w:color="auto" w:sz="6" w:space="0"/>
              <w:right w:val="single" w:color="auto" w:sz="6" w:space="0"/>
            </w:tcBorders>
            <w:vAlign w:val="center"/>
          </w:tcPr>
          <w:p w14:paraId="029F87A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型号规格</w:t>
            </w:r>
          </w:p>
        </w:tc>
        <w:tc>
          <w:tcPr>
            <w:tcW w:w="645" w:type="pct"/>
            <w:tcBorders>
              <w:top w:val="single" w:color="auto" w:sz="4" w:space="0"/>
              <w:left w:val="single" w:color="auto" w:sz="6" w:space="0"/>
              <w:bottom w:val="single" w:color="auto" w:sz="6" w:space="0"/>
              <w:right w:val="single" w:color="auto" w:sz="6" w:space="0"/>
            </w:tcBorders>
          </w:tcPr>
          <w:p w14:paraId="50E4ABC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w:t>
            </w:r>
          </w:p>
        </w:tc>
        <w:tc>
          <w:tcPr>
            <w:tcW w:w="645" w:type="pct"/>
            <w:tcBorders>
              <w:top w:val="single" w:color="auto" w:sz="4" w:space="0"/>
              <w:left w:val="single" w:color="auto" w:sz="6" w:space="0"/>
              <w:bottom w:val="single" w:color="auto" w:sz="6" w:space="0"/>
              <w:right w:val="single" w:color="auto" w:sz="6" w:space="0"/>
            </w:tcBorders>
          </w:tcPr>
          <w:p w14:paraId="6F8972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数量</w:t>
            </w:r>
          </w:p>
        </w:tc>
        <w:tc>
          <w:tcPr>
            <w:tcW w:w="645" w:type="pct"/>
            <w:tcBorders>
              <w:top w:val="single" w:color="auto" w:sz="4" w:space="0"/>
              <w:left w:val="single" w:color="auto" w:sz="6" w:space="0"/>
              <w:bottom w:val="single" w:color="auto" w:sz="6" w:space="0"/>
              <w:right w:val="single" w:color="auto" w:sz="6" w:space="0"/>
            </w:tcBorders>
            <w:vAlign w:val="center"/>
          </w:tcPr>
          <w:p w14:paraId="0C7B1CA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单价（元，含税）</w:t>
            </w:r>
          </w:p>
        </w:tc>
        <w:tc>
          <w:tcPr>
            <w:tcW w:w="590" w:type="pct"/>
            <w:tcBorders>
              <w:top w:val="single" w:color="auto" w:sz="4" w:space="0"/>
              <w:left w:val="single" w:color="auto" w:sz="6" w:space="0"/>
              <w:bottom w:val="single" w:color="auto" w:sz="6" w:space="0"/>
              <w:right w:val="single" w:color="auto" w:sz="4" w:space="0"/>
            </w:tcBorders>
            <w:vAlign w:val="center"/>
          </w:tcPr>
          <w:p w14:paraId="33CDAC4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r>
      <w:tr w14:paraId="14440A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48" w:hRule="atLeast"/>
        </w:trPr>
        <w:tc>
          <w:tcPr>
            <w:tcW w:w="912" w:type="pct"/>
            <w:tcBorders>
              <w:top w:val="single" w:color="auto" w:sz="6" w:space="0"/>
              <w:left w:val="single" w:color="auto" w:sz="4" w:space="0"/>
              <w:bottom w:val="single" w:color="auto" w:sz="6" w:space="0"/>
              <w:right w:val="single" w:color="auto" w:sz="6" w:space="0"/>
            </w:tcBorders>
            <w:vAlign w:val="center"/>
          </w:tcPr>
          <w:p w14:paraId="560CEFC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梁河糖业2024年勐养动力车间35t/h锅炉修理</w:t>
            </w:r>
          </w:p>
        </w:tc>
        <w:tc>
          <w:tcPr>
            <w:tcW w:w="1039" w:type="pct"/>
            <w:tcBorders>
              <w:top w:val="single" w:color="auto" w:sz="6" w:space="0"/>
              <w:left w:val="single" w:color="auto" w:sz="6" w:space="0"/>
              <w:right w:val="single" w:color="auto" w:sz="6" w:space="0"/>
            </w:tcBorders>
            <w:vAlign w:val="center"/>
          </w:tcPr>
          <w:p w14:paraId="1497D08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梁河糖业2024年勐养动力车间35t/h锅炉修理供货、安装、调试</w:t>
            </w:r>
          </w:p>
        </w:tc>
        <w:tc>
          <w:tcPr>
            <w:tcW w:w="521" w:type="pct"/>
            <w:tcBorders>
              <w:top w:val="single" w:color="auto" w:sz="6" w:space="0"/>
              <w:left w:val="single" w:color="auto" w:sz="6" w:space="0"/>
              <w:right w:val="single" w:color="auto" w:sz="6" w:space="0"/>
            </w:tcBorders>
            <w:vAlign w:val="center"/>
          </w:tcPr>
          <w:p w14:paraId="4B562A8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WGC35/39-24</w:t>
            </w:r>
          </w:p>
        </w:tc>
        <w:tc>
          <w:tcPr>
            <w:tcW w:w="645" w:type="pct"/>
            <w:tcBorders>
              <w:top w:val="single" w:color="auto" w:sz="6" w:space="0"/>
              <w:left w:val="single" w:color="auto" w:sz="6" w:space="0"/>
              <w:right w:val="single" w:color="auto" w:sz="6" w:space="0"/>
            </w:tcBorders>
            <w:vAlign w:val="center"/>
          </w:tcPr>
          <w:p w14:paraId="6875186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w:t>
            </w:r>
          </w:p>
        </w:tc>
        <w:tc>
          <w:tcPr>
            <w:tcW w:w="645" w:type="pct"/>
            <w:tcBorders>
              <w:top w:val="single" w:color="auto" w:sz="6" w:space="0"/>
              <w:left w:val="single" w:color="auto" w:sz="6" w:space="0"/>
              <w:right w:val="single" w:color="auto" w:sz="6" w:space="0"/>
            </w:tcBorders>
            <w:vAlign w:val="center"/>
          </w:tcPr>
          <w:p w14:paraId="7016191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645" w:type="pct"/>
            <w:tcBorders>
              <w:top w:val="single" w:color="auto" w:sz="6" w:space="0"/>
              <w:left w:val="single" w:color="auto" w:sz="6" w:space="0"/>
              <w:right w:val="single" w:color="auto" w:sz="6" w:space="0"/>
            </w:tcBorders>
            <w:vAlign w:val="center"/>
          </w:tcPr>
          <w:p w14:paraId="31F718D5">
            <w:pPr>
              <w:jc w:val="center"/>
              <w:rPr>
                <w:rFonts w:hint="eastAsia" w:ascii="仿宋_GB2312" w:hAnsi="仿宋_GB2312" w:eastAsia="仿宋_GB2312" w:cs="仿宋_GB2312"/>
                <w:sz w:val="24"/>
                <w:szCs w:val="24"/>
              </w:rPr>
            </w:pPr>
          </w:p>
        </w:tc>
        <w:tc>
          <w:tcPr>
            <w:tcW w:w="590" w:type="pct"/>
            <w:tcBorders>
              <w:top w:val="single" w:color="auto" w:sz="6" w:space="0"/>
              <w:left w:val="single" w:color="auto" w:sz="6" w:space="0"/>
              <w:right w:val="single" w:color="auto" w:sz="4" w:space="0"/>
            </w:tcBorders>
            <w:vAlign w:val="center"/>
          </w:tcPr>
          <w:p w14:paraId="169F702F">
            <w:pPr>
              <w:jc w:val="center"/>
              <w:rPr>
                <w:rFonts w:hint="eastAsia" w:ascii="仿宋_GB2312" w:hAnsi="仿宋_GB2312" w:eastAsia="仿宋_GB2312" w:cs="仿宋_GB2312"/>
                <w:sz w:val="24"/>
                <w:szCs w:val="24"/>
              </w:rPr>
            </w:pPr>
          </w:p>
        </w:tc>
      </w:tr>
      <w:tr w14:paraId="5AFCC2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5" w:hRule="atLeast"/>
        </w:trPr>
        <w:tc>
          <w:tcPr>
            <w:tcW w:w="3118" w:type="pct"/>
            <w:gridSpan w:val="4"/>
            <w:tcBorders>
              <w:top w:val="single" w:color="auto" w:sz="6" w:space="0"/>
              <w:left w:val="single" w:color="auto" w:sz="4" w:space="0"/>
              <w:right w:val="single" w:color="auto" w:sz="6" w:space="0"/>
            </w:tcBorders>
            <w:vAlign w:val="center"/>
          </w:tcPr>
          <w:p w14:paraId="3817B476">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合计</w:t>
            </w:r>
          </w:p>
        </w:tc>
        <w:tc>
          <w:tcPr>
            <w:tcW w:w="1881" w:type="pct"/>
            <w:gridSpan w:val="3"/>
            <w:tcBorders>
              <w:top w:val="single" w:color="auto" w:sz="6" w:space="0"/>
              <w:left w:val="single" w:color="auto" w:sz="6" w:space="0"/>
              <w:right w:val="single" w:color="auto" w:sz="4" w:space="0"/>
            </w:tcBorders>
          </w:tcPr>
          <w:p w14:paraId="043274A4">
            <w:pPr>
              <w:rPr>
                <w:rFonts w:hint="eastAsia" w:ascii="仿宋_GB2312" w:hAnsi="仿宋_GB2312" w:eastAsia="仿宋_GB2312" w:cs="仿宋_GB2312"/>
                <w:sz w:val="24"/>
                <w:szCs w:val="24"/>
              </w:rPr>
            </w:pPr>
          </w:p>
        </w:tc>
      </w:tr>
      <w:tr w14:paraId="50D339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5" w:hRule="atLeast"/>
        </w:trPr>
        <w:tc>
          <w:tcPr>
            <w:tcW w:w="5000" w:type="pct"/>
            <w:gridSpan w:val="7"/>
            <w:tcBorders>
              <w:top w:val="single" w:color="auto" w:sz="6" w:space="0"/>
              <w:left w:val="single" w:color="auto" w:sz="4" w:space="0"/>
              <w:bottom w:val="single" w:color="auto" w:sz="4" w:space="0"/>
              <w:right w:val="single" w:color="auto" w:sz="4" w:space="0"/>
            </w:tcBorders>
            <w:vAlign w:val="center"/>
          </w:tcPr>
          <w:p w14:paraId="3ED5A579">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注：报价已含项目供货、运输（含二次运输）、安装、安全、调试、培训、税金、售后服务等一切可能发生的费用</w:t>
            </w:r>
          </w:p>
        </w:tc>
      </w:tr>
    </w:tbl>
    <w:p w14:paraId="76F979DF">
      <w:pPr>
        <w:rPr>
          <w:rFonts w:ascii="Times New Roman" w:hAnsi="Times New Roman" w:eastAsia="仿宋_GB2312" w:cs="Times New Roman"/>
          <w:kern w:val="2"/>
          <w:sz w:val="32"/>
          <w:szCs w:val="32"/>
          <w:u w:val="single"/>
        </w:rPr>
      </w:pPr>
      <w:r>
        <w:rPr>
          <w:rFonts w:ascii="Times New Roman" w:hAnsi="Times New Roman" w:eastAsia="仿宋_GB2312" w:cs="Times New Roman"/>
          <w:snapToGrid w:val="0"/>
          <w:sz w:val="32"/>
          <w:szCs w:val="32"/>
        </w:rPr>
        <w:t>项目名称：</w:t>
      </w:r>
      <w:r>
        <w:rPr>
          <w:rFonts w:hint="default" w:ascii="Times New Roman" w:hAnsi="Times New Roman" w:eastAsia="仿宋_GB2312" w:cs="Times New Roman"/>
          <w:sz w:val="32"/>
          <w:szCs w:val="32"/>
          <w:u w:val="single"/>
        </w:rPr>
        <w:t>梁河糖业公司设备购置及土建项目-</w:t>
      </w:r>
      <w:r>
        <w:rPr>
          <w:rFonts w:ascii="Times New Roman" w:hAnsi="Times New Roman" w:eastAsia="仿宋_GB2312" w:cs="Times New Roman"/>
          <w:sz w:val="32"/>
          <w:szCs w:val="32"/>
          <w:u w:val="single"/>
        </w:rPr>
        <w:t>梁河糖业2024年勐养动力车间35t/h锅炉修理项目</w:t>
      </w:r>
    </w:p>
    <w:bookmarkEnd w:id="435"/>
    <w:bookmarkEnd w:id="436"/>
    <w:p w14:paraId="10D127D0">
      <w:pPr>
        <w:rPr>
          <w:rFonts w:ascii="Times New Roman" w:hAnsi="Times New Roman" w:eastAsia="仿宋_GB2312" w:cs="Times New Roman"/>
          <w:sz w:val="32"/>
          <w:szCs w:val="32"/>
        </w:rPr>
      </w:pPr>
    </w:p>
    <w:p w14:paraId="75C8FD59">
      <w:pPr>
        <w:rPr>
          <w:rFonts w:ascii="Times New Roman" w:hAnsi="Times New Roman" w:eastAsia="仿宋_GB2312" w:cs="Times New Roman"/>
          <w:snapToGrid w:val="0"/>
          <w:sz w:val="32"/>
          <w:szCs w:val="32"/>
        </w:rPr>
      </w:pPr>
    </w:p>
    <w:p w14:paraId="438C11E4">
      <w:pPr>
        <w:rPr>
          <w:rFonts w:ascii="Times New Roman" w:hAnsi="Times New Roman" w:eastAsia="仿宋_GB2312" w:cs="Times New Roman"/>
          <w:snapToGrid w:val="0"/>
          <w:sz w:val="32"/>
          <w:szCs w:val="32"/>
        </w:rPr>
      </w:pPr>
    </w:p>
    <w:p w14:paraId="5894B054">
      <w:pPr>
        <w:rPr>
          <w:rFonts w:ascii="Times New Roman" w:hAnsi="Times New Roman" w:eastAsia="仿宋_GB2312" w:cs="Times New Roman"/>
          <w:snapToGrid w:val="0"/>
          <w:sz w:val="32"/>
          <w:szCs w:val="32"/>
        </w:rPr>
      </w:pPr>
    </w:p>
    <w:p w14:paraId="62AEFD64">
      <w:pPr>
        <w:rPr>
          <w:rFonts w:ascii="Times New Roman" w:hAnsi="Times New Roman" w:eastAsia="仿宋_GB2312" w:cs="Times New Roman"/>
          <w:snapToGrid w:val="0"/>
          <w:sz w:val="32"/>
          <w:szCs w:val="32"/>
        </w:rPr>
      </w:pPr>
    </w:p>
    <w:p w14:paraId="1AAEAD67">
      <w:pPr>
        <w:rPr>
          <w:rFonts w:ascii="Times New Roman" w:hAnsi="Times New Roman" w:eastAsia="仿宋_GB2312" w:cs="Times New Roman"/>
          <w:snapToGrid w:val="0"/>
          <w:sz w:val="32"/>
          <w:szCs w:val="32"/>
        </w:rPr>
      </w:pPr>
    </w:p>
    <w:p w14:paraId="0855EA37">
      <w:pPr>
        <w:rPr>
          <w:rFonts w:ascii="Times New Roman" w:hAnsi="Times New Roman" w:eastAsia="仿宋_GB2312" w:cs="Times New Roman"/>
          <w:snapToGrid w:val="0"/>
          <w:sz w:val="32"/>
          <w:szCs w:val="32"/>
        </w:rPr>
      </w:pPr>
    </w:p>
    <w:p w14:paraId="0A63D0FF">
      <w:pPr>
        <w:rPr>
          <w:rFonts w:ascii="Times New Roman" w:hAnsi="Times New Roman" w:eastAsia="仿宋_GB2312" w:cs="Times New Roman"/>
          <w:snapToGrid w:val="0"/>
          <w:sz w:val="32"/>
          <w:szCs w:val="32"/>
        </w:rPr>
      </w:pPr>
    </w:p>
    <w:p w14:paraId="497CE64C">
      <w:pPr>
        <w:ind w:firstLine="6720" w:firstLineChars="2100"/>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供 应 商</w:t>
      </w:r>
      <w:r>
        <w:rPr>
          <w:rFonts w:ascii="Times New Roman" w:hAnsi="Times New Roman" w:eastAsia="仿宋_GB2312" w:cs="Times New Roman"/>
          <w:snapToGrid w:val="0"/>
          <w:sz w:val="32"/>
          <w:szCs w:val="32"/>
          <w:u w:val="single"/>
        </w:rPr>
        <w:t xml:space="preserve">：                                 </w:t>
      </w:r>
      <w:r>
        <w:rPr>
          <w:rFonts w:ascii="Times New Roman" w:hAnsi="Times New Roman" w:eastAsia="仿宋_GB2312" w:cs="Times New Roman"/>
          <w:snapToGrid w:val="0"/>
          <w:sz w:val="32"/>
          <w:szCs w:val="32"/>
        </w:rPr>
        <w:t>（盖单位公章)</w:t>
      </w:r>
    </w:p>
    <w:p w14:paraId="40F385D0">
      <w:pPr>
        <w:ind w:firstLine="6720" w:firstLineChars="2100"/>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法定代表人或其授权的代理人：</w:t>
      </w:r>
      <w:r>
        <w:rPr>
          <w:rFonts w:ascii="Times New Roman" w:hAnsi="Times New Roman" w:eastAsia="仿宋_GB2312" w:cs="Times New Roman"/>
          <w:snapToGrid w:val="0"/>
          <w:sz w:val="32"/>
          <w:szCs w:val="32"/>
          <w:u w:val="single"/>
        </w:rPr>
        <w:t xml:space="preserve">        (签字)</w:t>
      </w:r>
    </w:p>
    <w:p w14:paraId="19B1279B">
      <w:pPr>
        <w:ind w:firstLine="10880" w:firstLineChars="3400"/>
        <w:rPr>
          <w:rFonts w:ascii="Times New Roman" w:hAnsi="Times New Roman" w:eastAsia="仿宋_GB2312" w:cs="Times New Roman"/>
          <w:sz w:val="32"/>
          <w:szCs w:val="32"/>
        </w:rPr>
      </w:pPr>
    </w:p>
    <w:p w14:paraId="383582EC">
      <w:pPr>
        <w:ind w:firstLine="11200" w:firstLineChars="3500"/>
        <w:rPr>
          <w:rFonts w:ascii="Times New Roman" w:hAnsi="Times New Roman" w:eastAsia="仿宋_GB2312" w:cs="Times New Roman"/>
          <w:sz w:val="32"/>
          <w:szCs w:val="32"/>
        </w:rPr>
        <w:sectPr>
          <w:pgSz w:w="17020" w:h="12160" w:orient="landscape"/>
          <w:pgMar w:top="1304" w:right="1304" w:bottom="1304" w:left="1304" w:header="720" w:footer="720" w:gutter="0"/>
          <w:cols w:space="720" w:num="1"/>
          <w:docGrid w:linePitch="299" w:charSpace="0"/>
        </w:sectPr>
      </w:pPr>
      <w:r>
        <w:rPr>
          <w:rFonts w:ascii="Times New Roman" w:hAnsi="Times New Roman" w:eastAsia="仿宋_GB2312" w:cs="Times New Roman"/>
          <w:sz w:val="32"/>
          <w:szCs w:val="32"/>
        </w:rPr>
        <w:t xml:space="preserve">年       月       日         </w:t>
      </w:r>
    </w:p>
    <w:p w14:paraId="5189E879">
      <w:pPr>
        <w:pStyle w:val="3"/>
        <w:jc w:val="center"/>
        <w:outlineLvl w:val="2"/>
        <w:rPr>
          <w:rFonts w:ascii="黑体" w:hAnsi="黑体" w:eastAsia="黑体" w:cs="Times New Roman"/>
          <w:snapToGrid w:val="0"/>
          <w:color w:val="auto"/>
          <w:sz w:val="32"/>
          <w:szCs w:val="32"/>
        </w:rPr>
      </w:pPr>
      <w:bookmarkStart w:id="437" w:name="扫描0059"/>
      <w:bookmarkEnd w:id="437"/>
      <w:bookmarkStart w:id="438" w:name="扫描0058"/>
      <w:bookmarkEnd w:id="438"/>
      <w:bookmarkStart w:id="439" w:name="_Toc28911"/>
      <w:r>
        <w:rPr>
          <w:rFonts w:ascii="黑体" w:hAnsi="黑体" w:eastAsia="黑体" w:cs="Times New Roman"/>
          <w:snapToGrid w:val="0"/>
          <w:color w:val="auto"/>
          <w:sz w:val="32"/>
          <w:szCs w:val="32"/>
        </w:rPr>
        <w:t>七、</w:t>
      </w:r>
      <w:bookmarkStart w:id="440" w:name="OLE_LINK98"/>
      <w:bookmarkStart w:id="441" w:name="OLE_LINK97"/>
      <w:r>
        <w:rPr>
          <w:rFonts w:ascii="黑体" w:hAnsi="黑体" w:eastAsia="黑体" w:cs="Times New Roman"/>
          <w:snapToGrid w:val="0"/>
          <w:color w:val="auto"/>
          <w:sz w:val="32"/>
          <w:szCs w:val="32"/>
        </w:rPr>
        <w:t>响应报价明细表</w:t>
      </w:r>
      <w:bookmarkEnd w:id="439"/>
      <w:bookmarkEnd w:id="440"/>
      <w:bookmarkEnd w:id="441"/>
    </w:p>
    <w:p w14:paraId="214F187C">
      <w:pPr>
        <w:rPr>
          <w:rFonts w:ascii="Times New Roman" w:hAnsi="Times New Roman" w:cs="Times New Roman"/>
        </w:rPr>
      </w:pPr>
      <w:r>
        <w:rPr>
          <w:rFonts w:ascii="Times New Roman" w:hAnsi="Times New Roman" w:eastAsia="仿宋_GB2312" w:cs="Times New Roman"/>
          <w:snapToGrid w:val="0"/>
          <w:sz w:val="32"/>
          <w:szCs w:val="32"/>
        </w:rPr>
        <w:t>项目名称：</w:t>
      </w:r>
      <w:r>
        <w:rPr>
          <w:rFonts w:hint="default" w:ascii="Times New Roman" w:hAnsi="Times New Roman" w:eastAsia="仿宋_GB2312" w:cs="Times New Roman"/>
          <w:sz w:val="32"/>
          <w:szCs w:val="32"/>
          <w:u w:val="single"/>
        </w:rPr>
        <w:t>梁河糖业公司设备购置及土建项目-</w:t>
      </w:r>
      <w:r>
        <w:rPr>
          <w:rFonts w:ascii="Times New Roman" w:hAnsi="Times New Roman" w:eastAsia="仿宋_GB2312" w:cs="Times New Roman"/>
          <w:sz w:val="32"/>
          <w:szCs w:val="32"/>
          <w:u w:val="single"/>
        </w:rPr>
        <w:t>梁河糖业2024年勐养动力车间35t/h锅炉修理项目</w:t>
      </w:r>
    </w:p>
    <w:tbl>
      <w:tblPr>
        <w:tblStyle w:val="33"/>
        <w:tblpPr w:leftFromText="180" w:rightFromText="180" w:vertAnchor="text" w:horzAnchor="page" w:tblpX="1410" w:tblpY="1024"/>
        <w:tblOverlap w:val="never"/>
        <w:tblW w:w="9327" w:type="dxa"/>
        <w:tblInd w:w="0" w:type="dxa"/>
        <w:tblLayout w:type="fixed"/>
        <w:tblCellMar>
          <w:top w:w="0" w:type="dxa"/>
          <w:left w:w="108" w:type="dxa"/>
          <w:bottom w:w="0" w:type="dxa"/>
          <w:right w:w="108" w:type="dxa"/>
        </w:tblCellMar>
      </w:tblPr>
      <w:tblGrid>
        <w:gridCol w:w="680"/>
        <w:gridCol w:w="1701"/>
        <w:gridCol w:w="2551"/>
        <w:gridCol w:w="709"/>
        <w:gridCol w:w="709"/>
        <w:gridCol w:w="850"/>
        <w:gridCol w:w="851"/>
        <w:gridCol w:w="1276"/>
      </w:tblGrid>
      <w:tr w14:paraId="67C01583">
        <w:tblPrEx>
          <w:tblCellMar>
            <w:top w:w="0" w:type="dxa"/>
            <w:left w:w="108" w:type="dxa"/>
            <w:bottom w:w="0" w:type="dxa"/>
            <w:right w:w="108" w:type="dxa"/>
          </w:tblCellMar>
        </w:tblPrEx>
        <w:trPr>
          <w:trHeight w:val="630" w:hRule="atLeast"/>
        </w:trPr>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14:paraId="102555D2">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701" w:type="dxa"/>
            <w:tcBorders>
              <w:top w:val="single" w:color="auto" w:sz="4" w:space="0"/>
              <w:left w:val="nil"/>
              <w:bottom w:val="single" w:color="auto" w:sz="4" w:space="0"/>
              <w:right w:val="single" w:color="auto" w:sz="4" w:space="0"/>
            </w:tcBorders>
            <w:shd w:val="clear" w:color="auto" w:fill="auto"/>
            <w:vAlign w:val="center"/>
          </w:tcPr>
          <w:p w14:paraId="5CDE246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名称</w:t>
            </w:r>
          </w:p>
        </w:tc>
        <w:tc>
          <w:tcPr>
            <w:tcW w:w="2551" w:type="dxa"/>
            <w:tcBorders>
              <w:top w:val="single" w:color="auto" w:sz="4" w:space="0"/>
              <w:left w:val="nil"/>
              <w:bottom w:val="single" w:color="auto" w:sz="4" w:space="0"/>
              <w:right w:val="single" w:color="auto" w:sz="4" w:space="0"/>
            </w:tcBorders>
            <w:shd w:val="clear" w:color="auto" w:fill="auto"/>
            <w:vAlign w:val="center"/>
          </w:tcPr>
          <w:p w14:paraId="3CFA741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规格型号</w:t>
            </w:r>
          </w:p>
        </w:tc>
        <w:tc>
          <w:tcPr>
            <w:tcW w:w="709" w:type="dxa"/>
            <w:tcBorders>
              <w:top w:val="single" w:color="auto" w:sz="4" w:space="0"/>
              <w:left w:val="nil"/>
              <w:bottom w:val="single" w:color="auto" w:sz="4" w:space="0"/>
              <w:right w:val="single" w:color="auto" w:sz="4" w:space="0"/>
            </w:tcBorders>
            <w:shd w:val="clear" w:color="auto" w:fill="auto"/>
            <w:vAlign w:val="center"/>
          </w:tcPr>
          <w:p w14:paraId="1CC4A1CF">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w:t>
            </w:r>
          </w:p>
        </w:tc>
        <w:tc>
          <w:tcPr>
            <w:tcW w:w="709" w:type="dxa"/>
            <w:tcBorders>
              <w:top w:val="single" w:color="auto" w:sz="4" w:space="0"/>
              <w:left w:val="nil"/>
              <w:bottom w:val="single" w:color="auto" w:sz="4" w:space="0"/>
              <w:right w:val="single" w:color="auto" w:sz="4" w:space="0"/>
            </w:tcBorders>
            <w:shd w:val="clear" w:color="auto" w:fill="auto"/>
            <w:vAlign w:val="center"/>
          </w:tcPr>
          <w:p w14:paraId="7AE379B0">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数量</w:t>
            </w:r>
          </w:p>
        </w:tc>
        <w:tc>
          <w:tcPr>
            <w:tcW w:w="850" w:type="dxa"/>
            <w:tcBorders>
              <w:top w:val="single" w:color="auto" w:sz="4" w:space="0"/>
              <w:left w:val="nil"/>
              <w:bottom w:val="single" w:color="auto" w:sz="4" w:space="0"/>
              <w:right w:val="single" w:color="auto" w:sz="4" w:space="0"/>
            </w:tcBorders>
            <w:vAlign w:val="center"/>
          </w:tcPr>
          <w:p w14:paraId="051491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含税单价</w:t>
            </w:r>
          </w:p>
        </w:tc>
        <w:tc>
          <w:tcPr>
            <w:tcW w:w="851" w:type="dxa"/>
            <w:tcBorders>
              <w:top w:val="single" w:color="auto" w:sz="4" w:space="0"/>
              <w:left w:val="single" w:color="auto" w:sz="4" w:space="0"/>
              <w:bottom w:val="single" w:color="auto" w:sz="4" w:space="0"/>
              <w:right w:val="single" w:color="auto" w:sz="4" w:space="0"/>
            </w:tcBorders>
            <w:vAlign w:val="center"/>
          </w:tcPr>
          <w:p w14:paraId="25198C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含税合价</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214FC6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r>
      <w:tr w14:paraId="1B282519">
        <w:tblPrEx>
          <w:tblCellMar>
            <w:top w:w="0" w:type="dxa"/>
            <w:left w:w="108" w:type="dxa"/>
            <w:bottom w:w="0" w:type="dxa"/>
            <w:right w:w="108" w:type="dxa"/>
          </w:tblCellMar>
        </w:tblPrEx>
        <w:trPr>
          <w:trHeight w:val="468"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192584E5">
            <w:pPr>
              <w:spacing w:after="0" w:line="24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一</w:t>
            </w:r>
          </w:p>
        </w:tc>
        <w:tc>
          <w:tcPr>
            <w:tcW w:w="1701" w:type="dxa"/>
            <w:tcBorders>
              <w:top w:val="nil"/>
              <w:left w:val="nil"/>
              <w:bottom w:val="single" w:color="auto" w:sz="4" w:space="0"/>
              <w:right w:val="single" w:color="auto" w:sz="4" w:space="0"/>
            </w:tcBorders>
            <w:shd w:val="clear" w:color="000000" w:fill="FFFFFF"/>
            <w:vAlign w:val="center"/>
          </w:tcPr>
          <w:p w14:paraId="79968B0E">
            <w:pPr>
              <w:spacing w:after="0" w:line="240" w:lineRule="auto"/>
              <w:jc w:val="both"/>
              <w:rPr>
                <w:rFonts w:ascii="Times New Roman" w:hAnsi="Times New Roman" w:eastAsia="仿宋_GB2312" w:cs="Times New Roman"/>
                <w:sz w:val="24"/>
                <w:szCs w:val="24"/>
              </w:rPr>
            </w:pPr>
            <w:r>
              <w:rPr>
                <w:rFonts w:ascii="Times New Roman" w:hAnsi="Times New Roman" w:eastAsia="仿宋_GB2312" w:cs="Times New Roman"/>
                <w:sz w:val="24"/>
                <w:szCs w:val="24"/>
              </w:rPr>
              <w:t>2024年锅炉外部检验整改项目</w:t>
            </w:r>
          </w:p>
        </w:tc>
        <w:tc>
          <w:tcPr>
            <w:tcW w:w="2551" w:type="dxa"/>
            <w:tcBorders>
              <w:top w:val="nil"/>
              <w:left w:val="nil"/>
              <w:bottom w:val="single" w:color="auto" w:sz="4" w:space="0"/>
              <w:right w:val="single" w:color="auto" w:sz="4" w:space="0"/>
            </w:tcBorders>
            <w:shd w:val="clear" w:color="000000" w:fill="FFFFFF"/>
            <w:vAlign w:val="center"/>
          </w:tcPr>
          <w:p w14:paraId="05402F52">
            <w:pPr>
              <w:spacing w:after="0" w:line="240" w:lineRule="auto"/>
              <w:ind w:firstLine="480" w:firstLineChars="200"/>
              <w:jc w:val="both"/>
              <w:rPr>
                <w:rFonts w:ascii="Times New Roman" w:hAnsi="Times New Roman" w:eastAsia="仿宋_GB2312" w:cs="Times New Roman"/>
                <w:sz w:val="24"/>
                <w:szCs w:val="24"/>
              </w:rPr>
            </w:pPr>
            <w:r>
              <w:rPr>
                <w:rFonts w:ascii="Times New Roman" w:hAnsi="Times New Roman" w:eastAsia="仿宋_GB2312" w:cs="Times New Roman"/>
                <w:sz w:val="24"/>
                <w:szCs w:val="24"/>
              </w:rPr>
              <w:t>WGC35/39-24</w:t>
            </w:r>
          </w:p>
        </w:tc>
        <w:tc>
          <w:tcPr>
            <w:tcW w:w="709" w:type="dxa"/>
            <w:tcBorders>
              <w:top w:val="nil"/>
              <w:left w:val="nil"/>
              <w:bottom w:val="single" w:color="auto" w:sz="4" w:space="0"/>
              <w:right w:val="single" w:color="auto" w:sz="4" w:space="0"/>
            </w:tcBorders>
            <w:shd w:val="clear" w:color="000000" w:fill="FFFFFF"/>
            <w:vAlign w:val="center"/>
          </w:tcPr>
          <w:p w14:paraId="1F6E0BA4">
            <w:pPr>
              <w:spacing w:after="0" w:line="24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0A1A13A4">
            <w:pPr>
              <w:spacing w:after="0" w:line="24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55029269">
            <w:pPr>
              <w:spacing w:after="0" w:line="240" w:lineRule="auto"/>
              <w:ind w:firstLine="480" w:firstLineChars="200"/>
              <w:jc w:val="both"/>
              <w:rPr>
                <w:rFonts w:ascii="Times New Roman" w:hAnsi="Times New Roman" w:eastAsia="仿宋_GB2312" w:cs="Times New Roman"/>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6F322AC7">
            <w:pPr>
              <w:spacing w:after="0" w:line="240" w:lineRule="auto"/>
              <w:ind w:firstLine="480" w:firstLineChars="200"/>
              <w:jc w:val="both"/>
              <w:rPr>
                <w:rFonts w:ascii="Times New Roman" w:hAnsi="Times New Roman" w:eastAsia="仿宋_GB2312" w:cs="Times New Roman"/>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0BFC72DC">
            <w:pPr>
              <w:spacing w:after="0" w:line="240" w:lineRule="auto"/>
              <w:ind w:firstLine="480" w:firstLineChars="200"/>
              <w:jc w:val="both"/>
              <w:rPr>
                <w:rFonts w:ascii="Times New Roman" w:hAnsi="Times New Roman" w:eastAsia="仿宋_GB2312" w:cs="Times New Roman"/>
                <w:sz w:val="24"/>
                <w:szCs w:val="24"/>
              </w:rPr>
            </w:pPr>
          </w:p>
        </w:tc>
      </w:tr>
      <w:tr w14:paraId="70B7D27A">
        <w:tblPrEx>
          <w:tblCellMar>
            <w:top w:w="0" w:type="dxa"/>
            <w:left w:w="108" w:type="dxa"/>
            <w:bottom w:w="0" w:type="dxa"/>
            <w:right w:w="108" w:type="dxa"/>
          </w:tblCellMar>
        </w:tblPrEx>
        <w:trPr>
          <w:trHeight w:val="78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618AAB9F">
            <w:pPr>
              <w:spacing w:after="0" w:line="24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2EAAC305">
            <w:pPr>
              <w:spacing w:after="0" w:line="240" w:lineRule="auto"/>
              <w:jc w:val="both"/>
              <w:rPr>
                <w:rFonts w:ascii="Times New Roman" w:hAnsi="Times New Roman" w:eastAsia="仿宋_GB2312" w:cs="Times New Roman"/>
                <w:sz w:val="24"/>
                <w:szCs w:val="24"/>
              </w:rPr>
            </w:pPr>
            <w:r>
              <w:rPr>
                <w:rFonts w:ascii="Times New Roman" w:hAnsi="Times New Roman" w:eastAsia="仿宋_GB2312" w:cs="Times New Roman"/>
                <w:sz w:val="24"/>
                <w:szCs w:val="24"/>
              </w:rPr>
              <w:t>排烟温度测点</w:t>
            </w:r>
          </w:p>
        </w:tc>
        <w:tc>
          <w:tcPr>
            <w:tcW w:w="2551" w:type="dxa"/>
            <w:tcBorders>
              <w:top w:val="nil"/>
              <w:left w:val="nil"/>
              <w:bottom w:val="single" w:color="auto" w:sz="4" w:space="0"/>
              <w:right w:val="single" w:color="auto" w:sz="4" w:space="0"/>
            </w:tcBorders>
            <w:shd w:val="clear" w:color="000000" w:fill="FFFFFF"/>
            <w:vAlign w:val="center"/>
          </w:tcPr>
          <w:p w14:paraId="23315B0B">
            <w:pPr>
              <w:spacing w:after="0" w:line="240" w:lineRule="auto"/>
              <w:jc w:val="both"/>
              <w:rPr>
                <w:rFonts w:ascii="Times New Roman" w:hAnsi="Times New Roman" w:eastAsia="仿宋_GB2312" w:cs="Times New Roman"/>
                <w:sz w:val="24"/>
                <w:szCs w:val="24"/>
              </w:rPr>
            </w:pPr>
            <w:r>
              <w:rPr>
                <w:rFonts w:ascii="Times New Roman" w:hAnsi="Times New Roman" w:eastAsia="仿宋_GB2312" w:cs="Times New Roman"/>
                <w:sz w:val="24"/>
                <w:szCs w:val="24"/>
              </w:rPr>
              <w:t>热电偶：WRN-430,L=1150*1000mm , 输出:K,量程：0-1000℃，M27*2，座子材质：12Cr1MoG(含墙开孔安装恢复墙)</w:t>
            </w:r>
          </w:p>
        </w:tc>
        <w:tc>
          <w:tcPr>
            <w:tcW w:w="709" w:type="dxa"/>
            <w:tcBorders>
              <w:top w:val="nil"/>
              <w:left w:val="nil"/>
              <w:bottom w:val="single" w:color="auto" w:sz="4" w:space="0"/>
              <w:right w:val="single" w:color="auto" w:sz="4" w:space="0"/>
            </w:tcBorders>
            <w:shd w:val="clear" w:color="000000" w:fill="FFFFFF"/>
            <w:vAlign w:val="center"/>
          </w:tcPr>
          <w:p w14:paraId="3368E767">
            <w:pPr>
              <w:spacing w:after="0" w:line="24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套</w:t>
            </w:r>
          </w:p>
        </w:tc>
        <w:tc>
          <w:tcPr>
            <w:tcW w:w="709" w:type="dxa"/>
            <w:tcBorders>
              <w:top w:val="nil"/>
              <w:left w:val="nil"/>
              <w:bottom w:val="single" w:color="auto" w:sz="4" w:space="0"/>
              <w:right w:val="single" w:color="auto" w:sz="4" w:space="0"/>
            </w:tcBorders>
            <w:shd w:val="clear" w:color="000000" w:fill="FFFFFF"/>
            <w:vAlign w:val="center"/>
          </w:tcPr>
          <w:p w14:paraId="77EDD30C">
            <w:pPr>
              <w:spacing w:after="0" w:line="24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4FE438E7">
            <w:pPr>
              <w:spacing w:after="0" w:line="240" w:lineRule="auto"/>
              <w:jc w:val="both"/>
              <w:rPr>
                <w:rFonts w:ascii="Times New Roman" w:hAnsi="Times New Roman" w:eastAsia="仿宋_GB2312" w:cs="Times New Roman"/>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0F5BD427">
            <w:pPr>
              <w:spacing w:after="0" w:line="240" w:lineRule="auto"/>
              <w:jc w:val="both"/>
              <w:rPr>
                <w:rFonts w:ascii="Times New Roman" w:hAnsi="Times New Roman" w:eastAsia="仿宋_GB2312" w:cs="Times New Roman"/>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15E6E0AF">
            <w:pPr>
              <w:spacing w:after="0" w:line="240" w:lineRule="auto"/>
              <w:jc w:val="both"/>
              <w:rPr>
                <w:rFonts w:ascii="Times New Roman" w:hAnsi="Times New Roman" w:eastAsia="仿宋_GB2312" w:cs="Times New Roman"/>
                <w:sz w:val="24"/>
                <w:szCs w:val="24"/>
              </w:rPr>
            </w:pPr>
            <w:r>
              <w:rPr>
                <w:rFonts w:ascii="Times New Roman" w:hAnsi="Times New Roman" w:eastAsia="仿宋_GB2312" w:cs="Times New Roman"/>
                <w:sz w:val="24"/>
                <w:szCs w:val="24"/>
              </w:rPr>
              <w:t>（不含接线至DCS）</w:t>
            </w:r>
          </w:p>
        </w:tc>
      </w:tr>
      <w:tr w14:paraId="05352DCE">
        <w:tblPrEx>
          <w:tblCellMar>
            <w:top w:w="0" w:type="dxa"/>
            <w:left w:w="108" w:type="dxa"/>
            <w:bottom w:w="0" w:type="dxa"/>
            <w:right w:w="108" w:type="dxa"/>
          </w:tblCellMar>
        </w:tblPrEx>
        <w:trPr>
          <w:trHeight w:val="972"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07C57047">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w:t>
            </w:r>
          </w:p>
        </w:tc>
        <w:tc>
          <w:tcPr>
            <w:tcW w:w="1701" w:type="dxa"/>
            <w:tcBorders>
              <w:top w:val="nil"/>
              <w:left w:val="nil"/>
              <w:bottom w:val="single" w:color="auto" w:sz="4" w:space="0"/>
              <w:right w:val="single" w:color="auto" w:sz="4" w:space="0"/>
            </w:tcBorders>
            <w:shd w:val="clear" w:color="000000" w:fill="FFFFFF"/>
            <w:vAlign w:val="center"/>
          </w:tcPr>
          <w:p w14:paraId="6DC63222">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更换省煤器上温度测点座子</w:t>
            </w:r>
          </w:p>
        </w:tc>
        <w:tc>
          <w:tcPr>
            <w:tcW w:w="2551" w:type="dxa"/>
            <w:tcBorders>
              <w:top w:val="nil"/>
              <w:left w:val="nil"/>
              <w:bottom w:val="single" w:color="auto" w:sz="4" w:space="0"/>
              <w:right w:val="single" w:color="auto" w:sz="4" w:space="0"/>
            </w:tcBorders>
            <w:shd w:val="clear" w:color="000000" w:fill="FFFFFF"/>
            <w:vAlign w:val="center"/>
          </w:tcPr>
          <w:p w14:paraId="2DE37886">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M27mm*2mm，材质：12Cr1MoG</w:t>
            </w:r>
          </w:p>
        </w:tc>
        <w:tc>
          <w:tcPr>
            <w:tcW w:w="709" w:type="dxa"/>
            <w:tcBorders>
              <w:top w:val="nil"/>
              <w:left w:val="nil"/>
              <w:bottom w:val="single" w:color="auto" w:sz="4" w:space="0"/>
              <w:right w:val="single" w:color="auto" w:sz="4" w:space="0"/>
            </w:tcBorders>
            <w:shd w:val="clear" w:color="000000" w:fill="FFFFFF"/>
            <w:vAlign w:val="center"/>
          </w:tcPr>
          <w:p w14:paraId="35B98DEB">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只</w:t>
            </w:r>
          </w:p>
        </w:tc>
        <w:tc>
          <w:tcPr>
            <w:tcW w:w="709" w:type="dxa"/>
            <w:tcBorders>
              <w:top w:val="nil"/>
              <w:left w:val="nil"/>
              <w:bottom w:val="single" w:color="auto" w:sz="4" w:space="0"/>
              <w:right w:val="single" w:color="auto" w:sz="4" w:space="0"/>
            </w:tcBorders>
            <w:shd w:val="clear" w:color="000000" w:fill="FFFFFF"/>
            <w:vAlign w:val="center"/>
          </w:tcPr>
          <w:p w14:paraId="5272B997">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4539BE08">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27FB10EB">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345EC4A4">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(含拆除旧的，焊接新的)</w:t>
            </w:r>
          </w:p>
        </w:tc>
      </w:tr>
      <w:tr w14:paraId="4E0A921A">
        <w:tblPrEx>
          <w:tblCellMar>
            <w:top w:w="0" w:type="dxa"/>
            <w:left w:w="108" w:type="dxa"/>
            <w:bottom w:w="0" w:type="dxa"/>
            <w:right w:w="108" w:type="dxa"/>
          </w:tblCellMar>
        </w:tblPrEx>
        <w:trPr>
          <w:trHeight w:val="96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55962E40">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3</w:t>
            </w:r>
          </w:p>
        </w:tc>
        <w:tc>
          <w:tcPr>
            <w:tcW w:w="1701" w:type="dxa"/>
            <w:tcBorders>
              <w:top w:val="nil"/>
              <w:left w:val="nil"/>
              <w:bottom w:val="single" w:color="auto" w:sz="4" w:space="0"/>
              <w:right w:val="single" w:color="auto" w:sz="4" w:space="0"/>
            </w:tcBorders>
            <w:shd w:val="clear" w:color="000000" w:fill="FFFFFF"/>
            <w:vAlign w:val="center"/>
          </w:tcPr>
          <w:p w14:paraId="6C779B43">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管道安装</w:t>
            </w:r>
          </w:p>
        </w:tc>
        <w:tc>
          <w:tcPr>
            <w:tcW w:w="2551" w:type="dxa"/>
            <w:tcBorders>
              <w:top w:val="nil"/>
              <w:left w:val="nil"/>
              <w:bottom w:val="single" w:color="auto" w:sz="4" w:space="0"/>
              <w:right w:val="single" w:color="auto" w:sz="4" w:space="0"/>
            </w:tcBorders>
            <w:shd w:val="clear" w:color="000000" w:fill="FFFFFF"/>
            <w:vAlign w:val="center"/>
          </w:tcPr>
          <w:p w14:paraId="5A48CFFD">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安装合金管子φ60mm*3.5mm材质：12Cr1MoG，长20m（含弯头5个，减压阀1只及配套的法兰盘、紧固件）</w:t>
            </w:r>
          </w:p>
        </w:tc>
        <w:tc>
          <w:tcPr>
            <w:tcW w:w="709" w:type="dxa"/>
            <w:tcBorders>
              <w:top w:val="nil"/>
              <w:left w:val="nil"/>
              <w:bottom w:val="single" w:color="auto" w:sz="4" w:space="0"/>
              <w:right w:val="single" w:color="auto" w:sz="4" w:space="0"/>
            </w:tcBorders>
            <w:shd w:val="clear" w:color="000000" w:fill="FFFFFF"/>
            <w:vAlign w:val="center"/>
          </w:tcPr>
          <w:p w14:paraId="206C17B7">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67F09EA6">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5647E536">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070C5FEF">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34B43D1C">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从过热器排空阀三通管引出管路至吹灰器（含减压阀）</w:t>
            </w:r>
          </w:p>
        </w:tc>
      </w:tr>
      <w:tr w14:paraId="3DAF64ED">
        <w:tblPrEx>
          <w:tblCellMar>
            <w:top w:w="0" w:type="dxa"/>
            <w:left w:w="108" w:type="dxa"/>
            <w:bottom w:w="0" w:type="dxa"/>
            <w:right w:w="108" w:type="dxa"/>
          </w:tblCellMar>
        </w:tblPrEx>
        <w:trPr>
          <w:trHeight w:val="78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6D579493">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4</w:t>
            </w:r>
          </w:p>
        </w:tc>
        <w:tc>
          <w:tcPr>
            <w:tcW w:w="1701" w:type="dxa"/>
            <w:tcBorders>
              <w:top w:val="nil"/>
              <w:left w:val="nil"/>
              <w:bottom w:val="single" w:color="auto" w:sz="4" w:space="0"/>
              <w:right w:val="single" w:color="auto" w:sz="4" w:space="0"/>
            </w:tcBorders>
            <w:shd w:val="clear" w:color="000000" w:fill="FFFFFF"/>
            <w:vAlign w:val="center"/>
          </w:tcPr>
          <w:p w14:paraId="76702426">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拆除管道</w:t>
            </w:r>
          </w:p>
        </w:tc>
        <w:tc>
          <w:tcPr>
            <w:tcW w:w="2551" w:type="dxa"/>
            <w:tcBorders>
              <w:top w:val="nil"/>
              <w:left w:val="nil"/>
              <w:bottom w:val="single" w:color="auto" w:sz="4" w:space="0"/>
              <w:right w:val="single" w:color="auto" w:sz="4" w:space="0"/>
            </w:tcBorders>
            <w:shd w:val="clear" w:color="000000" w:fill="FFFFFF"/>
            <w:vAlign w:val="center"/>
          </w:tcPr>
          <w:p w14:paraId="3BC3E607">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拆除管子φ60mm，长6m（含保温层拆除清理），法兰盲板封堵</w:t>
            </w:r>
          </w:p>
        </w:tc>
        <w:tc>
          <w:tcPr>
            <w:tcW w:w="709" w:type="dxa"/>
            <w:tcBorders>
              <w:top w:val="nil"/>
              <w:left w:val="nil"/>
              <w:bottom w:val="single" w:color="auto" w:sz="4" w:space="0"/>
              <w:right w:val="single" w:color="auto" w:sz="4" w:space="0"/>
            </w:tcBorders>
            <w:shd w:val="clear" w:color="000000" w:fill="FFFFFF"/>
            <w:vAlign w:val="center"/>
          </w:tcPr>
          <w:p w14:paraId="33607012">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7E99184F">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2C0AADBC">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46D3A0C0">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10370606">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拆除过热器出口（高过）自排空阀三通与减温水管</w:t>
            </w:r>
          </w:p>
        </w:tc>
      </w:tr>
      <w:tr w14:paraId="3630449B">
        <w:tblPrEx>
          <w:tblCellMar>
            <w:top w:w="0" w:type="dxa"/>
            <w:left w:w="108" w:type="dxa"/>
            <w:bottom w:w="0" w:type="dxa"/>
            <w:right w:w="108" w:type="dxa"/>
          </w:tblCellMar>
        </w:tblPrEx>
        <w:trPr>
          <w:trHeight w:val="78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3F4E965A">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5</w:t>
            </w:r>
          </w:p>
        </w:tc>
        <w:tc>
          <w:tcPr>
            <w:tcW w:w="1701" w:type="dxa"/>
            <w:tcBorders>
              <w:top w:val="nil"/>
              <w:left w:val="nil"/>
              <w:bottom w:val="single" w:color="auto" w:sz="4" w:space="0"/>
              <w:right w:val="single" w:color="auto" w:sz="4" w:space="0"/>
            </w:tcBorders>
            <w:shd w:val="clear" w:color="000000" w:fill="FFFFFF"/>
            <w:vAlign w:val="center"/>
          </w:tcPr>
          <w:p w14:paraId="746BFCEE">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管道安装</w:t>
            </w:r>
          </w:p>
        </w:tc>
        <w:tc>
          <w:tcPr>
            <w:tcW w:w="2551" w:type="dxa"/>
            <w:tcBorders>
              <w:top w:val="nil"/>
              <w:left w:val="nil"/>
              <w:bottom w:val="single" w:color="auto" w:sz="4" w:space="0"/>
              <w:right w:val="single" w:color="auto" w:sz="4" w:space="0"/>
            </w:tcBorders>
            <w:shd w:val="clear" w:color="000000" w:fill="FFFFFF"/>
            <w:vAlign w:val="center"/>
          </w:tcPr>
          <w:p w14:paraId="49F8F6A6">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无缝管子φ32mm*3mm,长15m（含弯头5个）线路现场确定走向</w:t>
            </w:r>
          </w:p>
        </w:tc>
        <w:tc>
          <w:tcPr>
            <w:tcW w:w="709" w:type="dxa"/>
            <w:tcBorders>
              <w:top w:val="nil"/>
              <w:left w:val="nil"/>
              <w:bottom w:val="single" w:color="auto" w:sz="4" w:space="0"/>
              <w:right w:val="single" w:color="auto" w:sz="4" w:space="0"/>
            </w:tcBorders>
            <w:shd w:val="clear" w:color="000000" w:fill="FFFFFF"/>
            <w:vAlign w:val="center"/>
          </w:tcPr>
          <w:p w14:paraId="04903127">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472BF648">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28999FA2">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3EE56D30">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14774DA2">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安全阀疏水管接至室外</w:t>
            </w:r>
          </w:p>
        </w:tc>
      </w:tr>
      <w:tr w14:paraId="2B487077">
        <w:tblPrEx>
          <w:tblCellMar>
            <w:top w:w="0" w:type="dxa"/>
            <w:left w:w="108" w:type="dxa"/>
            <w:bottom w:w="0" w:type="dxa"/>
            <w:right w:w="108" w:type="dxa"/>
          </w:tblCellMar>
        </w:tblPrEx>
        <w:trPr>
          <w:trHeight w:val="273"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48DAA742">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6</w:t>
            </w:r>
          </w:p>
        </w:tc>
        <w:tc>
          <w:tcPr>
            <w:tcW w:w="1701" w:type="dxa"/>
            <w:tcBorders>
              <w:top w:val="nil"/>
              <w:left w:val="nil"/>
              <w:bottom w:val="single" w:color="auto" w:sz="4" w:space="0"/>
              <w:right w:val="single" w:color="auto" w:sz="4" w:space="0"/>
            </w:tcBorders>
            <w:shd w:val="clear" w:color="000000" w:fill="FFFFFF"/>
            <w:vAlign w:val="center"/>
          </w:tcPr>
          <w:p w14:paraId="48957151">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阀门安装</w:t>
            </w:r>
          </w:p>
        </w:tc>
        <w:tc>
          <w:tcPr>
            <w:tcW w:w="2551" w:type="dxa"/>
            <w:tcBorders>
              <w:top w:val="nil"/>
              <w:left w:val="nil"/>
              <w:bottom w:val="single" w:color="auto" w:sz="4" w:space="0"/>
              <w:right w:val="single" w:color="auto" w:sz="4" w:space="0"/>
            </w:tcBorders>
            <w:shd w:val="clear" w:color="000000" w:fill="FFFFFF"/>
            <w:vAlign w:val="center"/>
          </w:tcPr>
          <w:p w14:paraId="51AD6B1E">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压力表阀：J19W-160P,M20mm*1.5mm,（缓冲管、压力表:满足压力10MPa,温度500℃）</w:t>
            </w:r>
          </w:p>
        </w:tc>
        <w:tc>
          <w:tcPr>
            <w:tcW w:w="709" w:type="dxa"/>
            <w:tcBorders>
              <w:top w:val="nil"/>
              <w:left w:val="nil"/>
              <w:bottom w:val="single" w:color="auto" w:sz="4" w:space="0"/>
              <w:right w:val="single" w:color="auto" w:sz="4" w:space="0"/>
            </w:tcBorders>
            <w:shd w:val="clear" w:color="000000" w:fill="FFFFFF"/>
            <w:vAlign w:val="center"/>
          </w:tcPr>
          <w:p w14:paraId="3D9A394C">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组</w:t>
            </w:r>
          </w:p>
        </w:tc>
        <w:tc>
          <w:tcPr>
            <w:tcW w:w="709" w:type="dxa"/>
            <w:tcBorders>
              <w:top w:val="nil"/>
              <w:left w:val="nil"/>
              <w:bottom w:val="single" w:color="auto" w:sz="4" w:space="0"/>
              <w:right w:val="single" w:color="auto" w:sz="4" w:space="0"/>
            </w:tcBorders>
            <w:shd w:val="clear" w:color="000000" w:fill="FFFFFF"/>
            <w:vAlign w:val="center"/>
          </w:tcPr>
          <w:p w14:paraId="18DBEEEB">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8</w:t>
            </w:r>
          </w:p>
        </w:tc>
        <w:tc>
          <w:tcPr>
            <w:tcW w:w="850" w:type="dxa"/>
            <w:tcBorders>
              <w:top w:val="single" w:color="auto" w:sz="4" w:space="0"/>
              <w:left w:val="nil"/>
              <w:bottom w:val="single" w:color="auto" w:sz="4" w:space="0"/>
              <w:right w:val="single" w:color="auto" w:sz="4" w:space="0"/>
            </w:tcBorders>
            <w:shd w:val="clear" w:color="000000" w:fill="FFFFFF"/>
          </w:tcPr>
          <w:p w14:paraId="01DDE19D">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3931D2FA">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3BBADC87">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压力表配置三通阀及缓冲管</w:t>
            </w:r>
          </w:p>
        </w:tc>
      </w:tr>
      <w:tr w14:paraId="49CB901D">
        <w:tblPrEx>
          <w:tblCellMar>
            <w:top w:w="0" w:type="dxa"/>
            <w:left w:w="108" w:type="dxa"/>
            <w:bottom w:w="0" w:type="dxa"/>
            <w:right w:w="108" w:type="dxa"/>
          </w:tblCellMar>
        </w:tblPrEx>
        <w:trPr>
          <w:trHeight w:val="1104" w:hRule="atLeast"/>
        </w:trPr>
        <w:tc>
          <w:tcPr>
            <w:tcW w:w="680" w:type="dxa"/>
            <w:tcBorders>
              <w:top w:val="single" w:color="auto" w:sz="4" w:space="0"/>
              <w:left w:val="single" w:color="auto" w:sz="4" w:space="0"/>
              <w:bottom w:val="single" w:color="auto" w:sz="4" w:space="0"/>
              <w:right w:val="single" w:color="auto" w:sz="4" w:space="0"/>
            </w:tcBorders>
            <w:shd w:val="clear" w:color="000000" w:fill="FFFFFF"/>
            <w:vAlign w:val="center"/>
          </w:tcPr>
          <w:p w14:paraId="203A4A89">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7</w:t>
            </w:r>
          </w:p>
        </w:tc>
        <w:tc>
          <w:tcPr>
            <w:tcW w:w="1701" w:type="dxa"/>
            <w:tcBorders>
              <w:top w:val="single" w:color="auto" w:sz="4" w:space="0"/>
              <w:left w:val="single" w:color="auto" w:sz="4" w:space="0"/>
              <w:bottom w:val="single" w:color="auto" w:sz="4" w:space="0"/>
              <w:right w:val="single" w:color="auto" w:sz="4" w:space="0"/>
            </w:tcBorders>
            <w:shd w:val="clear" w:color="000000" w:fill="FFFFFF"/>
            <w:vAlign w:val="center"/>
          </w:tcPr>
          <w:p w14:paraId="60FF18AA">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主蒸汽阀加装旁路阀及支撑架</w:t>
            </w:r>
          </w:p>
        </w:tc>
        <w:tc>
          <w:tcPr>
            <w:tcW w:w="2551" w:type="dxa"/>
            <w:tcBorders>
              <w:top w:val="single" w:color="auto" w:sz="4" w:space="0"/>
              <w:left w:val="single" w:color="auto" w:sz="4" w:space="0"/>
              <w:bottom w:val="single" w:color="auto" w:sz="4" w:space="0"/>
              <w:right w:val="single" w:color="auto" w:sz="4" w:space="0"/>
            </w:tcBorders>
            <w:shd w:val="clear" w:color="000000" w:fill="FFFFFF"/>
            <w:vAlign w:val="center"/>
          </w:tcPr>
          <w:p w14:paraId="65F5E428">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合金15CrMo管子：φ32mm*3mm，10m;阀门J41Y-PN10 DN32 2只（含配套弯头4个、法兰盘、紧固件等）</w:t>
            </w:r>
          </w:p>
        </w:tc>
        <w:tc>
          <w:tcPr>
            <w:tcW w:w="709" w:type="dxa"/>
            <w:tcBorders>
              <w:top w:val="single" w:color="auto" w:sz="4" w:space="0"/>
              <w:left w:val="single" w:color="auto" w:sz="4" w:space="0"/>
              <w:bottom w:val="single" w:color="auto" w:sz="4" w:space="0"/>
              <w:right w:val="single" w:color="auto" w:sz="4" w:space="0"/>
            </w:tcBorders>
            <w:shd w:val="clear" w:color="000000" w:fill="FFFFFF"/>
            <w:vAlign w:val="center"/>
          </w:tcPr>
          <w:p w14:paraId="49991C04">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single" w:color="auto" w:sz="4" w:space="0"/>
              <w:left w:val="single" w:color="auto" w:sz="4" w:space="0"/>
              <w:bottom w:val="single" w:color="auto" w:sz="4" w:space="0"/>
              <w:right w:val="single" w:color="auto" w:sz="4" w:space="0"/>
            </w:tcBorders>
            <w:shd w:val="clear" w:color="000000" w:fill="FFFFFF"/>
            <w:vAlign w:val="center"/>
          </w:tcPr>
          <w:p w14:paraId="0C1470A3">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single" w:color="auto" w:sz="4" w:space="0"/>
              <w:bottom w:val="single" w:color="auto" w:sz="4" w:space="0"/>
              <w:right w:val="single" w:color="auto" w:sz="4" w:space="0"/>
            </w:tcBorders>
            <w:shd w:val="clear" w:color="000000" w:fill="FFFFFF"/>
          </w:tcPr>
          <w:p w14:paraId="0E03D97D">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single" w:color="auto" w:sz="4" w:space="0"/>
              <w:left w:val="single" w:color="auto" w:sz="4" w:space="0"/>
              <w:bottom w:val="single" w:color="auto" w:sz="4" w:space="0"/>
              <w:right w:val="single" w:color="auto" w:sz="4" w:space="0"/>
            </w:tcBorders>
            <w:shd w:val="clear" w:color="000000" w:fill="FFFFFF"/>
          </w:tcPr>
          <w:p w14:paraId="06F838E1">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single" w:color="auto" w:sz="4" w:space="0"/>
              <w:left w:val="single" w:color="auto" w:sz="4" w:space="0"/>
              <w:bottom w:val="single" w:color="auto" w:sz="4" w:space="0"/>
              <w:right w:val="single" w:color="auto" w:sz="4" w:space="0"/>
            </w:tcBorders>
            <w:shd w:val="clear" w:color="000000" w:fill="FFFFFF"/>
            <w:vAlign w:val="center"/>
          </w:tcPr>
          <w:p w14:paraId="03B06522">
            <w:pPr>
              <w:spacing w:after="0" w:line="240" w:lineRule="auto"/>
              <w:ind w:firstLine="480" w:firstLineChars="200"/>
              <w:jc w:val="both"/>
              <w:rPr>
                <w:rFonts w:ascii="Times New Roman" w:hAnsi="Times New Roman" w:eastAsia="仿宋_GB2312" w:cs="Times New Roman"/>
                <w:color w:val="auto"/>
                <w:sz w:val="24"/>
                <w:szCs w:val="24"/>
              </w:rPr>
            </w:pPr>
          </w:p>
        </w:tc>
      </w:tr>
      <w:tr w14:paraId="4ECCE3FD">
        <w:tblPrEx>
          <w:tblCellMar>
            <w:top w:w="0" w:type="dxa"/>
            <w:left w:w="108" w:type="dxa"/>
            <w:bottom w:w="0" w:type="dxa"/>
            <w:right w:w="108" w:type="dxa"/>
          </w:tblCellMar>
        </w:tblPrEx>
        <w:trPr>
          <w:trHeight w:val="780" w:hRule="atLeast"/>
        </w:trPr>
        <w:tc>
          <w:tcPr>
            <w:tcW w:w="680" w:type="dxa"/>
            <w:tcBorders>
              <w:top w:val="single" w:color="auto" w:sz="4" w:space="0"/>
              <w:left w:val="single" w:color="auto" w:sz="4" w:space="0"/>
              <w:bottom w:val="single" w:color="auto" w:sz="4" w:space="0"/>
              <w:right w:val="single" w:color="auto" w:sz="4" w:space="0"/>
            </w:tcBorders>
            <w:shd w:val="clear" w:color="000000" w:fill="FFFFFF"/>
            <w:vAlign w:val="center"/>
          </w:tcPr>
          <w:p w14:paraId="6235D8E3">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8</w:t>
            </w:r>
          </w:p>
        </w:tc>
        <w:tc>
          <w:tcPr>
            <w:tcW w:w="1701" w:type="dxa"/>
            <w:tcBorders>
              <w:top w:val="single" w:color="auto" w:sz="4" w:space="0"/>
              <w:left w:val="nil"/>
              <w:bottom w:val="single" w:color="auto" w:sz="4" w:space="0"/>
              <w:right w:val="single" w:color="auto" w:sz="4" w:space="0"/>
            </w:tcBorders>
            <w:shd w:val="clear" w:color="000000" w:fill="FFFFFF"/>
            <w:vAlign w:val="center"/>
          </w:tcPr>
          <w:p w14:paraId="006139AF">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炉墙修复</w:t>
            </w:r>
          </w:p>
        </w:tc>
        <w:tc>
          <w:tcPr>
            <w:tcW w:w="2551" w:type="dxa"/>
            <w:tcBorders>
              <w:top w:val="single" w:color="auto" w:sz="4" w:space="0"/>
              <w:left w:val="nil"/>
              <w:bottom w:val="single" w:color="auto" w:sz="4" w:space="0"/>
              <w:right w:val="single" w:color="auto" w:sz="4" w:space="0"/>
            </w:tcBorders>
            <w:shd w:val="clear" w:color="000000" w:fill="FFFFFF"/>
            <w:vAlign w:val="center"/>
          </w:tcPr>
          <w:p w14:paraId="1813520A">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1.炉膛后拱：拆除高1.3m*宽4.5m;重新浇筑后拱：高1.3m*宽4.5m;（含耐烧钢筋网φ6mm段）；</w:t>
            </w:r>
          </w:p>
          <w:p w14:paraId="24CFE7E1">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2.高低温段吹灰器孔修复（含外墙护板焊补）；</w:t>
            </w:r>
          </w:p>
          <w:p w14:paraId="291B821B">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3.人孔门填补耐火泥3个门</w:t>
            </w:r>
          </w:p>
        </w:tc>
        <w:tc>
          <w:tcPr>
            <w:tcW w:w="709" w:type="dxa"/>
            <w:tcBorders>
              <w:top w:val="single" w:color="auto" w:sz="4" w:space="0"/>
              <w:left w:val="nil"/>
              <w:bottom w:val="single" w:color="auto" w:sz="4" w:space="0"/>
              <w:right w:val="single" w:color="auto" w:sz="4" w:space="0"/>
            </w:tcBorders>
            <w:shd w:val="clear" w:color="000000" w:fill="FFFFFF"/>
            <w:vAlign w:val="center"/>
          </w:tcPr>
          <w:p w14:paraId="10D4DFCC">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single" w:color="auto" w:sz="4" w:space="0"/>
              <w:left w:val="nil"/>
              <w:bottom w:val="single" w:color="auto" w:sz="4" w:space="0"/>
              <w:right w:val="single" w:color="auto" w:sz="4" w:space="0"/>
            </w:tcBorders>
            <w:shd w:val="clear" w:color="000000" w:fill="FFFFFF"/>
            <w:vAlign w:val="center"/>
          </w:tcPr>
          <w:p w14:paraId="749FF31C">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212D448A">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single" w:color="auto" w:sz="4" w:space="0"/>
              <w:left w:val="single" w:color="auto" w:sz="4" w:space="0"/>
              <w:bottom w:val="single" w:color="auto" w:sz="4" w:space="0"/>
              <w:right w:val="single" w:color="auto" w:sz="4" w:space="0"/>
            </w:tcBorders>
            <w:shd w:val="clear" w:color="000000" w:fill="FFFFFF"/>
          </w:tcPr>
          <w:p w14:paraId="367E815F">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single" w:color="auto" w:sz="4" w:space="0"/>
              <w:left w:val="single" w:color="auto" w:sz="4" w:space="0"/>
              <w:bottom w:val="single" w:color="auto" w:sz="4" w:space="0"/>
              <w:right w:val="single" w:color="auto" w:sz="4" w:space="0"/>
            </w:tcBorders>
            <w:shd w:val="clear" w:color="000000" w:fill="FFFFFF"/>
            <w:vAlign w:val="center"/>
          </w:tcPr>
          <w:p w14:paraId="668393A5">
            <w:pPr>
              <w:spacing w:after="0" w:line="240" w:lineRule="auto"/>
              <w:ind w:firstLine="480" w:firstLineChars="200"/>
              <w:jc w:val="both"/>
              <w:rPr>
                <w:rFonts w:ascii="Times New Roman" w:hAnsi="Times New Roman" w:eastAsia="仿宋_GB2312" w:cs="Times New Roman"/>
                <w:color w:val="auto"/>
                <w:sz w:val="24"/>
                <w:szCs w:val="24"/>
              </w:rPr>
            </w:pPr>
          </w:p>
        </w:tc>
      </w:tr>
      <w:tr w14:paraId="7CDA5896">
        <w:tblPrEx>
          <w:tblCellMar>
            <w:top w:w="0" w:type="dxa"/>
            <w:left w:w="108" w:type="dxa"/>
            <w:bottom w:w="0" w:type="dxa"/>
            <w:right w:w="108" w:type="dxa"/>
          </w:tblCellMar>
        </w:tblPrEx>
        <w:trPr>
          <w:trHeight w:val="78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1917853A">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9</w:t>
            </w:r>
          </w:p>
        </w:tc>
        <w:tc>
          <w:tcPr>
            <w:tcW w:w="1701" w:type="dxa"/>
            <w:tcBorders>
              <w:top w:val="nil"/>
              <w:left w:val="nil"/>
              <w:bottom w:val="single" w:color="auto" w:sz="4" w:space="0"/>
              <w:right w:val="single" w:color="auto" w:sz="4" w:space="0"/>
            </w:tcBorders>
            <w:shd w:val="clear" w:color="000000" w:fill="FFFFFF"/>
            <w:vAlign w:val="center"/>
          </w:tcPr>
          <w:p w14:paraId="521140D9">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安全阀管道改造</w:t>
            </w:r>
          </w:p>
        </w:tc>
        <w:tc>
          <w:tcPr>
            <w:tcW w:w="2551" w:type="dxa"/>
            <w:tcBorders>
              <w:top w:val="nil"/>
              <w:left w:val="nil"/>
              <w:bottom w:val="single" w:color="auto" w:sz="4" w:space="0"/>
              <w:right w:val="single" w:color="auto" w:sz="4" w:space="0"/>
            </w:tcBorders>
            <w:shd w:val="clear" w:color="000000" w:fill="FFFFFF"/>
            <w:vAlign w:val="center"/>
          </w:tcPr>
          <w:p w14:paraId="11806AD1">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现场确定</w:t>
            </w:r>
          </w:p>
        </w:tc>
        <w:tc>
          <w:tcPr>
            <w:tcW w:w="709" w:type="dxa"/>
            <w:tcBorders>
              <w:top w:val="nil"/>
              <w:left w:val="nil"/>
              <w:bottom w:val="single" w:color="auto" w:sz="4" w:space="0"/>
              <w:right w:val="single" w:color="auto" w:sz="4" w:space="0"/>
            </w:tcBorders>
            <w:shd w:val="clear" w:color="000000" w:fill="FFFFFF"/>
            <w:vAlign w:val="center"/>
          </w:tcPr>
          <w:p w14:paraId="0FAA4E9C">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544AF49C">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0EB7E37C">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5A50ED05">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63C27501">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安全阀法兰管座割短降低安全阀高度，安全阀排汽管加装弯头以让出通道</w:t>
            </w:r>
          </w:p>
        </w:tc>
      </w:tr>
      <w:tr w14:paraId="40C23367">
        <w:tblPrEx>
          <w:tblCellMar>
            <w:top w:w="0" w:type="dxa"/>
            <w:left w:w="108" w:type="dxa"/>
            <w:bottom w:w="0" w:type="dxa"/>
            <w:right w:w="108" w:type="dxa"/>
          </w:tblCellMar>
        </w:tblPrEx>
        <w:trPr>
          <w:trHeight w:val="78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03807EEA">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10</w:t>
            </w:r>
          </w:p>
        </w:tc>
        <w:tc>
          <w:tcPr>
            <w:tcW w:w="1701" w:type="dxa"/>
            <w:tcBorders>
              <w:top w:val="nil"/>
              <w:left w:val="nil"/>
              <w:bottom w:val="single" w:color="auto" w:sz="4" w:space="0"/>
              <w:right w:val="single" w:color="auto" w:sz="4" w:space="0"/>
            </w:tcBorders>
            <w:shd w:val="clear" w:color="000000" w:fill="FFFFFF"/>
            <w:vAlign w:val="center"/>
          </w:tcPr>
          <w:p w14:paraId="148C6DF9">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4#炉排底风室右边铁板更换</w:t>
            </w:r>
          </w:p>
        </w:tc>
        <w:tc>
          <w:tcPr>
            <w:tcW w:w="2551" w:type="dxa"/>
            <w:tcBorders>
              <w:top w:val="nil"/>
              <w:left w:val="nil"/>
              <w:bottom w:val="single" w:color="auto" w:sz="4" w:space="0"/>
              <w:right w:val="single" w:color="auto" w:sz="4" w:space="0"/>
            </w:tcBorders>
            <w:shd w:val="clear" w:color="000000" w:fill="FFFFFF"/>
            <w:vAlign w:val="center"/>
          </w:tcPr>
          <w:p w14:paraId="6EEA0378">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铁板：材质Q235，长4m*宽0.48m*厚6mm(拆除破损的，更换焊接)</w:t>
            </w:r>
          </w:p>
        </w:tc>
        <w:tc>
          <w:tcPr>
            <w:tcW w:w="709" w:type="dxa"/>
            <w:tcBorders>
              <w:top w:val="nil"/>
              <w:left w:val="nil"/>
              <w:bottom w:val="single" w:color="auto" w:sz="4" w:space="0"/>
              <w:right w:val="single" w:color="auto" w:sz="4" w:space="0"/>
            </w:tcBorders>
            <w:shd w:val="clear" w:color="000000" w:fill="FFFFFF"/>
            <w:vAlign w:val="center"/>
          </w:tcPr>
          <w:p w14:paraId="2ACFBDB7">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4C659642">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682E97FF">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4E8B8B1D">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764E49D7">
            <w:pPr>
              <w:spacing w:after="0" w:line="240" w:lineRule="auto"/>
              <w:ind w:firstLine="480" w:firstLineChars="200"/>
              <w:jc w:val="both"/>
              <w:rPr>
                <w:rFonts w:ascii="Times New Roman" w:hAnsi="Times New Roman" w:eastAsia="仿宋_GB2312" w:cs="Times New Roman"/>
                <w:color w:val="auto"/>
                <w:sz w:val="24"/>
                <w:szCs w:val="24"/>
              </w:rPr>
            </w:pPr>
          </w:p>
        </w:tc>
      </w:tr>
      <w:tr w14:paraId="375242B1">
        <w:tblPrEx>
          <w:tblCellMar>
            <w:top w:w="0" w:type="dxa"/>
            <w:left w:w="108" w:type="dxa"/>
            <w:bottom w:w="0" w:type="dxa"/>
            <w:right w:w="108" w:type="dxa"/>
          </w:tblCellMar>
        </w:tblPrEx>
        <w:trPr>
          <w:trHeight w:val="78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47058D79">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二</w:t>
            </w:r>
          </w:p>
        </w:tc>
        <w:tc>
          <w:tcPr>
            <w:tcW w:w="1701" w:type="dxa"/>
            <w:tcBorders>
              <w:top w:val="nil"/>
              <w:left w:val="nil"/>
              <w:bottom w:val="single" w:color="auto" w:sz="4" w:space="0"/>
              <w:right w:val="single" w:color="auto" w:sz="4" w:space="0"/>
            </w:tcBorders>
            <w:shd w:val="clear" w:color="000000" w:fill="FFFFFF"/>
            <w:vAlign w:val="center"/>
          </w:tcPr>
          <w:p w14:paraId="386A6180">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吹灰器检修平台制作安装</w:t>
            </w:r>
          </w:p>
        </w:tc>
        <w:tc>
          <w:tcPr>
            <w:tcW w:w="2551" w:type="dxa"/>
            <w:tcBorders>
              <w:top w:val="nil"/>
              <w:left w:val="nil"/>
              <w:bottom w:val="single" w:color="auto" w:sz="4" w:space="0"/>
              <w:right w:val="single" w:color="auto" w:sz="4" w:space="0"/>
            </w:tcBorders>
            <w:shd w:val="clear" w:color="000000" w:fill="FFFFFF"/>
            <w:vAlign w:val="center"/>
          </w:tcPr>
          <w:p w14:paraId="0CD8A52F">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拆除旧省煤器管平台，制作新平台改成δ=3mm花纹钢板，底部加装槽钢骨架（2.45mx4.5m）</w:t>
            </w:r>
          </w:p>
        </w:tc>
        <w:tc>
          <w:tcPr>
            <w:tcW w:w="709" w:type="dxa"/>
            <w:tcBorders>
              <w:top w:val="nil"/>
              <w:left w:val="nil"/>
              <w:bottom w:val="single" w:color="auto" w:sz="4" w:space="0"/>
              <w:right w:val="single" w:color="auto" w:sz="4" w:space="0"/>
            </w:tcBorders>
            <w:shd w:val="clear" w:color="000000" w:fill="FFFFFF"/>
            <w:vAlign w:val="center"/>
          </w:tcPr>
          <w:p w14:paraId="18B55F3C">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69394231">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6BEC1CF2">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73DCE567">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35863079">
            <w:pPr>
              <w:spacing w:after="0" w:line="240" w:lineRule="auto"/>
              <w:ind w:firstLine="480" w:firstLineChars="200"/>
              <w:jc w:val="both"/>
              <w:rPr>
                <w:rFonts w:ascii="Times New Roman" w:hAnsi="Times New Roman" w:eastAsia="仿宋_GB2312" w:cs="Times New Roman"/>
                <w:color w:val="auto"/>
                <w:sz w:val="24"/>
                <w:szCs w:val="24"/>
              </w:rPr>
            </w:pPr>
          </w:p>
        </w:tc>
      </w:tr>
      <w:tr w14:paraId="15068291">
        <w:tblPrEx>
          <w:tblCellMar>
            <w:top w:w="0" w:type="dxa"/>
            <w:left w:w="108" w:type="dxa"/>
            <w:bottom w:w="0" w:type="dxa"/>
            <w:right w:w="108" w:type="dxa"/>
          </w:tblCellMar>
        </w:tblPrEx>
        <w:trPr>
          <w:trHeight w:val="1056"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3207B889">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三</w:t>
            </w:r>
          </w:p>
        </w:tc>
        <w:tc>
          <w:tcPr>
            <w:tcW w:w="1701" w:type="dxa"/>
            <w:tcBorders>
              <w:top w:val="nil"/>
              <w:left w:val="nil"/>
              <w:bottom w:val="single" w:color="auto" w:sz="4" w:space="0"/>
              <w:right w:val="single" w:color="auto" w:sz="4" w:space="0"/>
            </w:tcBorders>
            <w:shd w:val="clear" w:color="000000" w:fill="FFFFFF"/>
            <w:vAlign w:val="center"/>
          </w:tcPr>
          <w:p w14:paraId="06D83277">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汽水取样冷却器</w:t>
            </w:r>
          </w:p>
        </w:tc>
        <w:tc>
          <w:tcPr>
            <w:tcW w:w="2551" w:type="dxa"/>
            <w:tcBorders>
              <w:top w:val="nil"/>
              <w:left w:val="nil"/>
              <w:bottom w:val="single" w:color="auto" w:sz="4" w:space="0"/>
              <w:right w:val="single" w:color="auto" w:sz="4" w:space="0"/>
            </w:tcBorders>
            <w:shd w:val="clear" w:color="000000" w:fill="FFFFFF"/>
            <w:vAlign w:val="center"/>
          </w:tcPr>
          <w:p w14:paraId="2CC3A48A">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1.拆除2台旧汽水取样冷却器及配套管路、设备；</w:t>
            </w:r>
          </w:p>
          <w:p w14:paraId="606240F8">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2.安装5台汽水取样冷却器：</w:t>
            </w:r>
          </w:p>
          <w:p w14:paraId="20478EA5">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2.1.配套相应管道及阀门，J41Y-100I截止阀PN100 DN10，数量10套，取样管规格φ16mm*3mm，给水采样管10m，材质20（G B3087）；</w:t>
            </w:r>
          </w:p>
          <w:p w14:paraId="730EAC51">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2.2.汽包右侧炉水采样管32m，材质20（G B3087）；汽包左侧炉水采样管23m，材质20（G B3087）；</w:t>
            </w:r>
          </w:p>
          <w:p w14:paraId="4CB98C73">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2.3.过热蒸汽采样管32m，材质15CrMo；</w:t>
            </w:r>
          </w:p>
          <w:p w14:paraId="2F06D0FC">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2.4.饱和蒸汽采样管27m，材质15CrMo；</w:t>
            </w:r>
          </w:p>
          <w:p w14:paraId="5FE1B8D1">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2.5.进膨胀器管道φ42mm*3.5mm，长度7m，材质15CrMo。（含冷却水进出水管，汽水取样冷却器支架、水槽制作，配套法兰盘、紧固件）</w:t>
            </w:r>
          </w:p>
        </w:tc>
        <w:tc>
          <w:tcPr>
            <w:tcW w:w="709" w:type="dxa"/>
            <w:tcBorders>
              <w:top w:val="nil"/>
              <w:left w:val="nil"/>
              <w:bottom w:val="single" w:color="auto" w:sz="4" w:space="0"/>
              <w:right w:val="single" w:color="auto" w:sz="4" w:space="0"/>
            </w:tcBorders>
            <w:shd w:val="clear" w:color="000000" w:fill="FFFFFF"/>
            <w:vAlign w:val="center"/>
          </w:tcPr>
          <w:p w14:paraId="704C3260">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67286B0A">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6954F38E">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16747392">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17FF1B11">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（给水管1台、炉水2台、饱和蒸汽1台、过热蒸汽1台）</w:t>
            </w:r>
          </w:p>
        </w:tc>
      </w:tr>
      <w:tr w14:paraId="2B4CBDDB">
        <w:tblPrEx>
          <w:tblCellMar>
            <w:top w:w="0" w:type="dxa"/>
            <w:left w:w="108" w:type="dxa"/>
            <w:bottom w:w="0" w:type="dxa"/>
            <w:right w:w="108" w:type="dxa"/>
          </w:tblCellMar>
        </w:tblPrEx>
        <w:trPr>
          <w:trHeight w:val="114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75EA3B24">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四</w:t>
            </w:r>
          </w:p>
        </w:tc>
        <w:tc>
          <w:tcPr>
            <w:tcW w:w="1701" w:type="dxa"/>
            <w:tcBorders>
              <w:top w:val="nil"/>
              <w:left w:val="nil"/>
              <w:bottom w:val="single" w:color="auto" w:sz="4" w:space="0"/>
              <w:right w:val="single" w:color="auto" w:sz="4" w:space="0"/>
            </w:tcBorders>
            <w:shd w:val="clear" w:color="000000" w:fill="FFFFFF"/>
            <w:vAlign w:val="center"/>
          </w:tcPr>
          <w:p w14:paraId="24AC6A82">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左侧泄漏的防焦管焊补</w:t>
            </w:r>
          </w:p>
        </w:tc>
        <w:tc>
          <w:tcPr>
            <w:tcW w:w="2551" w:type="dxa"/>
            <w:tcBorders>
              <w:top w:val="nil"/>
              <w:left w:val="nil"/>
              <w:bottom w:val="single" w:color="auto" w:sz="4" w:space="0"/>
              <w:right w:val="single" w:color="auto" w:sz="4" w:space="0"/>
            </w:tcBorders>
            <w:shd w:val="clear" w:color="000000" w:fill="FFFFFF"/>
            <w:vAlign w:val="center"/>
          </w:tcPr>
          <w:p w14:paraId="564A86B1">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1个口</w:t>
            </w:r>
          </w:p>
        </w:tc>
        <w:tc>
          <w:tcPr>
            <w:tcW w:w="709" w:type="dxa"/>
            <w:tcBorders>
              <w:top w:val="nil"/>
              <w:left w:val="nil"/>
              <w:bottom w:val="single" w:color="auto" w:sz="4" w:space="0"/>
              <w:right w:val="single" w:color="auto" w:sz="4" w:space="0"/>
            </w:tcBorders>
            <w:shd w:val="clear" w:color="000000" w:fill="FFFFFF"/>
            <w:vAlign w:val="center"/>
          </w:tcPr>
          <w:p w14:paraId="5AC5924A">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50D05FF9">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63E6D788">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3E270322">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7484FAF5">
            <w:pPr>
              <w:spacing w:after="0" w:line="240" w:lineRule="auto"/>
              <w:ind w:firstLine="480" w:firstLineChars="200"/>
              <w:jc w:val="both"/>
              <w:rPr>
                <w:rFonts w:ascii="Times New Roman" w:hAnsi="Times New Roman" w:eastAsia="仿宋_GB2312" w:cs="Times New Roman"/>
                <w:color w:val="auto"/>
                <w:sz w:val="24"/>
                <w:szCs w:val="24"/>
              </w:rPr>
            </w:pPr>
          </w:p>
        </w:tc>
      </w:tr>
      <w:tr w14:paraId="61575901">
        <w:tblPrEx>
          <w:tblCellMar>
            <w:top w:w="0" w:type="dxa"/>
            <w:left w:w="108" w:type="dxa"/>
            <w:bottom w:w="0" w:type="dxa"/>
            <w:right w:w="108" w:type="dxa"/>
          </w:tblCellMar>
        </w:tblPrEx>
        <w:trPr>
          <w:trHeight w:val="1164"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1D0D2634">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五</w:t>
            </w:r>
          </w:p>
        </w:tc>
        <w:tc>
          <w:tcPr>
            <w:tcW w:w="1701" w:type="dxa"/>
            <w:tcBorders>
              <w:top w:val="nil"/>
              <w:left w:val="nil"/>
              <w:bottom w:val="single" w:color="auto" w:sz="4" w:space="0"/>
              <w:right w:val="single" w:color="auto" w:sz="4" w:space="0"/>
            </w:tcBorders>
            <w:shd w:val="clear" w:color="000000" w:fill="FFFFFF"/>
            <w:vAlign w:val="center"/>
          </w:tcPr>
          <w:p w14:paraId="7C658AE3">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更换上锅筒连接到连排之间的排污管道（φ27mm*3.5mm）及主管φ42mm*3.5mm</w:t>
            </w:r>
          </w:p>
        </w:tc>
        <w:tc>
          <w:tcPr>
            <w:tcW w:w="2551" w:type="dxa"/>
            <w:tcBorders>
              <w:top w:val="nil"/>
              <w:left w:val="nil"/>
              <w:bottom w:val="single" w:color="auto" w:sz="4" w:space="0"/>
              <w:right w:val="single" w:color="auto" w:sz="4" w:space="0"/>
            </w:tcBorders>
            <w:shd w:val="clear" w:color="000000" w:fill="FFFFFF"/>
            <w:vAlign w:val="center"/>
          </w:tcPr>
          <w:p w14:paraId="4FB94466">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 xml:space="preserve">排污管（DN20）长23m，材质20（G B3087）；主管φ42mm*3.5mm管长6m </w:t>
            </w:r>
          </w:p>
        </w:tc>
        <w:tc>
          <w:tcPr>
            <w:tcW w:w="709" w:type="dxa"/>
            <w:tcBorders>
              <w:top w:val="nil"/>
              <w:left w:val="nil"/>
              <w:bottom w:val="single" w:color="auto" w:sz="4" w:space="0"/>
              <w:right w:val="single" w:color="auto" w:sz="4" w:space="0"/>
            </w:tcBorders>
            <w:shd w:val="clear" w:color="000000" w:fill="FFFFFF"/>
            <w:vAlign w:val="center"/>
          </w:tcPr>
          <w:p w14:paraId="4C3C82D7">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7EDD2EF5">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2AF8D0C4">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5780BCE7">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706D3D4F">
            <w:pPr>
              <w:spacing w:after="0" w:line="240" w:lineRule="auto"/>
              <w:ind w:firstLine="480" w:firstLineChars="200"/>
              <w:jc w:val="both"/>
              <w:rPr>
                <w:rFonts w:ascii="Times New Roman" w:hAnsi="Times New Roman" w:eastAsia="仿宋_GB2312" w:cs="Times New Roman"/>
                <w:color w:val="auto"/>
                <w:sz w:val="24"/>
                <w:szCs w:val="24"/>
              </w:rPr>
            </w:pPr>
          </w:p>
        </w:tc>
      </w:tr>
      <w:tr w14:paraId="295CA6A6">
        <w:tblPrEx>
          <w:tblCellMar>
            <w:top w:w="0" w:type="dxa"/>
            <w:left w:w="108" w:type="dxa"/>
            <w:bottom w:w="0" w:type="dxa"/>
            <w:right w:w="108" w:type="dxa"/>
          </w:tblCellMar>
        </w:tblPrEx>
        <w:trPr>
          <w:trHeight w:val="78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23AF3630">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六</w:t>
            </w:r>
          </w:p>
        </w:tc>
        <w:tc>
          <w:tcPr>
            <w:tcW w:w="1701" w:type="dxa"/>
            <w:tcBorders>
              <w:top w:val="nil"/>
              <w:left w:val="nil"/>
              <w:bottom w:val="single" w:color="auto" w:sz="4" w:space="0"/>
              <w:right w:val="single" w:color="auto" w:sz="4" w:space="0"/>
            </w:tcBorders>
            <w:shd w:val="clear" w:color="000000" w:fill="FFFFFF"/>
            <w:vAlign w:val="center"/>
          </w:tcPr>
          <w:p w14:paraId="7A9E9895">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空气预热器管更换</w:t>
            </w:r>
          </w:p>
        </w:tc>
        <w:tc>
          <w:tcPr>
            <w:tcW w:w="2551" w:type="dxa"/>
            <w:tcBorders>
              <w:top w:val="nil"/>
              <w:left w:val="nil"/>
              <w:bottom w:val="single" w:color="auto" w:sz="4" w:space="0"/>
              <w:right w:val="single" w:color="auto" w:sz="4" w:space="0"/>
            </w:tcBorders>
            <w:shd w:val="clear" w:color="000000" w:fill="FFFFFF"/>
            <w:vAlign w:val="center"/>
          </w:tcPr>
          <w:p w14:paraId="306362BA">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（规格：高频焊管φ51mm*2mm，长度3494mm）1678根</w:t>
            </w:r>
          </w:p>
        </w:tc>
        <w:tc>
          <w:tcPr>
            <w:tcW w:w="709" w:type="dxa"/>
            <w:tcBorders>
              <w:top w:val="nil"/>
              <w:left w:val="nil"/>
              <w:bottom w:val="single" w:color="auto" w:sz="4" w:space="0"/>
              <w:right w:val="single" w:color="auto" w:sz="4" w:space="0"/>
            </w:tcBorders>
            <w:shd w:val="clear" w:color="000000" w:fill="FFFFFF"/>
            <w:vAlign w:val="center"/>
          </w:tcPr>
          <w:p w14:paraId="6024B4A3">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161C951D">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single" w:color="auto" w:sz="4" w:space="0"/>
              <w:bottom w:val="single" w:color="auto" w:sz="4" w:space="0"/>
              <w:right w:val="single" w:color="auto" w:sz="4" w:space="0"/>
            </w:tcBorders>
            <w:shd w:val="clear" w:color="000000" w:fill="FFFFFF"/>
          </w:tcPr>
          <w:p w14:paraId="51484001">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50DF280D">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30AFBD4A">
            <w:pPr>
              <w:spacing w:after="0" w:line="240" w:lineRule="auto"/>
              <w:ind w:firstLine="480" w:firstLineChars="200"/>
              <w:jc w:val="both"/>
              <w:rPr>
                <w:rFonts w:ascii="Times New Roman" w:hAnsi="Times New Roman" w:eastAsia="仿宋_GB2312" w:cs="Times New Roman"/>
                <w:color w:val="auto"/>
                <w:sz w:val="24"/>
                <w:szCs w:val="24"/>
              </w:rPr>
            </w:pPr>
          </w:p>
        </w:tc>
      </w:tr>
      <w:tr w14:paraId="21C1A61F">
        <w:tblPrEx>
          <w:tblCellMar>
            <w:top w:w="0" w:type="dxa"/>
            <w:left w:w="108" w:type="dxa"/>
            <w:bottom w:w="0" w:type="dxa"/>
            <w:right w:w="108" w:type="dxa"/>
          </w:tblCellMar>
        </w:tblPrEx>
        <w:trPr>
          <w:trHeight w:val="78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5E7DE98E">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1701" w:type="dxa"/>
            <w:tcBorders>
              <w:top w:val="nil"/>
              <w:left w:val="nil"/>
              <w:bottom w:val="single" w:color="auto" w:sz="4" w:space="0"/>
              <w:right w:val="single" w:color="auto" w:sz="4" w:space="0"/>
            </w:tcBorders>
            <w:shd w:val="clear" w:color="000000" w:fill="FFFFFF"/>
            <w:vAlign w:val="center"/>
          </w:tcPr>
          <w:p w14:paraId="1C2DEEEB">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拆除原有空气预热器管更换</w:t>
            </w:r>
          </w:p>
        </w:tc>
        <w:tc>
          <w:tcPr>
            <w:tcW w:w="2551" w:type="dxa"/>
            <w:tcBorders>
              <w:top w:val="nil"/>
              <w:left w:val="nil"/>
              <w:bottom w:val="single" w:color="auto" w:sz="4" w:space="0"/>
              <w:right w:val="single" w:color="auto" w:sz="4" w:space="0"/>
            </w:tcBorders>
            <w:shd w:val="clear" w:color="000000" w:fill="FFFFFF"/>
            <w:vAlign w:val="center"/>
          </w:tcPr>
          <w:p w14:paraId="3866946D">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（规格：高频焊管φ51mm*2mm，长度3494mm）1678根（含需要拆除的烟道墙等）</w:t>
            </w:r>
          </w:p>
        </w:tc>
        <w:tc>
          <w:tcPr>
            <w:tcW w:w="709" w:type="dxa"/>
            <w:tcBorders>
              <w:top w:val="nil"/>
              <w:left w:val="nil"/>
              <w:bottom w:val="single" w:color="auto" w:sz="4" w:space="0"/>
              <w:right w:val="single" w:color="auto" w:sz="4" w:space="0"/>
            </w:tcBorders>
            <w:shd w:val="clear" w:color="000000" w:fill="FFFFFF"/>
            <w:vAlign w:val="center"/>
          </w:tcPr>
          <w:p w14:paraId="2EED8692">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606B9D20">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single" w:color="auto" w:sz="4" w:space="0"/>
              <w:bottom w:val="single" w:color="auto" w:sz="4" w:space="0"/>
              <w:right w:val="single" w:color="auto" w:sz="4" w:space="0"/>
            </w:tcBorders>
            <w:shd w:val="clear" w:color="000000" w:fill="FFFFFF"/>
          </w:tcPr>
          <w:p w14:paraId="1F85FAE9">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51EA3450">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2DCD00A5">
            <w:pPr>
              <w:spacing w:after="0" w:line="240" w:lineRule="auto"/>
              <w:ind w:firstLine="480" w:firstLineChars="200"/>
              <w:jc w:val="both"/>
              <w:rPr>
                <w:rFonts w:ascii="Times New Roman" w:hAnsi="Times New Roman" w:eastAsia="仿宋_GB2312" w:cs="Times New Roman"/>
                <w:color w:val="auto"/>
                <w:sz w:val="24"/>
                <w:szCs w:val="24"/>
              </w:rPr>
            </w:pPr>
          </w:p>
        </w:tc>
      </w:tr>
      <w:tr w14:paraId="200CD814">
        <w:tblPrEx>
          <w:tblCellMar>
            <w:top w:w="0" w:type="dxa"/>
            <w:left w:w="108" w:type="dxa"/>
            <w:bottom w:w="0" w:type="dxa"/>
            <w:right w:w="108" w:type="dxa"/>
          </w:tblCellMar>
        </w:tblPrEx>
        <w:trPr>
          <w:trHeight w:val="78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7D8BBBCB">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w:t>
            </w:r>
          </w:p>
        </w:tc>
        <w:tc>
          <w:tcPr>
            <w:tcW w:w="1701" w:type="dxa"/>
            <w:tcBorders>
              <w:top w:val="nil"/>
              <w:left w:val="nil"/>
              <w:bottom w:val="single" w:color="auto" w:sz="4" w:space="0"/>
              <w:right w:val="single" w:color="auto" w:sz="4" w:space="0"/>
            </w:tcBorders>
            <w:shd w:val="clear" w:color="000000" w:fill="FFFFFF"/>
            <w:vAlign w:val="center"/>
          </w:tcPr>
          <w:p w14:paraId="046F8F99">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安装空气预热器管</w:t>
            </w:r>
          </w:p>
        </w:tc>
        <w:tc>
          <w:tcPr>
            <w:tcW w:w="2551" w:type="dxa"/>
            <w:tcBorders>
              <w:top w:val="nil"/>
              <w:left w:val="nil"/>
              <w:bottom w:val="single" w:color="auto" w:sz="4" w:space="0"/>
              <w:right w:val="single" w:color="auto" w:sz="4" w:space="0"/>
            </w:tcBorders>
            <w:shd w:val="clear" w:color="000000" w:fill="FFFFFF"/>
            <w:vAlign w:val="center"/>
          </w:tcPr>
          <w:p w14:paraId="0FFD0151">
            <w:pPr>
              <w:spacing w:after="0" w:line="240" w:lineRule="auto"/>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（材质：Q235A; 规格：高频焊管φ51mm*2mm，长度3494mm）1678根（含需要恢复的烟道墙等）</w:t>
            </w:r>
          </w:p>
        </w:tc>
        <w:tc>
          <w:tcPr>
            <w:tcW w:w="709" w:type="dxa"/>
            <w:tcBorders>
              <w:top w:val="nil"/>
              <w:left w:val="nil"/>
              <w:bottom w:val="single" w:color="auto" w:sz="4" w:space="0"/>
              <w:right w:val="single" w:color="auto" w:sz="4" w:space="0"/>
            </w:tcBorders>
            <w:shd w:val="clear" w:color="000000" w:fill="FFFFFF"/>
            <w:vAlign w:val="center"/>
          </w:tcPr>
          <w:p w14:paraId="12C462BC">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w:t>
            </w:r>
          </w:p>
        </w:tc>
        <w:tc>
          <w:tcPr>
            <w:tcW w:w="709" w:type="dxa"/>
            <w:tcBorders>
              <w:top w:val="nil"/>
              <w:left w:val="nil"/>
              <w:bottom w:val="single" w:color="auto" w:sz="4" w:space="0"/>
              <w:right w:val="single" w:color="auto" w:sz="4" w:space="0"/>
            </w:tcBorders>
            <w:shd w:val="clear" w:color="000000" w:fill="FFFFFF"/>
            <w:vAlign w:val="center"/>
          </w:tcPr>
          <w:p w14:paraId="22DD81B5">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w:t>
            </w:r>
          </w:p>
        </w:tc>
        <w:tc>
          <w:tcPr>
            <w:tcW w:w="850" w:type="dxa"/>
            <w:tcBorders>
              <w:top w:val="single" w:color="auto" w:sz="4" w:space="0"/>
              <w:left w:val="nil"/>
              <w:bottom w:val="single" w:color="auto" w:sz="4" w:space="0"/>
              <w:right w:val="single" w:color="auto" w:sz="4" w:space="0"/>
            </w:tcBorders>
            <w:shd w:val="clear" w:color="000000" w:fill="FFFFFF"/>
          </w:tcPr>
          <w:p w14:paraId="2561F9F6">
            <w:pPr>
              <w:spacing w:after="0" w:line="240" w:lineRule="auto"/>
              <w:ind w:firstLine="480" w:firstLineChars="200"/>
              <w:jc w:val="both"/>
              <w:rPr>
                <w:rFonts w:ascii="Times New Roman" w:hAnsi="Times New Roman" w:eastAsia="仿宋_GB2312" w:cs="Times New Roman"/>
                <w:color w:val="auto"/>
                <w:sz w:val="24"/>
                <w:szCs w:val="24"/>
              </w:rPr>
            </w:pPr>
          </w:p>
        </w:tc>
        <w:tc>
          <w:tcPr>
            <w:tcW w:w="851" w:type="dxa"/>
            <w:tcBorders>
              <w:top w:val="nil"/>
              <w:left w:val="single" w:color="auto" w:sz="4" w:space="0"/>
              <w:bottom w:val="single" w:color="auto" w:sz="4" w:space="0"/>
              <w:right w:val="single" w:color="auto" w:sz="4" w:space="0"/>
            </w:tcBorders>
            <w:shd w:val="clear" w:color="000000" w:fill="FFFFFF"/>
          </w:tcPr>
          <w:p w14:paraId="07D6F222">
            <w:pPr>
              <w:spacing w:after="0" w:line="240" w:lineRule="auto"/>
              <w:ind w:firstLine="480" w:firstLineChars="200"/>
              <w:jc w:val="both"/>
              <w:rPr>
                <w:rFonts w:ascii="Times New Roman" w:hAnsi="Times New Roman" w:eastAsia="仿宋_GB2312" w:cs="Times New Roman"/>
                <w:color w:val="auto"/>
                <w:sz w:val="24"/>
                <w:szCs w:val="24"/>
              </w:rPr>
            </w:pPr>
          </w:p>
        </w:tc>
        <w:tc>
          <w:tcPr>
            <w:tcW w:w="1276" w:type="dxa"/>
            <w:tcBorders>
              <w:top w:val="nil"/>
              <w:left w:val="single" w:color="auto" w:sz="4" w:space="0"/>
              <w:bottom w:val="single" w:color="auto" w:sz="4" w:space="0"/>
              <w:right w:val="single" w:color="auto" w:sz="4" w:space="0"/>
            </w:tcBorders>
            <w:shd w:val="clear" w:color="000000" w:fill="FFFFFF"/>
            <w:vAlign w:val="center"/>
          </w:tcPr>
          <w:p w14:paraId="4EB9F7D4">
            <w:pPr>
              <w:spacing w:after="0" w:line="240" w:lineRule="auto"/>
              <w:ind w:firstLine="480" w:firstLineChars="200"/>
              <w:jc w:val="both"/>
              <w:rPr>
                <w:rFonts w:ascii="Times New Roman" w:hAnsi="Times New Roman" w:eastAsia="仿宋_GB2312" w:cs="Times New Roman"/>
                <w:color w:val="auto"/>
                <w:sz w:val="24"/>
                <w:szCs w:val="24"/>
              </w:rPr>
            </w:pPr>
          </w:p>
        </w:tc>
      </w:tr>
      <w:tr w14:paraId="6B5FFB52">
        <w:tblPrEx>
          <w:tblCellMar>
            <w:top w:w="0" w:type="dxa"/>
            <w:left w:w="108" w:type="dxa"/>
            <w:bottom w:w="0" w:type="dxa"/>
            <w:right w:w="108" w:type="dxa"/>
          </w:tblCellMar>
        </w:tblPrEx>
        <w:trPr>
          <w:trHeight w:val="780" w:hRule="atLeast"/>
        </w:trPr>
        <w:tc>
          <w:tcPr>
            <w:tcW w:w="680" w:type="dxa"/>
            <w:tcBorders>
              <w:top w:val="nil"/>
              <w:left w:val="single" w:color="auto" w:sz="4" w:space="0"/>
              <w:bottom w:val="single" w:color="auto" w:sz="4" w:space="0"/>
              <w:right w:val="single" w:color="auto" w:sz="4" w:space="0"/>
            </w:tcBorders>
            <w:shd w:val="clear" w:color="000000" w:fill="FFFFFF"/>
            <w:vAlign w:val="center"/>
          </w:tcPr>
          <w:p w14:paraId="736E634E">
            <w:pPr>
              <w:spacing w:after="0" w:line="240" w:lineRule="auto"/>
              <w:jc w:val="center"/>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七</w:t>
            </w:r>
          </w:p>
        </w:tc>
        <w:tc>
          <w:tcPr>
            <w:tcW w:w="8647" w:type="dxa"/>
            <w:gridSpan w:val="7"/>
            <w:tcBorders>
              <w:top w:val="nil"/>
              <w:left w:val="nil"/>
              <w:bottom w:val="single" w:color="auto" w:sz="4" w:space="0"/>
              <w:right w:val="single" w:color="auto" w:sz="4" w:space="0"/>
            </w:tcBorders>
            <w:shd w:val="clear" w:color="000000" w:fill="FFFFFF"/>
          </w:tcPr>
          <w:p w14:paraId="2558E91E">
            <w:pPr>
              <w:spacing w:after="0" w:line="240" w:lineRule="auto"/>
              <w:ind w:firstLine="480" w:firstLineChars="200"/>
              <w:jc w:val="both"/>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备注：所有工程内容产生的垃圾按要求清理到指定的堆放地点，所列材料数量以实际使用量为准，不足部分由供应商补齐，不在另行计算价格费用均含在此项目总价内。</w:t>
            </w:r>
          </w:p>
        </w:tc>
      </w:tr>
    </w:tbl>
    <w:p w14:paraId="2ADB5E64">
      <w:pPr>
        <w:pStyle w:val="18"/>
        <w:rPr>
          <w:rFonts w:hint="eastAsia" w:ascii="Times New Roman" w:hAnsi="Times New Roman" w:cs="Times New Roman"/>
        </w:rPr>
      </w:pPr>
      <w:r>
        <w:rPr>
          <w:rFonts w:ascii="Times New Roman" w:hAnsi="Times New Roman" w:cs="Times New Roman"/>
        </w:rPr>
        <w:t xml:space="preserve">    </w:t>
      </w:r>
    </w:p>
    <w:p w14:paraId="337782FD">
      <w:pPr>
        <w:rPr>
          <w:rFonts w:ascii="Times New Roman" w:hAnsi="Times New Roman" w:eastAsia="仿宋_GB2312" w:cs="Times New Roman"/>
          <w:sz w:val="32"/>
          <w:szCs w:val="32"/>
        </w:rPr>
      </w:pPr>
      <w:r>
        <w:rPr>
          <w:rFonts w:ascii="Times New Roman" w:hAnsi="Times New Roman" w:eastAsia="仿宋_GB2312" w:cs="Times New Roman"/>
          <w:sz w:val="32"/>
          <w:szCs w:val="32"/>
        </w:rPr>
        <w:t>注：响应报价明细表中总合计要与“相应报价表”中总合计一致</w:t>
      </w:r>
    </w:p>
    <w:p w14:paraId="695071D8">
      <w:pPr>
        <w:pStyle w:val="18"/>
        <w:rPr>
          <w:rFonts w:ascii="Times New Roman" w:hAnsi="Times New Roman" w:cs="Times New Roman"/>
        </w:rPr>
      </w:pPr>
    </w:p>
    <w:p w14:paraId="3E02B0C9">
      <w:pPr>
        <w:pStyle w:val="5"/>
        <w:ind w:firstLine="480"/>
        <w:outlineLvl w:val="9"/>
        <w:rPr>
          <w:rFonts w:ascii="Times New Roman" w:hAnsi="Times New Roman" w:cs="Times New Roman"/>
        </w:rPr>
      </w:pPr>
    </w:p>
    <w:p w14:paraId="0189A741">
      <w:pPr>
        <w:rPr>
          <w:rFonts w:ascii="Times New Roman" w:hAnsi="Times New Roman" w:cs="Times New Roman"/>
        </w:rPr>
      </w:pPr>
      <w:r>
        <w:rPr>
          <w:rFonts w:ascii="Times New Roman" w:hAnsi="Times New Roman" w:cs="Times New Roman"/>
        </w:rPr>
        <w:br w:type="page"/>
      </w:r>
    </w:p>
    <w:p w14:paraId="7C75C2FF">
      <w:pPr>
        <w:pStyle w:val="3"/>
        <w:ind w:firstLine="800"/>
        <w:jc w:val="center"/>
        <w:outlineLvl w:val="2"/>
        <w:rPr>
          <w:rFonts w:ascii="Times New Roman" w:hAnsi="Times New Roman" w:eastAsia="黑体" w:cs="Times New Roman"/>
        </w:rPr>
      </w:pPr>
      <w:bookmarkStart w:id="442" w:name="_bookmark20"/>
      <w:bookmarkEnd w:id="442"/>
      <w:bookmarkStart w:id="443" w:name="_Toc21511"/>
      <w:r>
        <w:rPr>
          <w:rFonts w:ascii="Times New Roman" w:hAnsi="Times New Roman" w:eastAsia="黑体" w:cs="Times New Roman"/>
          <w:snapToGrid w:val="0"/>
          <w:color w:val="auto"/>
          <w:sz w:val="32"/>
          <w:szCs w:val="32"/>
        </w:rPr>
        <w:t>八、资格审查资料</w:t>
      </w:r>
      <w:bookmarkEnd w:id="443"/>
    </w:p>
    <w:p w14:paraId="30ED31B9">
      <w:pPr>
        <w:rPr>
          <w:rFonts w:ascii="Times New Roman" w:hAnsi="Times New Roman" w:cs="Times New Roman"/>
          <w:snapToGrid w:val="0"/>
        </w:rPr>
      </w:pPr>
    </w:p>
    <w:p w14:paraId="1B5160C5">
      <w:pPr>
        <w:widowControl w:val="0"/>
        <w:autoSpaceDE w:val="0"/>
        <w:autoSpaceDN w:val="0"/>
        <w:spacing w:line="560" w:lineRule="exact"/>
        <w:ind w:firstLine="643" w:firstLineChars="200"/>
        <w:outlineLvl w:val="3"/>
        <w:rPr>
          <w:rFonts w:hint="eastAsia" w:ascii="仿宋_GB2312" w:hAnsi="仿宋_GB2312" w:eastAsia="仿宋_GB2312" w:cs="仿宋_GB2312"/>
          <w:b/>
          <w:bCs/>
          <w:snapToGrid w:val="0"/>
          <w:sz w:val="32"/>
          <w:szCs w:val="32"/>
          <w:lang w:val="en-US" w:eastAsia="zh-CN" w:bidi="ar-SA"/>
        </w:rPr>
      </w:pPr>
      <w:r>
        <w:rPr>
          <w:rFonts w:hint="eastAsia" w:ascii="仿宋_GB2312" w:hAnsi="仿宋_GB2312" w:eastAsia="仿宋_GB2312" w:cs="仿宋_GB2312"/>
          <w:b/>
          <w:bCs/>
          <w:snapToGrid w:val="0"/>
          <w:sz w:val="32"/>
          <w:szCs w:val="32"/>
          <w:lang w:val="en-US" w:eastAsia="zh-CN" w:bidi="ar-SA"/>
        </w:rPr>
        <w:t>(一)基本情况</w:t>
      </w:r>
    </w:p>
    <w:p w14:paraId="7209AE07">
      <w:pPr>
        <w:widowControl w:val="0"/>
        <w:autoSpaceDE w:val="0"/>
        <w:autoSpaceDN w:val="0"/>
        <w:adjustRightInd w:val="0"/>
        <w:snapToGrid w:val="0"/>
        <w:spacing w:after="0" w:line="560" w:lineRule="exact"/>
        <w:ind w:firstLine="480"/>
        <w:rPr>
          <w:rFonts w:hint="eastAsia"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供应商应根据供应商须知前附表第3.5(1)项和第3.5(2)项的要求提供主体资格证明及相关资质证明材料。</w:t>
      </w:r>
    </w:p>
    <w:p w14:paraId="0A4771B1">
      <w:pPr>
        <w:widowControl w:val="0"/>
        <w:autoSpaceDE w:val="0"/>
        <w:autoSpaceDN w:val="0"/>
        <w:adjustRightInd w:val="0"/>
        <w:snapToGrid w:val="0"/>
        <w:spacing w:after="0" w:line="560" w:lineRule="exact"/>
        <w:ind w:firstLine="480"/>
        <w:rPr>
          <w:rFonts w:hint="eastAsia"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供应商还应根据供应商须知前附表第3.5(5)项、第3.5(7)项和第3.5(8)项的要求提供其他相关证明材料。</w:t>
      </w:r>
    </w:p>
    <w:p w14:paraId="58F4EF76">
      <w:pPr>
        <w:widowControl w:val="0"/>
        <w:autoSpaceDE w:val="0"/>
        <w:autoSpaceDN w:val="0"/>
        <w:spacing w:line="560" w:lineRule="exact"/>
        <w:ind w:firstLine="643" w:firstLineChars="200"/>
        <w:outlineLvl w:val="3"/>
        <w:rPr>
          <w:rFonts w:hint="eastAsia" w:ascii="仿宋_GB2312" w:hAnsi="仿宋_GB2312" w:eastAsia="仿宋_GB2312" w:cs="仿宋_GB2312"/>
          <w:b/>
          <w:bCs/>
          <w:snapToGrid w:val="0"/>
          <w:sz w:val="32"/>
          <w:szCs w:val="32"/>
          <w:lang w:val="en-US" w:eastAsia="zh-CN" w:bidi="ar-SA"/>
        </w:rPr>
      </w:pPr>
      <w:r>
        <w:rPr>
          <w:rFonts w:hint="eastAsia" w:ascii="仿宋_GB2312" w:hAnsi="仿宋_GB2312" w:eastAsia="仿宋_GB2312" w:cs="仿宋_GB2312"/>
          <w:b/>
          <w:bCs/>
          <w:snapToGrid w:val="0"/>
          <w:sz w:val="32"/>
          <w:szCs w:val="32"/>
          <w:lang w:val="en-US" w:eastAsia="zh-CN" w:bidi="ar-SA"/>
        </w:rPr>
        <w:t>(二)近年财务状况</w:t>
      </w:r>
    </w:p>
    <w:p w14:paraId="6FC7A5BF">
      <w:pPr>
        <w:widowControl w:val="0"/>
        <w:autoSpaceDE w:val="0"/>
        <w:autoSpaceDN w:val="0"/>
        <w:adjustRightInd w:val="0"/>
        <w:snapToGrid w:val="0"/>
        <w:spacing w:after="0" w:line="560" w:lineRule="exact"/>
        <w:ind w:firstLine="480"/>
        <w:rPr>
          <w:rFonts w:hint="eastAsia"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供应商应根据供应商须知前附表第3.5(3)项的要求提供近年财务会计报表复印件。</w:t>
      </w:r>
    </w:p>
    <w:p w14:paraId="42DE7DD0">
      <w:pPr>
        <w:widowControl w:val="0"/>
        <w:autoSpaceDE w:val="0"/>
        <w:autoSpaceDN w:val="0"/>
        <w:spacing w:line="560" w:lineRule="exact"/>
        <w:ind w:firstLine="643" w:firstLineChars="200"/>
        <w:outlineLvl w:val="3"/>
        <w:rPr>
          <w:rFonts w:hint="eastAsia" w:ascii="仿宋_GB2312" w:hAnsi="仿宋_GB2312" w:eastAsia="仿宋_GB2312" w:cs="仿宋_GB2312"/>
          <w:b/>
          <w:bCs/>
          <w:snapToGrid w:val="0"/>
          <w:sz w:val="32"/>
          <w:szCs w:val="32"/>
          <w:lang w:val="en-US" w:eastAsia="zh-CN" w:bidi="ar-SA"/>
        </w:rPr>
      </w:pPr>
      <w:r>
        <w:rPr>
          <w:rFonts w:hint="eastAsia" w:ascii="仿宋_GB2312" w:hAnsi="仿宋_GB2312" w:eastAsia="仿宋_GB2312" w:cs="仿宋_GB2312"/>
          <w:b/>
          <w:bCs/>
          <w:snapToGrid w:val="0"/>
          <w:sz w:val="32"/>
          <w:szCs w:val="32"/>
          <w:lang w:val="en-US" w:eastAsia="zh-CN" w:bidi="ar-SA"/>
        </w:rPr>
        <w:t>(三)近年的类似项目情况表</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39"/>
        <w:gridCol w:w="6762"/>
      </w:tblGrid>
      <w:tr w14:paraId="46E56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14:paraId="7C492AAA">
            <w:pPr>
              <w:jc w:val="cente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项目名称</w:t>
            </w:r>
          </w:p>
        </w:tc>
        <w:tc>
          <w:tcPr>
            <w:tcW w:w="6762" w:type="dxa"/>
            <w:vAlign w:val="center"/>
          </w:tcPr>
          <w:p w14:paraId="0377BCBB">
            <w:pPr>
              <w:rPr>
                <w:rFonts w:hint="eastAsia" w:ascii="仿宋_GB2312" w:hAnsi="仿宋_GB2312" w:eastAsia="仿宋_GB2312" w:cs="仿宋_GB2312"/>
                <w:snapToGrid w:val="0"/>
                <w:sz w:val="24"/>
                <w:szCs w:val="24"/>
              </w:rPr>
            </w:pPr>
          </w:p>
        </w:tc>
      </w:tr>
      <w:tr w14:paraId="323A3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14:paraId="3EB8EE2F">
            <w:pPr>
              <w:jc w:val="cente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服务内容</w:t>
            </w:r>
          </w:p>
        </w:tc>
        <w:tc>
          <w:tcPr>
            <w:tcW w:w="6762" w:type="dxa"/>
            <w:vAlign w:val="center"/>
          </w:tcPr>
          <w:p w14:paraId="6ECCA958">
            <w:pPr>
              <w:rPr>
                <w:rFonts w:hint="eastAsia" w:ascii="仿宋_GB2312" w:hAnsi="仿宋_GB2312" w:eastAsia="仿宋_GB2312" w:cs="仿宋_GB2312"/>
                <w:snapToGrid w:val="0"/>
                <w:sz w:val="24"/>
                <w:szCs w:val="24"/>
              </w:rPr>
            </w:pPr>
          </w:p>
        </w:tc>
      </w:tr>
      <w:tr w14:paraId="57A0B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14:paraId="0CC55AE8">
            <w:pPr>
              <w:jc w:val="cente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委托人/发包人名称</w:t>
            </w:r>
          </w:p>
        </w:tc>
        <w:tc>
          <w:tcPr>
            <w:tcW w:w="6762" w:type="dxa"/>
            <w:vAlign w:val="center"/>
          </w:tcPr>
          <w:p w14:paraId="73373CA2">
            <w:pPr>
              <w:rPr>
                <w:rFonts w:hint="eastAsia" w:ascii="仿宋_GB2312" w:hAnsi="仿宋_GB2312" w:eastAsia="仿宋_GB2312" w:cs="仿宋_GB2312"/>
                <w:snapToGrid w:val="0"/>
                <w:sz w:val="24"/>
                <w:szCs w:val="24"/>
              </w:rPr>
            </w:pPr>
          </w:p>
        </w:tc>
      </w:tr>
      <w:tr w14:paraId="7EB1A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14:paraId="384DBFE7">
            <w:pPr>
              <w:jc w:val="cente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委托人/发包人联系人</w:t>
            </w:r>
            <w:r>
              <w:rPr>
                <w:rFonts w:hint="eastAsia" w:ascii="仿宋_GB2312" w:hAnsi="仿宋_GB2312" w:eastAsia="仿宋_GB2312" w:cs="仿宋_GB2312"/>
                <w:snapToGrid w:val="0"/>
                <w:sz w:val="24"/>
                <w:szCs w:val="24"/>
                <w:u w:val="single"/>
              </w:rPr>
              <w:t>及电话</w:t>
            </w:r>
          </w:p>
        </w:tc>
        <w:tc>
          <w:tcPr>
            <w:tcW w:w="6762" w:type="dxa"/>
            <w:vAlign w:val="center"/>
          </w:tcPr>
          <w:p w14:paraId="64C240FE">
            <w:pPr>
              <w:rPr>
                <w:rFonts w:hint="eastAsia" w:ascii="仿宋_GB2312" w:hAnsi="仿宋_GB2312" w:eastAsia="仿宋_GB2312" w:cs="仿宋_GB2312"/>
                <w:snapToGrid w:val="0"/>
                <w:sz w:val="24"/>
                <w:szCs w:val="24"/>
              </w:rPr>
            </w:pPr>
          </w:p>
        </w:tc>
      </w:tr>
      <w:tr w14:paraId="1289C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14:paraId="4F712365">
            <w:pPr>
              <w:jc w:val="cente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合同价格</w:t>
            </w:r>
          </w:p>
        </w:tc>
        <w:tc>
          <w:tcPr>
            <w:tcW w:w="6762" w:type="dxa"/>
            <w:vAlign w:val="center"/>
          </w:tcPr>
          <w:p w14:paraId="01BE5FF4">
            <w:pPr>
              <w:rPr>
                <w:rFonts w:hint="eastAsia" w:ascii="仿宋_GB2312" w:hAnsi="仿宋_GB2312" w:eastAsia="仿宋_GB2312" w:cs="仿宋_GB2312"/>
                <w:snapToGrid w:val="0"/>
                <w:sz w:val="24"/>
                <w:szCs w:val="24"/>
              </w:rPr>
            </w:pPr>
          </w:p>
        </w:tc>
      </w:tr>
      <w:tr w14:paraId="36C41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14:paraId="5CDFFC82">
            <w:pPr>
              <w:jc w:val="cente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服务是否完成</w:t>
            </w:r>
          </w:p>
        </w:tc>
        <w:tc>
          <w:tcPr>
            <w:tcW w:w="6762" w:type="dxa"/>
            <w:vAlign w:val="center"/>
          </w:tcPr>
          <w:p w14:paraId="1DB7C3EA">
            <w:pPr>
              <w:rPr>
                <w:rFonts w:hint="eastAsia" w:ascii="仿宋_GB2312" w:hAnsi="仿宋_GB2312" w:eastAsia="仿宋_GB2312" w:cs="仿宋_GB2312"/>
                <w:snapToGrid w:val="0"/>
                <w:sz w:val="24"/>
                <w:szCs w:val="24"/>
              </w:rPr>
            </w:pPr>
          </w:p>
        </w:tc>
      </w:tr>
      <w:tr w14:paraId="0BF51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14:paraId="32F7D426">
            <w:pPr>
              <w:jc w:val="cente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项目负责人(如有)</w:t>
            </w:r>
          </w:p>
        </w:tc>
        <w:tc>
          <w:tcPr>
            <w:tcW w:w="6762" w:type="dxa"/>
            <w:vAlign w:val="center"/>
          </w:tcPr>
          <w:p w14:paraId="5B2E8AB7">
            <w:pPr>
              <w:rPr>
                <w:rFonts w:hint="eastAsia" w:ascii="仿宋_GB2312" w:hAnsi="仿宋_GB2312" w:eastAsia="仿宋_GB2312" w:cs="仿宋_GB2312"/>
                <w:snapToGrid w:val="0"/>
                <w:sz w:val="24"/>
                <w:szCs w:val="24"/>
              </w:rPr>
            </w:pPr>
          </w:p>
        </w:tc>
      </w:tr>
      <w:tr w14:paraId="0028A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4" w:hRule="atLeast"/>
          <w:jc w:val="center"/>
        </w:trPr>
        <w:tc>
          <w:tcPr>
            <w:tcW w:w="2339" w:type="dxa"/>
            <w:vAlign w:val="center"/>
          </w:tcPr>
          <w:p w14:paraId="006EF31C">
            <w:pPr>
              <w:jc w:val="cente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项目概况及供应商履约情况</w:t>
            </w:r>
          </w:p>
        </w:tc>
        <w:tc>
          <w:tcPr>
            <w:tcW w:w="6762" w:type="dxa"/>
            <w:vAlign w:val="center"/>
          </w:tcPr>
          <w:p w14:paraId="6904A378">
            <w:pPr>
              <w:rPr>
                <w:rFonts w:hint="eastAsia" w:ascii="仿宋_GB2312" w:hAnsi="仿宋_GB2312" w:eastAsia="仿宋_GB2312" w:cs="仿宋_GB2312"/>
                <w:snapToGrid w:val="0"/>
                <w:sz w:val="24"/>
                <w:szCs w:val="24"/>
              </w:rPr>
            </w:pPr>
          </w:p>
        </w:tc>
      </w:tr>
      <w:tr w14:paraId="66594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14:paraId="09C2835F">
            <w:pPr>
              <w:jc w:val="cente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备注</w:t>
            </w:r>
          </w:p>
        </w:tc>
        <w:tc>
          <w:tcPr>
            <w:tcW w:w="6762" w:type="dxa"/>
            <w:vAlign w:val="center"/>
          </w:tcPr>
          <w:p w14:paraId="6B7C8402">
            <w:pPr>
              <w:rPr>
                <w:rFonts w:hint="eastAsia" w:ascii="仿宋_GB2312" w:hAnsi="仿宋_GB2312" w:eastAsia="仿宋_GB2312" w:cs="仿宋_GB2312"/>
                <w:snapToGrid w:val="0"/>
                <w:sz w:val="24"/>
                <w:szCs w:val="24"/>
              </w:rPr>
            </w:pPr>
          </w:p>
        </w:tc>
      </w:tr>
    </w:tbl>
    <w:p w14:paraId="728F4F60">
      <w:pPr>
        <w:rPr>
          <w:rFonts w:hint="eastAsia"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注：供应商应根据供应商须知前附表第3.5(4)项的要求在本表后附相关证明材料。</w:t>
      </w:r>
    </w:p>
    <w:p w14:paraId="44BA7794">
      <w:pPr>
        <w:rPr>
          <w:rFonts w:hint="eastAsia" w:ascii="Times New Roman" w:hAnsi="Times New Roman" w:cs="Times New Roman"/>
          <w:snapToGrid w:val="0"/>
        </w:rPr>
      </w:pPr>
      <w:bookmarkStart w:id="444" w:name="扫描0064"/>
      <w:bookmarkEnd w:id="444"/>
      <w:r>
        <w:rPr>
          <w:rFonts w:ascii="Times New Roman" w:hAnsi="Times New Roman" w:cs="Times New Roman"/>
          <w:snapToGrid w:val="0"/>
        </w:rPr>
        <w:br w:type="page"/>
      </w:r>
    </w:p>
    <w:p w14:paraId="6F59A009">
      <w:pPr>
        <w:pStyle w:val="5"/>
        <w:ind w:firstLine="480"/>
        <w:jc w:val="left"/>
        <w:rPr>
          <w:rFonts w:hint="eastAsia" w:ascii="仿宋_GB2312" w:hAnsi="仿宋_GB2312" w:eastAsia="仿宋_GB2312" w:cs="仿宋_GB2312"/>
          <w:b/>
          <w:bCs/>
          <w:snapToGrid w:val="0"/>
          <w:sz w:val="32"/>
          <w:szCs w:val="32"/>
        </w:rPr>
      </w:pPr>
      <w:r>
        <w:rPr>
          <w:rFonts w:hint="eastAsia" w:ascii="仿宋_GB2312" w:hAnsi="仿宋_GB2312" w:eastAsia="仿宋_GB2312" w:cs="仿宋_GB2312"/>
          <w:b/>
          <w:bCs/>
          <w:snapToGrid w:val="0"/>
          <w:sz w:val="32"/>
          <w:szCs w:val="32"/>
        </w:rPr>
        <w:t>（四）拟委任的主要人员汇总表</w:t>
      </w:r>
    </w:p>
    <w:p w14:paraId="4153CA91">
      <w:pPr>
        <w:rPr>
          <w:rFonts w:ascii="Times New Roman" w:hAnsi="Times New Roman" w:cs="Times New Roman"/>
          <w:snapToGrid w:val="0"/>
        </w:rPr>
      </w:pPr>
    </w:p>
    <w:tbl>
      <w:tblPr>
        <w:tblStyle w:val="33"/>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1"/>
        <w:gridCol w:w="1418"/>
        <w:gridCol w:w="992"/>
        <w:gridCol w:w="1098"/>
        <w:gridCol w:w="681"/>
        <w:gridCol w:w="1248"/>
        <w:gridCol w:w="855"/>
        <w:gridCol w:w="1221"/>
        <w:gridCol w:w="1134"/>
      </w:tblGrid>
      <w:tr w14:paraId="02264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vMerge w:val="restart"/>
            <w:vAlign w:val="center"/>
          </w:tcPr>
          <w:p w14:paraId="20A37749">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序号</w:t>
            </w:r>
          </w:p>
        </w:tc>
        <w:tc>
          <w:tcPr>
            <w:tcW w:w="1418" w:type="dxa"/>
            <w:vMerge w:val="restart"/>
            <w:vAlign w:val="center"/>
          </w:tcPr>
          <w:p w14:paraId="7AECA505">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本项目任职</w:t>
            </w:r>
          </w:p>
        </w:tc>
        <w:tc>
          <w:tcPr>
            <w:tcW w:w="992" w:type="dxa"/>
            <w:vMerge w:val="restart"/>
            <w:vAlign w:val="center"/>
          </w:tcPr>
          <w:p w14:paraId="0CC55873">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姓名</w:t>
            </w:r>
          </w:p>
        </w:tc>
        <w:tc>
          <w:tcPr>
            <w:tcW w:w="1098" w:type="dxa"/>
            <w:vMerge w:val="restart"/>
            <w:vAlign w:val="center"/>
          </w:tcPr>
          <w:p w14:paraId="72DFCA14">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职称</w:t>
            </w:r>
          </w:p>
        </w:tc>
        <w:tc>
          <w:tcPr>
            <w:tcW w:w="681" w:type="dxa"/>
            <w:vMerge w:val="restart"/>
            <w:vAlign w:val="center"/>
          </w:tcPr>
          <w:p w14:paraId="4361A46C">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专业</w:t>
            </w:r>
          </w:p>
        </w:tc>
        <w:tc>
          <w:tcPr>
            <w:tcW w:w="3324" w:type="dxa"/>
            <w:gridSpan w:val="3"/>
            <w:vAlign w:val="center"/>
          </w:tcPr>
          <w:p w14:paraId="343745BC">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执业或职业资格证明</w:t>
            </w:r>
          </w:p>
        </w:tc>
        <w:tc>
          <w:tcPr>
            <w:tcW w:w="1134" w:type="dxa"/>
            <w:vMerge w:val="restart"/>
            <w:vAlign w:val="center"/>
          </w:tcPr>
          <w:p w14:paraId="00DD171F">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从事本职业</w:t>
            </w:r>
          </w:p>
          <w:p w14:paraId="689DF7AC">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工作年限</w:t>
            </w:r>
          </w:p>
        </w:tc>
      </w:tr>
      <w:tr w14:paraId="0EAE4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601" w:type="dxa"/>
            <w:vMerge w:val="continue"/>
            <w:tcBorders>
              <w:top w:val="nil"/>
            </w:tcBorders>
            <w:vAlign w:val="center"/>
          </w:tcPr>
          <w:p w14:paraId="38D3F03F">
            <w:pPr>
              <w:rPr>
                <w:rFonts w:hint="eastAsia" w:ascii="仿宋_GB2312" w:hAnsi="仿宋_GB2312" w:eastAsia="仿宋_GB2312" w:cs="仿宋_GB2312"/>
                <w:snapToGrid w:val="0"/>
                <w:sz w:val="24"/>
                <w:szCs w:val="24"/>
              </w:rPr>
            </w:pPr>
          </w:p>
        </w:tc>
        <w:tc>
          <w:tcPr>
            <w:tcW w:w="1418" w:type="dxa"/>
            <w:vMerge w:val="continue"/>
            <w:tcBorders>
              <w:top w:val="nil"/>
            </w:tcBorders>
            <w:vAlign w:val="center"/>
          </w:tcPr>
          <w:p w14:paraId="09122ED5">
            <w:pPr>
              <w:rPr>
                <w:rFonts w:hint="eastAsia" w:ascii="仿宋_GB2312" w:hAnsi="仿宋_GB2312" w:eastAsia="仿宋_GB2312" w:cs="仿宋_GB2312"/>
                <w:snapToGrid w:val="0"/>
                <w:sz w:val="24"/>
                <w:szCs w:val="24"/>
              </w:rPr>
            </w:pPr>
          </w:p>
        </w:tc>
        <w:tc>
          <w:tcPr>
            <w:tcW w:w="992" w:type="dxa"/>
            <w:vMerge w:val="continue"/>
            <w:tcBorders>
              <w:top w:val="nil"/>
            </w:tcBorders>
            <w:vAlign w:val="center"/>
          </w:tcPr>
          <w:p w14:paraId="17244FA3">
            <w:pPr>
              <w:rPr>
                <w:rFonts w:hint="eastAsia" w:ascii="仿宋_GB2312" w:hAnsi="仿宋_GB2312" w:eastAsia="仿宋_GB2312" w:cs="仿宋_GB2312"/>
                <w:snapToGrid w:val="0"/>
                <w:sz w:val="24"/>
                <w:szCs w:val="24"/>
              </w:rPr>
            </w:pPr>
          </w:p>
        </w:tc>
        <w:tc>
          <w:tcPr>
            <w:tcW w:w="1098" w:type="dxa"/>
            <w:vMerge w:val="continue"/>
            <w:tcBorders>
              <w:top w:val="nil"/>
            </w:tcBorders>
            <w:vAlign w:val="center"/>
          </w:tcPr>
          <w:p w14:paraId="3AFF7C40">
            <w:pPr>
              <w:rPr>
                <w:rFonts w:hint="eastAsia" w:ascii="仿宋_GB2312" w:hAnsi="仿宋_GB2312" w:eastAsia="仿宋_GB2312" w:cs="仿宋_GB2312"/>
                <w:snapToGrid w:val="0"/>
                <w:sz w:val="24"/>
                <w:szCs w:val="24"/>
              </w:rPr>
            </w:pPr>
          </w:p>
        </w:tc>
        <w:tc>
          <w:tcPr>
            <w:tcW w:w="681" w:type="dxa"/>
            <w:vMerge w:val="continue"/>
            <w:tcBorders>
              <w:top w:val="nil"/>
            </w:tcBorders>
            <w:vAlign w:val="center"/>
          </w:tcPr>
          <w:p w14:paraId="564375A5">
            <w:pPr>
              <w:rPr>
                <w:rFonts w:hint="eastAsia" w:ascii="仿宋_GB2312" w:hAnsi="仿宋_GB2312" w:eastAsia="仿宋_GB2312" w:cs="仿宋_GB2312"/>
                <w:snapToGrid w:val="0"/>
                <w:sz w:val="24"/>
                <w:szCs w:val="24"/>
              </w:rPr>
            </w:pPr>
          </w:p>
        </w:tc>
        <w:tc>
          <w:tcPr>
            <w:tcW w:w="1248" w:type="dxa"/>
            <w:vAlign w:val="center"/>
          </w:tcPr>
          <w:p w14:paraId="6BD890FC">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证书名称</w:t>
            </w:r>
          </w:p>
        </w:tc>
        <w:tc>
          <w:tcPr>
            <w:tcW w:w="855" w:type="dxa"/>
            <w:vAlign w:val="center"/>
          </w:tcPr>
          <w:p w14:paraId="43317F48">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级别</w:t>
            </w:r>
          </w:p>
        </w:tc>
        <w:tc>
          <w:tcPr>
            <w:tcW w:w="1221" w:type="dxa"/>
            <w:vAlign w:val="center"/>
          </w:tcPr>
          <w:p w14:paraId="5A98938E">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证号</w:t>
            </w:r>
          </w:p>
        </w:tc>
        <w:tc>
          <w:tcPr>
            <w:tcW w:w="1134" w:type="dxa"/>
            <w:vMerge w:val="continue"/>
            <w:tcBorders>
              <w:top w:val="nil"/>
            </w:tcBorders>
            <w:vAlign w:val="center"/>
          </w:tcPr>
          <w:p w14:paraId="6E72E638">
            <w:pPr>
              <w:rPr>
                <w:rFonts w:hint="eastAsia" w:ascii="仿宋_GB2312" w:hAnsi="仿宋_GB2312" w:eastAsia="仿宋_GB2312" w:cs="仿宋_GB2312"/>
                <w:snapToGrid w:val="0"/>
                <w:sz w:val="24"/>
                <w:szCs w:val="24"/>
              </w:rPr>
            </w:pPr>
          </w:p>
        </w:tc>
      </w:tr>
      <w:tr w14:paraId="1894A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601" w:type="dxa"/>
            <w:vAlign w:val="center"/>
          </w:tcPr>
          <w:p w14:paraId="205A0B99">
            <w:pPr>
              <w:rPr>
                <w:rFonts w:hint="eastAsia" w:ascii="仿宋_GB2312" w:hAnsi="仿宋_GB2312" w:eastAsia="仿宋_GB2312" w:cs="仿宋_GB2312"/>
                <w:snapToGrid w:val="0"/>
                <w:sz w:val="24"/>
                <w:szCs w:val="24"/>
              </w:rPr>
            </w:pPr>
          </w:p>
        </w:tc>
        <w:tc>
          <w:tcPr>
            <w:tcW w:w="1418" w:type="dxa"/>
            <w:vAlign w:val="center"/>
          </w:tcPr>
          <w:p w14:paraId="6C6DE301">
            <w:pPr>
              <w:rPr>
                <w:rFonts w:hint="eastAsia" w:ascii="仿宋_GB2312" w:hAnsi="仿宋_GB2312" w:eastAsia="仿宋_GB2312" w:cs="仿宋_GB2312"/>
                <w:snapToGrid w:val="0"/>
                <w:sz w:val="24"/>
                <w:szCs w:val="24"/>
              </w:rPr>
            </w:pPr>
          </w:p>
        </w:tc>
        <w:tc>
          <w:tcPr>
            <w:tcW w:w="992" w:type="dxa"/>
            <w:vAlign w:val="center"/>
          </w:tcPr>
          <w:p w14:paraId="00DE4CB1">
            <w:pPr>
              <w:rPr>
                <w:rFonts w:hint="eastAsia" w:ascii="仿宋_GB2312" w:hAnsi="仿宋_GB2312" w:eastAsia="仿宋_GB2312" w:cs="仿宋_GB2312"/>
                <w:snapToGrid w:val="0"/>
                <w:sz w:val="24"/>
                <w:szCs w:val="24"/>
              </w:rPr>
            </w:pPr>
          </w:p>
        </w:tc>
        <w:tc>
          <w:tcPr>
            <w:tcW w:w="1098" w:type="dxa"/>
            <w:vAlign w:val="center"/>
          </w:tcPr>
          <w:p w14:paraId="6AD54478">
            <w:pPr>
              <w:rPr>
                <w:rFonts w:hint="eastAsia" w:ascii="仿宋_GB2312" w:hAnsi="仿宋_GB2312" w:eastAsia="仿宋_GB2312" w:cs="仿宋_GB2312"/>
                <w:snapToGrid w:val="0"/>
                <w:sz w:val="24"/>
                <w:szCs w:val="24"/>
              </w:rPr>
            </w:pPr>
          </w:p>
        </w:tc>
        <w:tc>
          <w:tcPr>
            <w:tcW w:w="681" w:type="dxa"/>
            <w:vAlign w:val="center"/>
          </w:tcPr>
          <w:p w14:paraId="362777A2">
            <w:pPr>
              <w:rPr>
                <w:rFonts w:hint="eastAsia" w:ascii="仿宋_GB2312" w:hAnsi="仿宋_GB2312" w:eastAsia="仿宋_GB2312" w:cs="仿宋_GB2312"/>
                <w:snapToGrid w:val="0"/>
                <w:sz w:val="24"/>
                <w:szCs w:val="24"/>
              </w:rPr>
            </w:pPr>
          </w:p>
        </w:tc>
        <w:tc>
          <w:tcPr>
            <w:tcW w:w="1248" w:type="dxa"/>
            <w:vAlign w:val="center"/>
          </w:tcPr>
          <w:p w14:paraId="346BABFA">
            <w:pPr>
              <w:rPr>
                <w:rFonts w:hint="eastAsia" w:ascii="仿宋_GB2312" w:hAnsi="仿宋_GB2312" w:eastAsia="仿宋_GB2312" w:cs="仿宋_GB2312"/>
                <w:snapToGrid w:val="0"/>
                <w:sz w:val="24"/>
                <w:szCs w:val="24"/>
              </w:rPr>
            </w:pPr>
          </w:p>
        </w:tc>
        <w:tc>
          <w:tcPr>
            <w:tcW w:w="855" w:type="dxa"/>
            <w:vAlign w:val="center"/>
          </w:tcPr>
          <w:p w14:paraId="076C1BF4">
            <w:pPr>
              <w:rPr>
                <w:rFonts w:hint="eastAsia" w:ascii="仿宋_GB2312" w:hAnsi="仿宋_GB2312" w:eastAsia="仿宋_GB2312" w:cs="仿宋_GB2312"/>
                <w:snapToGrid w:val="0"/>
                <w:sz w:val="24"/>
                <w:szCs w:val="24"/>
              </w:rPr>
            </w:pPr>
          </w:p>
        </w:tc>
        <w:tc>
          <w:tcPr>
            <w:tcW w:w="1221" w:type="dxa"/>
            <w:vAlign w:val="center"/>
          </w:tcPr>
          <w:p w14:paraId="4EA773A2">
            <w:pPr>
              <w:rPr>
                <w:rFonts w:hint="eastAsia" w:ascii="仿宋_GB2312" w:hAnsi="仿宋_GB2312" w:eastAsia="仿宋_GB2312" w:cs="仿宋_GB2312"/>
                <w:snapToGrid w:val="0"/>
                <w:sz w:val="24"/>
                <w:szCs w:val="24"/>
              </w:rPr>
            </w:pPr>
          </w:p>
        </w:tc>
        <w:tc>
          <w:tcPr>
            <w:tcW w:w="1134" w:type="dxa"/>
            <w:vAlign w:val="center"/>
          </w:tcPr>
          <w:p w14:paraId="29974342">
            <w:pPr>
              <w:rPr>
                <w:rFonts w:hint="eastAsia" w:ascii="仿宋_GB2312" w:hAnsi="仿宋_GB2312" w:eastAsia="仿宋_GB2312" w:cs="仿宋_GB2312"/>
                <w:snapToGrid w:val="0"/>
                <w:sz w:val="24"/>
                <w:szCs w:val="24"/>
              </w:rPr>
            </w:pPr>
          </w:p>
        </w:tc>
      </w:tr>
      <w:tr w14:paraId="53525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vAlign w:val="center"/>
          </w:tcPr>
          <w:p w14:paraId="72623E08">
            <w:pPr>
              <w:rPr>
                <w:rFonts w:hint="eastAsia" w:ascii="仿宋_GB2312" w:hAnsi="仿宋_GB2312" w:eastAsia="仿宋_GB2312" w:cs="仿宋_GB2312"/>
                <w:snapToGrid w:val="0"/>
                <w:sz w:val="24"/>
                <w:szCs w:val="24"/>
              </w:rPr>
            </w:pPr>
          </w:p>
        </w:tc>
        <w:tc>
          <w:tcPr>
            <w:tcW w:w="1418" w:type="dxa"/>
            <w:vAlign w:val="center"/>
          </w:tcPr>
          <w:p w14:paraId="55D49E5A">
            <w:pPr>
              <w:rPr>
                <w:rFonts w:hint="eastAsia" w:ascii="仿宋_GB2312" w:hAnsi="仿宋_GB2312" w:eastAsia="仿宋_GB2312" w:cs="仿宋_GB2312"/>
                <w:snapToGrid w:val="0"/>
                <w:sz w:val="24"/>
                <w:szCs w:val="24"/>
              </w:rPr>
            </w:pPr>
          </w:p>
        </w:tc>
        <w:tc>
          <w:tcPr>
            <w:tcW w:w="992" w:type="dxa"/>
            <w:vAlign w:val="center"/>
          </w:tcPr>
          <w:p w14:paraId="06D57F5D">
            <w:pPr>
              <w:rPr>
                <w:rFonts w:hint="eastAsia" w:ascii="仿宋_GB2312" w:hAnsi="仿宋_GB2312" w:eastAsia="仿宋_GB2312" w:cs="仿宋_GB2312"/>
                <w:snapToGrid w:val="0"/>
                <w:sz w:val="24"/>
                <w:szCs w:val="24"/>
              </w:rPr>
            </w:pPr>
          </w:p>
        </w:tc>
        <w:tc>
          <w:tcPr>
            <w:tcW w:w="1098" w:type="dxa"/>
            <w:vAlign w:val="center"/>
          </w:tcPr>
          <w:p w14:paraId="637F5739">
            <w:pPr>
              <w:rPr>
                <w:rFonts w:hint="eastAsia" w:ascii="仿宋_GB2312" w:hAnsi="仿宋_GB2312" w:eastAsia="仿宋_GB2312" w:cs="仿宋_GB2312"/>
                <w:snapToGrid w:val="0"/>
                <w:sz w:val="24"/>
                <w:szCs w:val="24"/>
              </w:rPr>
            </w:pPr>
          </w:p>
        </w:tc>
        <w:tc>
          <w:tcPr>
            <w:tcW w:w="681" w:type="dxa"/>
            <w:vAlign w:val="center"/>
          </w:tcPr>
          <w:p w14:paraId="021F6D54">
            <w:pPr>
              <w:rPr>
                <w:rFonts w:hint="eastAsia" w:ascii="仿宋_GB2312" w:hAnsi="仿宋_GB2312" w:eastAsia="仿宋_GB2312" w:cs="仿宋_GB2312"/>
                <w:snapToGrid w:val="0"/>
                <w:sz w:val="24"/>
                <w:szCs w:val="24"/>
              </w:rPr>
            </w:pPr>
          </w:p>
        </w:tc>
        <w:tc>
          <w:tcPr>
            <w:tcW w:w="1248" w:type="dxa"/>
            <w:vAlign w:val="center"/>
          </w:tcPr>
          <w:p w14:paraId="2E6B5B9E">
            <w:pPr>
              <w:rPr>
                <w:rFonts w:hint="eastAsia" w:ascii="仿宋_GB2312" w:hAnsi="仿宋_GB2312" w:eastAsia="仿宋_GB2312" w:cs="仿宋_GB2312"/>
                <w:snapToGrid w:val="0"/>
                <w:sz w:val="24"/>
                <w:szCs w:val="24"/>
              </w:rPr>
            </w:pPr>
          </w:p>
        </w:tc>
        <w:tc>
          <w:tcPr>
            <w:tcW w:w="855" w:type="dxa"/>
            <w:vAlign w:val="center"/>
          </w:tcPr>
          <w:p w14:paraId="0A5FCB5F">
            <w:pPr>
              <w:rPr>
                <w:rFonts w:hint="eastAsia" w:ascii="仿宋_GB2312" w:hAnsi="仿宋_GB2312" w:eastAsia="仿宋_GB2312" w:cs="仿宋_GB2312"/>
                <w:snapToGrid w:val="0"/>
                <w:sz w:val="24"/>
                <w:szCs w:val="24"/>
              </w:rPr>
            </w:pPr>
          </w:p>
        </w:tc>
        <w:tc>
          <w:tcPr>
            <w:tcW w:w="1221" w:type="dxa"/>
            <w:vAlign w:val="center"/>
          </w:tcPr>
          <w:p w14:paraId="0EFC3308">
            <w:pPr>
              <w:rPr>
                <w:rFonts w:hint="eastAsia" w:ascii="仿宋_GB2312" w:hAnsi="仿宋_GB2312" w:eastAsia="仿宋_GB2312" w:cs="仿宋_GB2312"/>
                <w:snapToGrid w:val="0"/>
                <w:sz w:val="24"/>
                <w:szCs w:val="24"/>
              </w:rPr>
            </w:pPr>
          </w:p>
        </w:tc>
        <w:tc>
          <w:tcPr>
            <w:tcW w:w="1134" w:type="dxa"/>
            <w:vAlign w:val="center"/>
          </w:tcPr>
          <w:p w14:paraId="1312245A">
            <w:pPr>
              <w:rPr>
                <w:rFonts w:hint="eastAsia" w:ascii="仿宋_GB2312" w:hAnsi="仿宋_GB2312" w:eastAsia="仿宋_GB2312" w:cs="仿宋_GB2312"/>
                <w:snapToGrid w:val="0"/>
                <w:sz w:val="24"/>
                <w:szCs w:val="24"/>
              </w:rPr>
            </w:pPr>
          </w:p>
        </w:tc>
      </w:tr>
      <w:tr w14:paraId="728DD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vAlign w:val="center"/>
          </w:tcPr>
          <w:p w14:paraId="5AFB4EA0">
            <w:pPr>
              <w:rPr>
                <w:rFonts w:hint="eastAsia" w:ascii="仿宋_GB2312" w:hAnsi="仿宋_GB2312" w:eastAsia="仿宋_GB2312" w:cs="仿宋_GB2312"/>
                <w:snapToGrid w:val="0"/>
                <w:sz w:val="24"/>
                <w:szCs w:val="24"/>
              </w:rPr>
            </w:pPr>
          </w:p>
        </w:tc>
        <w:tc>
          <w:tcPr>
            <w:tcW w:w="1418" w:type="dxa"/>
            <w:vAlign w:val="center"/>
          </w:tcPr>
          <w:p w14:paraId="1A29EC9B">
            <w:pPr>
              <w:rPr>
                <w:rFonts w:hint="eastAsia" w:ascii="仿宋_GB2312" w:hAnsi="仿宋_GB2312" w:eastAsia="仿宋_GB2312" w:cs="仿宋_GB2312"/>
                <w:snapToGrid w:val="0"/>
                <w:sz w:val="24"/>
                <w:szCs w:val="24"/>
              </w:rPr>
            </w:pPr>
          </w:p>
        </w:tc>
        <w:tc>
          <w:tcPr>
            <w:tcW w:w="992" w:type="dxa"/>
            <w:vAlign w:val="center"/>
          </w:tcPr>
          <w:p w14:paraId="7917B640">
            <w:pPr>
              <w:rPr>
                <w:rFonts w:hint="eastAsia" w:ascii="仿宋_GB2312" w:hAnsi="仿宋_GB2312" w:eastAsia="仿宋_GB2312" w:cs="仿宋_GB2312"/>
                <w:snapToGrid w:val="0"/>
                <w:sz w:val="24"/>
                <w:szCs w:val="24"/>
              </w:rPr>
            </w:pPr>
          </w:p>
        </w:tc>
        <w:tc>
          <w:tcPr>
            <w:tcW w:w="1098" w:type="dxa"/>
            <w:vAlign w:val="center"/>
          </w:tcPr>
          <w:p w14:paraId="6B6CE07B">
            <w:pPr>
              <w:rPr>
                <w:rFonts w:hint="eastAsia" w:ascii="仿宋_GB2312" w:hAnsi="仿宋_GB2312" w:eastAsia="仿宋_GB2312" w:cs="仿宋_GB2312"/>
                <w:snapToGrid w:val="0"/>
                <w:sz w:val="24"/>
                <w:szCs w:val="24"/>
              </w:rPr>
            </w:pPr>
          </w:p>
        </w:tc>
        <w:tc>
          <w:tcPr>
            <w:tcW w:w="681" w:type="dxa"/>
            <w:vAlign w:val="center"/>
          </w:tcPr>
          <w:p w14:paraId="5660F6FC">
            <w:pPr>
              <w:rPr>
                <w:rFonts w:hint="eastAsia" w:ascii="仿宋_GB2312" w:hAnsi="仿宋_GB2312" w:eastAsia="仿宋_GB2312" w:cs="仿宋_GB2312"/>
                <w:snapToGrid w:val="0"/>
                <w:sz w:val="24"/>
                <w:szCs w:val="24"/>
              </w:rPr>
            </w:pPr>
          </w:p>
        </w:tc>
        <w:tc>
          <w:tcPr>
            <w:tcW w:w="1248" w:type="dxa"/>
            <w:vAlign w:val="center"/>
          </w:tcPr>
          <w:p w14:paraId="54FAB013">
            <w:pPr>
              <w:rPr>
                <w:rFonts w:hint="eastAsia" w:ascii="仿宋_GB2312" w:hAnsi="仿宋_GB2312" w:eastAsia="仿宋_GB2312" w:cs="仿宋_GB2312"/>
                <w:snapToGrid w:val="0"/>
                <w:sz w:val="24"/>
                <w:szCs w:val="24"/>
              </w:rPr>
            </w:pPr>
          </w:p>
        </w:tc>
        <w:tc>
          <w:tcPr>
            <w:tcW w:w="855" w:type="dxa"/>
            <w:vAlign w:val="center"/>
          </w:tcPr>
          <w:p w14:paraId="4FA61604">
            <w:pPr>
              <w:rPr>
                <w:rFonts w:hint="eastAsia" w:ascii="仿宋_GB2312" w:hAnsi="仿宋_GB2312" w:eastAsia="仿宋_GB2312" w:cs="仿宋_GB2312"/>
                <w:snapToGrid w:val="0"/>
                <w:sz w:val="24"/>
                <w:szCs w:val="24"/>
              </w:rPr>
            </w:pPr>
          </w:p>
        </w:tc>
        <w:tc>
          <w:tcPr>
            <w:tcW w:w="1221" w:type="dxa"/>
            <w:vAlign w:val="center"/>
          </w:tcPr>
          <w:p w14:paraId="5C84B5D0">
            <w:pPr>
              <w:rPr>
                <w:rFonts w:hint="eastAsia" w:ascii="仿宋_GB2312" w:hAnsi="仿宋_GB2312" w:eastAsia="仿宋_GB2312" w:cs="仿宋_GB2312"/>
                <w:snapToGrid w:val="0"/>
                <w:sz w:val="24"/>
                <w:szCs w:val="24"/>
              </w:rPr>
            </w:pPr>
          </w:p>
        </w:tc>
        <w:tc>
          <w:tcPr>
            <w:tcW w:w="1134" w:type="dxa"/>
            <w:vAlign w:val="center"/>
          </w:tcPr>
          <w:p w14:paraId="18937B84">
            <w:pPr>
              <w:rPr>
                <w:rFonts w:hint="eastAsia" w:ascii="仿宋_GB2312" w:hAnsi="仿宋_GB2312" w:eastAsia="仿宋_GB2312" w:cs="仿宋_GB2312"/>
                <w:snapToGrid w:val="0"/>
                <w:sz w:val="24"/>
                <w:szCs w:val="24"/>
              </w:rPr>
            </w:pPr>
          </w:p>
        </w:tc>
      </w:tr>
      <w:tr w14:paraId="77071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vAlign w:val="center"/>
          </w:tcPr>
          <w:p w14:paraId="45AC97AF">
            <w:pPr>
              <w:rPr>
                <w:rFonts w:hint="eastAsia" w:ascii="仿宋_GB2312" w:hAnsi="仿宋_GB2312" w:eastAsia="仿宋_GB2312" w:cs="仿宋_GB2312"/>
                <w:snapToGrid w:val="0"/>
                <w:sz w:val="24"/>
                <w:szCs w:val="24"/>
              </w:rPr>
            </w:pPr>
          </w:p>
        </w:tc>
        <w:tc>
          <w:tcPr>
            <w:tcW w:w="1418" w:type="dxa"/>
            <w:vAlign w:val="center"/>
          </w:tcPr>
          <w:p w14:paraId="063F1ECC">
            <w:pPr>
              <w:rPr>
                <w:rFonts w:hint="eastAsia" w:ascii="仿宋_GB2312" w:hAnsi="仿宋_GB2312" w:eastAsia="仿宋_GB2312" w:cs="仿宋_GB2312"/>
                <w:snapToGrid w:val="0"/>
                <w:sz w:val="24"/>
                <w:szCs w:val="24"/>
              </w:rPr>
            </w:pPr>
          </w:p>
        </w:tc>
        <w:tc>
          <w:tcPr>
            <w:tcW w:w="992" w:type="dxa"/>
            <w:vAlign w:val="center"/>
          </w:tcPr>
          <w:p w14:paraId="045496F7">
            <w:pPr>
              <w:rPr>
                <w:rFonts w:hint="eastAsia" w:ascii="仿宋_GB2312" w:hAnsi="仿宋_GB2312" w:eastAsia="仿宋_GB2312" w:cs="仿宋_GB2312"/>
                <w:snapToGrid w:val="0"/>
                <w:sz w:val="24"/>
                <w:szCs w:val="24"/>
              </w:rPr>
            </w:pPr>
          </w:p>
        </w:tc>
        <w:tc>
          <w:tcPr>
            <w:tcW w:w="1098" w:type="dxa"/>
            <w:vAlign w:val="center"/>
          </w:tcPr>
          <w:p w14:paraId="6D30463D">
            <w:pPr>
              <w:rPr>
                <w:rFonts w:hint="eastAsia" w:ascii="仿宋_GB2312" w:hAnsi="仿宋_GB2312" w:eastAsia="仿宋_GB2312" w:cs="仿宋_GB2312"/>
                <w:snapToGrid w:val="0"/>
                <w:sz w:val="24"/>
                <w:szCs w:val="24"/>
              </w:rPr>
            </w:pPr>
          </w:p>
        </w:tc>
        <w:tc>
          <w:tcPr>
            <w:tcW w:w="681" w:type="dxa"/>
            <w:vAlign w:val="center"/>
          </w:tcPr>
          <w:p w14:paraId="1DCBCB2C">
            <w:pPr>
              <w:rPr>
                <w:rFonts w:hint="eastAsia" w:ascii="仿宋_GB2312" w:hAnsi="仿宋_GB2312" w:eastAsia="仿宋_GB2312" w:cs="仿宋_GB2312"/>
                <w:snapToGrid w:val="0"/>
                <w:sz w:val="24"/>
                <w:szCs w:val="24"/>
              </w:rPr>
            </w:pPr>
          </w:p>
        </w:tc>
        <w:tc>
          <w:tcPr>
            <w:tcW w:w="1248" w:type="dxa"/>
            <w:vAlign w:val="center"/>
          </w:tcPr>
          <w:p w14:paraId="75E3DD1C">
            <w:pPr>
              <w:rPr>
                <w:rFonts w:hint="eastAsia" w:ascii="仿宋_GB2312" w:hAnsi="仿宋_GB2312" w:eastAsia="仿宋_GB2312" w:cs="仿宋_GB2312"/>
                <w:snapToGrid w:val="0"/>
                <w:sz w:val="24"/>
                <w:szCs w:val="24"/>
              </w:rPr>
            </w:pPr>
          </w:p>
        </w:tc>
        <w:tc>
          <w:tcPr>
            <w:tcW w:w="855" w:type="dxa"/>
            <w:vAlign w:val="center"/>
          </w:tcPr>
          <w:p w14:paraId="5745D0D7">
            <w:pPr>
              <w:rPr>
                <w:rFonts w:hint="eastAsia" w:ascii="仿宋_GB2312" w:hAnsi="仿宋_GB2312" w:eastAsia="仿宋_GB2312" w:cs="仿宋_GB2312"/>
                <w:snapToGrid w:val="0"/>
                <w:sz w:val="24"/>
                <w:szCs w:val="24"/>
              </w:rPr>
            </w:pPr>
          </w:p>
        </w:tc>
        <w:tc>
          <w:tcPr>
            <w:tcW w:w="1221" w:type="dxa"/>
            <w:vAlign w:val="center"/>
          </w:tcPr>
          <w:p w14:paraId="6CB96D79">
            <w:pPr>
              <w:rPr>
                <w:rFonts w:hint="eastAsia" w:ascii="仿宋_GB2312" w:hAnsi="仿宋_GB2312" w:eastAsia="仿宋_GB2312" w:cs="仿宋_GB2312"/>
                <w:snapToGrid w:val="0"/>
                <w:sz w:val="24"/>
                <w:szCs w:val="24"/>
              </w:rPr>
            </w:pPr>
          </w:p>
        </w:tc>
        <w:tc>
          <w:tcPr>
            <w:tcW w:w="1134" w:type="dxa"/>
            <w:vAlign w:val="center"/>
          </w:tcPr>
          <w:p w14:paraId="25ED0768">
            <w:pPr>
              <w:rPr>
                <w:rFonts w:hint="eastAsia" w:ascii="仿宋_GB2312" w:hAnsi="仿宋_GB2312" w:eastAsia="仿宋_GB2312" w:cs="仿宋_GB2312"/>
                <w:snapToGrid w:val="0"/>
                <w:sz w:val="24"/>
                <w:szCs w:val="24"/>
              </w:rPr>
            </w:pPr>
          </w:p>
        </w:tc>
      </w:tr>
      <w:tr w14:paraId="2530C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601" w:type="dxa"/>
            <w:vAlign w:val="center"/>
          </w:tcPr>
          <w:p w14:paraId="7B1B704F">
            <w:pPr>
              <w:rPr>
                <w:rFonts w:hint="eastAsia" w:ascii="仿宋_GB2312" w:hAnsi="仿宋_GB2312" w:eastAsia="仿宋_GB2312" w:cs="仿宋_GB2312"/>
                <w:snapToGrid w:val="0"/>
                <w:sz w:val="24"/>
                <w:szCs w:val="24"/>
              </w:rPr>
            </w:pPr>
          </w:p>
        </w:tc>
        <w:tc>
          <w:tcPr>
            <w:tcW w:w="1418" w:type="dxa"/>
            <w:vAlign w:val="center"/>
          </w:tcPr>
          <w:p w14:paraId="4561E09A">
            <w:pPr>
              <w:rPr>
                <w:rFonts w:hint="eastAsia" w:ascii="仿宋_GB2312" w:hAnsi="仿宋_GB2312" w:eastAsia="仿宋_GB2312" w:cs="仿宋_GB2312"/>
                <w:snapToGrid w:val="0"/>
                <w:sz w:val="24"/>
                <w:szCs w:val="24"/>
              </w:rPr>
            </w:pPr>
          </w:p>
        </w:tc>
        <w:tc>
          <w:tcPr>
            <w:tcW w:w="992" w:type="dxa"/>
            <w:vAlign w:val="center"/>
          </w:tcPr>
          <w:p w14:paraId="37413DF5">
            <w:pPr>
              <w:rPr>
                <w:rFonts w:hint="eastAsia" w:ascii="仿宋_GB2312" w:hAnsi="仿宋_GB2312" w:eastAsia="仿宋_GB2312" w:cs="仿宋_GB2312"/>
                <w:snapToGrid w:val="0"/>
                <w:sz w:val="24"/>
                <w:szCs w:val="24"/>
              </w:rPr>
            </w:pPr>
          </w:p>
        </w:tc>
        <w:tc>
          <w:tcPr>
            <w:tcW w:w="1098" w:type="dxa"/>
            <w:vAlign w:val="center"/>
          </w:tcPr>
          <w:p w14:paraId="5424575E">
            <w:pPr>
              <w:rPr>
                <w:rFonts w:hint="eastAsia" w:ascii="仿宋_GB2312" w:hAnsi="仿宋_GB2312" w:eastAsia="仿宋_GB2312" w:cs="仿宋_GB2312"/>
                <w:snapToGrid w:val="0"/>
                <w:sz w:val="24"/>
                <w:szCs w:val="24"/>
              </w:rPr>
            </w:pPr>
          </w:p>
        </w:tc>
        <w:tc>
          <w:tcPr>
            <w:tcW w:w="681" w:type="dxa"/>
            <w:vAlign w:val="center"/>
          </w:tcPr>
          <w:p w14:paraId="1D7229A5">
            <w:pPr>
              <w:rPr>
                <w:rFonts w:hint="eastAsia" w:ascii="仿宋_GB2312" w:hAnsi="仿宋_GB2312" w:eastAsia="仿宋_GB2312" w:cs="仿宋_GB2312"/>
                <w:snapToGrid w:val="0"/>
                <w:sz w:val="24"/>
                <w:szCs w:val="24"/>
              </w:rPr>
            </w:pPr>
          </w:p>
        </w:tc>
        <w:tc>
          <w:tcPr>
            <w:tcW w:w="1248" w:type="dxa"/>
            <w:vAlign w:val="center"/>
          </w:tcPr>
          <w:p w14:paraId="716F1505">
            <w:pPr>
              <w:rPr>
                <w:rFonts w:hint="eastAsia" w:ascii="仿宋_GB2312" w:hAnsi="仿宋_GB2312" w:eastAsia="仿宋_GB2312" w:cs="仿宋_GB2312"/>
                <w:snapToGrid w:val="0"/>
                <w:sz w:val="24"/>
                <w:szCs w:val="24"/>
              </w:rPr>
            </w:pPr>
          </w:p>
        </w:tc>
        <w:tc>
          <w:tcPr>
            <w:tcW w:w="855" w:type="dxa"/>
            <w:vAlign w:val="center"/>
          </w:tcPr>
          <w:p w14:paraId="4A4230C9">
            <w:pPr>
              <w:rPr>
                <w:rFonts w:hint="eastAsia" w:ascii="仿宋_GB2312" w:hAnsi="仿宋_GB2312" w:eastAsia="仿宋_GB2312" w:cs="仿宋_GB2312"/>
                <w:snapToGrid w:val="0"/>
                <w:sz w:val="24"/>
                <w:szCs w:val="24"/>
              </w:rPr>
            </w:pPr>
          </w:p>
        </w:tc>
        <w:tc>
          <w:tcPr>
            <w:tcW w:w="1221" w:type="dxa"/>
            <w:vAlign w:val="center"/>
          </w:tcPr>
          <w:p w14:paraId="173D9CB0">
            <w:pPr>
              <w:rPr>
                <w:rFonts w:hint="eastAsia" w:ascii="仿宋_GB2312" w:hAnsi="仿宋_GB2312" w:eastAsia="仿宋_GB2312" w:cs="仿宋_GB2312"/>
                <w:snapToGrid w:val="0"/>
                <w:sz w:val="24"/>
                <w:szCs w:val="24"/>
              </w:rPr>
            </w:pPr>
          </w:p>
        </w:tc>
        <w:tc>
          <w:tcPr>
            <w:tcW w:w="1134" w:type="dxa"/>
            <w:vAlign w:val="center"/>
          </w:tcPr>
          <w:p w14:paraId="417DEF8C">
            <w:pPr>
              <w:rPr>
                <w:rFonts w:hint="eastAsia" w:ascii="仿宋_GB2312" w:hAnsi="仿宋_GB2312" w:eastAsia="仿宋_GB2312" w:cs="仿宋_GB2312"/>
                <w:snapToGrid w:val="0"/>
                <w:sz w:val="24"/>
                <w:szCs w:val="24"/>
              </w:rPr>
            </w:pPr>
          </w:p>
        </w:tc>
      </w:tr>
      <w:tr w14:paraId="31288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vAlign w:val="center"/>
          </w:tcPr>
          <w:p w14:paraId="71576528">
            <w:pPr>
              <w:rPr>
                <w:rFonts w:hint="eastAsia" w:ascii="仿宋_GB2312" w:hAnsi="仿宋_GB2312" w:eastAsia="仿宋_GB2312" w:cs="仿宋_GB2312"/>
                <w:snapToGrid w:val="0"/>
                <w:sz w:val="24"/>
                <w:szCs w:val="24"/>
              </w:rPr>
            </w:pPr>
          </w:p>
        </w:tc>
        <w:tc>
          <w:tcPr>
            <w:tcW w:w="1418" w:type="dxa"/>
            <w:vAlign w:val="center"/>
          </w:tcPr>
          <w:p w14:paraId="7483119E">
            <w:pPr>
              <w:rPr>
                <w:rFonts w:hint="eastAsia" w:ascii="仿宋_GB2312" w:hAnsi="仿宋_GB2312" w:eastAsia="仿宋_GB2312" w:cs="仿宋_GB2312"/>
                <w:snapToGrid w:val="0"/>
                <w:sz w:val="24"/>
                <w:szCs w:val="24"/>
              </w:rPr>
            </w:pPr>
          </w:p>
        </w:tc>
        <w:tc>
          <w:tcPr>
            <w:tcW w:w="992" w:type="dxa"/>
            <w:vAlign w:val="center"/>
          </w:tcPr>
          <w:p w14:paraId="2BBC39FD">
            <w:pPr>
              <w:rPr>
                <w:rFonts w:hint="eastAsia" w:ascii="仿宋_GB2312" w:hAnsi="仿宋_GB2312" w:eastAsia="仿宋_GB2312" w:cs="仿宋_GB2312"/>
                <w:snapToGrid w:val="0"/>
                <w:sz w:val="24"/>
                <w:szCs w:val="24"/>
              </w:rPr>
            </w:pPr>
          </w:p>
        </w:tc>
        <w:tc>
          <w:tcPr>
            <w:tcW w:w="1098" w:type="dxa"/>
            <w:vAlign w:val="center"/>
          </w:tcPr>
          <w:p w14:paraId="47BFBA97">
            <w:pPr>
              <w:rPr>
                <w:rFonts w:hint="eastAsia" w:ascii="仿宋_GB2312" w:hAnsi="仿宋_GB2312" w:eastAsia="仿宋_GB2312" w:cs="仿宋_GB2312"/>
                <w:snapToGrid w:val="0"/>
                <w:sz w:val="24"/>
                <w:szCs w:val="24"/>
              </w:rPr>
            </w:pPr>
          </w:p>
        </w:tc>
        <w:tc>
          <w:tcPr>
            <w:tcW w:w="681" w:type="dxa"/>
            <w:vAlign w:val="center"/>
          </w:tcPr>
          <w:p w14:paraId="0A7099C7">
            <w:pPr>
              <w:rPr>
                <w:rFonts w:hint="eastAsia" w:ascii="仿宋_GB2312" w:hAnsi="仿宋_GB2312" w:eastAsia="仿宋_GB2312" w:cs="仿宋_GB2312"/>
                <w:snapToGrid w:val="0"/>
                <w:sz w:val="24"/>
                <w:szCs w:val="24"/>
              </w:rPr>
            </w:pPr>
          </w:p>
        </w:tc>
        <w:tc>
          <w:tcPr>
            <w:tcW w:w="1248" w:type="dxa"/>
            <w:vAlign w:val="center"/>
          </w:tcPr>
          <w:p w14:paraId="59D1F8ED">
            <w:pPr>
              <w:rPr>
                <w:rFonts w:hint="eastAsia" w:ascii="仿宋_GB2312" w:hAnsi="仿宋_GB2312" w:eastAsia="仿宋_GB2312" w:cs="仿宋_GB2312"/>
                <w:snapToGrid w:val="0"/>
                <w:sz w:val="24"/>
                <w:szCs w:val="24"/>
              </w:rPr>
            </w:pPr>
          </w:p>
        </w:tc>
        <w:tc>
          <w:tcPr>
            <w:tcW w:w="855" w:type="dxa"/>
            <w:vAlign w:val="center"/>
          </w:tcPr>
          <w:p w14:paraId="02B8CC5E">
            <w:pPr>
              <w:rPr>
                <w:rFonts w:hint="eastAsia" w:ascii="仿宋_GB2312" w:hAnsi="仿宋_GB2312" w:eastAsia="仿宋_GB2312" w:cs="仿宋_GB2312"/>
                <w:snapToGrid w:val="0"/>
                <w:sz w:val="24"/>
                <w:szCs w:val="24"/>
              </w:rPr>
            </w:pPr>
          </w:p>
        </w:tc>
        <w:tc>
          <w:tcPr>
            <w:tcW w:w="1221" w:type="dxa"/>
            <w:vAlign w:val="center"/>
          </w:tcPr>
          <w:p w14:paraId="2FECFBC8">
            <w:pPr>
              <w:rPr>
                <w:rFonts w:hint="eastAsia" w:ascii="仿宋_GB2312" w:hAnsi="仿宋_GB2312" w:eastAsia="仿宋_GB2312" w:cs="仿宋_GB2312"/>
                <w:snapToGrid w:val="0"/>
                <w:sz w:val="24"/>
                <w:szCs w:val="24"/>
              </w:rPr>
            </w:pPr>
          </w:p>
        </w:tc>
        <w:tc>
          <w:tcPr>
            <w:tcW w:w="1134" w:type="dxa"/>
            <w:vAlign w:val="center"/>
          </w:tcPr>
          <w:p w14:paraId="4D0BDC93">
            <w:pPr>
              <w:rPr>
                <w:rFonts w:hint="eastAsia" w:ascii="仿宋_GB2312" w:hAnsi="仿宋_GB2312" w:eastAsia="仿宋_GB2312" w:cs="仿宋_GB2312"/>
                <w:snapToGrid w:val="0"/>
                <w:sz w:val="24"/>
                <w:szCs w:val="24"/>
              </w:rPr>
            </w:pPr>
          </w:p>
        </w:tc>
      </w:tr>
      <w:tr w14:paraId="17D49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601" w:type="dxa"/>
            <w:vAlign w:val="center"/>
          </w:tcPr>
          <w:p w14:paraId="459B8579">
            <w:pPr>
              <w:rPr>
                <w:rFonts w:hint="eastAsia" w:ascii="仿宋_GB2312" w:hAnsi="仿宋_GB2312" w:eastAsia="仿宋_GB2312" w:cs="仿宋_GB2312"/>
                <w:snapToGrid w:val="0"/>
                <w:sz w:val="24"/>
                <w:szCs w:val="24"/>
              </w:rPr>
            </w:pPr>
          </w:p>
        </w:tc>
        <w:tc>
          <w:tcPr>
            <w:tcW w:w="1418" w:type="dxa"/>
            <w:vAlign w:val="center"/>
          </w:tcPr>
          <w:p w14:paraId="4B57308D">
            <w:pPr>
              <w:rPr>
                <w:rFonts w:hint="eastAsia" w:ascii="仿宋_GB2312" w:hAnsi="仿宋_GB2312" w:eastAsia="仿宋_GB2312" w:cs="仿宋_GB2312"/>
                <w:snapToGrid w:val="0"/>
                <w:sz w:val="24"/>
                <w:szCs w:val="24"/>
              </w:rPr>
            </w:pPr>
          </w:p>
        </w:tc>
        <w:tc>
          <w:tcPr>
            <w:tcW w:w="992" w:type="dxa"/>
            <w:vAlign w:val="center"/>
          </w:tcPr>
          <w:p w14:paraId="3D7906B6">
            <w:pPr>
              <w:rPr>
                <w:rFonts w:hint="eastAsia" w:ascii="仿宋_GB2312" w:hAnsi="仿宋_GB2312" w:eastAsia="仿宋_GB2312" w:cs="仿宋_GB2312"/>
                <w:snapToGrid w:val="0"/>
                <w:sz w:val="24"/>
                <w:szCs w:val="24"/>
              </w:rPr>
            </w:pPr>
          </w:p>
        </w:tc>
        <w:tc>
          <w:tcPr>
            <w:tcW w:w="1098" w:type="dxa"/>
            <w:vAlign w:val="center"/>
          </w:tcPr>
          <w:p w14:paraId="58397CD9">
            <w:pPr>
              <w:rPr>
                <w:rFonts w:hint="eastAsia" w:ascii="仿宋_GB2312" w:hAnsi="仿宋_GB2312" w:eastAsia="仿宋_GB2312" w:cs="仿宋_GB2312"/>
                <w:snapToGrid w:val="0"/>
                <w:sz w:val="24"/>
                <w:szCs w:val="24"/>
              </w:rPr>
            </w:pPr>
          </w:p>
        </w:tc>
        <w:tc>
          <w:tcPr>
            <w:tcW w:w="681" w:type="dxa"/>
            <w:vAlign w:val="center"/>
          </w:tcPr>
          <w:p w14:paraId="4BBA8B47">
            <w:pPr>
              <w:rPr>
                <w:rFonts w:hint="eastAsia" w:ascii="仿宋_GB2312" w:hAnsi="仿宋_GB2312" w:eastAsia="仿宋_GB2312" w:cs="仿宋_GB2312"/>
                <w:snapToGrid w:val="0"/>
                <w:sz w:val="24"/>
                <w:szCs w:val="24"/>
              </w:rPr>
            </w:pPr>
          </w:p>
        </w:tc>
        <w:tc>
          <w:tcPr>
            <w:tcW w:w="1248" w:type="dxa"/>
            <w:vAlign w:val="center"/>
          </w:tcPr>
          <w:p w14:paraId="6F7D2C7F">
            <w:pPr>
              <w:rPr>
                <w:rFonts w:hint="eastAsia" w:ascii="仿宋_GB2312" w:hAnsi="仿宋_GB2312" w:eastAsia="仿宋_GB2312" w:cs="仿宋_GB2312"/>
                <w:snapToGrid w:val="0"/>
                <w:sz w:val="24"/>
                <w:szCs w:val="24"/>
              </w:rPr>
            </w:pPr>
          </w:p>
        </w:tc>
        <w:tc>
          <w:tcPr>
            <w:tcW w:w="855" w:type="dxa"/>
            <w:vAlign w:val="center"/>
          </w:tcPr>
          <w:p w14:paraId="7A8F466C">
            <w:pPr>
              <w:rPr>
                <w:rFonts w:hint="eastAsia" w:ascii="仿宋_GB2312" w:hAnsi="仿宋_GB2312" w:eastAsia="仿宋_GB2312" w:cs="仿宋_GB2312"/>
                <w:snapToGrid w:val="0"/>
                <w:sz w:val="24"/>
                <w:szCs w:val="24"/>
              </w:rPr>
            </w:pPr>
          </w:p>
        </w:tc>
        <w:tc>
          <w:tcPr>
            <w:tcW w:w="1221" w:type="dxa"/>
            <w:vAlign w:val="center"/>
          </w:tcPr>
          <w:p w14:paraId="54BF7033">
            <w:pPr>
              <w:rPr>
                <w:rFonts w:hint="eastAsia" w:ascii="仿宋_GB2312" w:hAnsi="仿宋_GB2312" w:eastAsia="仿宋_GB2312" w:cs="仿宋_GB2312"/>
                <w:snapToGrid w:val="0"/>
                <w:sz w:val="24"/>
                <w:szCs w:val="24"/>
              </w:rPr>
            </w:pPr>
          </w:p>
        </w:tc>
        <w:tc>
          <w:tcPr>
            <w:tcW w:w="1134" w:type="dxa"/>
            <w:vAlign w:val="center"/>
          </w:tcPr>
          <w:p w14:paraId="53D75081">
            <w:pPr>
              <w:rPr>
                <w:rFonts w:hint="eastAsia" w:ascii="仿宋_GB2312" w:hAnsi="仿宋_GB2312" w:eastAsia="仿宋_GB2312" w:cs="仿宋_GB2312"/>
                <w:snapToGrid w:val="0"/>
                <w:sz w:val="24"/>
                <w:szCs w:val="24"/>
              </w:rPr>
            </w:pPr>
          </w:p>
        </w:tc>
      </w:tr>
      <w:tr w14:paraId="13FF6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vAlign w:val="center"/>
          </w:tcPr>
          <w:p w14:paraId="0AD2E3A7">
            <w:pPr>
              <w:rPr>
                <w:rFonts w:hint="eastAsia" w:ascii="仿宋_GB2312" w:hAnsi="仿宋_GB2312" w:eastAsia="仿宋_GB2312" w:cs="仿宋_GB2312"/>
                <w:snapToGrid w:val="0"/>
                <w:sz w:val="24"/>
                <w:szCs w:val="24"/>
              </w:rPr>
            </w:pPr>
          </w:p>
        </w:tc>
        <w:tc>
          <w:tcPr>
            <w:tcW w:w="1418" w:type="dxa"/>
            <w:vAlign w:val="center"/>
          </w:tcPr>
          <w:p w14:paraId="78519B07">
            <w:pPr>
              <w:rPr>
                <w:rFonts w:hint="eastAsia" w:ascii="仿宋_GB2312" w:hAnsi="仿宋_GB2312" w:eastAsia="仿宋_GB2312" w:cs="仿宋_GB2312"/>
                <w:snapToGrid w:val="0"/>
                <w:sz w:val="24"/>
                <w:szCs w:val="24"/>
              </w:rPr>
            </w:pPr>
          </w:p>
        </w:tc>
        <w:tc>
          <w:tcPr>
            <w:tcW w:w="992" w:type="dxa"/>
            <w:vAlign w:val="center"/>
          </w:tcPr>
          <w:p w14:paraId="688E0F4F">
            <w:pPr>
              <w:rPr>
                <w:rFonts w:hint="eastAsia" w:ascii="仿宋_GB2312" w:hAnsi="仿宋_GB2312" w:eastAsia="仿宋_GB2312" w:cs="仿宋_GB2312"/>
                <w:snapToGrid w:val="0"/>
                <w:sz w:val="24"/>
                <w:szCs w:val="24"/>
              </w:rPr>
            </w:pPr>
          </w:p>
        </w:tc>
        <w:tc>
          <w:tcPr>
            <w:tcW w:w="1098" w:type="dxa"/>
            <w:vAlign w:val="center"/>
          </w:tcPr>
          <w:p w14:paraId="7B494486">
            <w:pPr>
              <w:rPr>
                <w:rFonts w:hint="eastAsia" w:ascii="仿宋_GB2312" w:hAnsi="仿宋_GB2312" w:eastAsia="仿宋_GB2312" w:cs="仿宋_GB2312"/>
                <w:snapToGrid w:val="0"/>
                <w:sz w:val="24"/>
                <w:szCs w:val="24"/>
              </w:rPr>
            </w:pPr>
          </w:p>
        </w:tc>
        <w:tc>
          <w:tcPr>
            <w:tcW w:w="681" w:type="dxa"/>
            <w:vAlign w:val="center"/>
          </w:tcPr>
          <w:p w14:paraId="127520A0">
            <w:pPr>
              <w:rPr>
                <w:rFonts w:hint="eastAsia" w:ascii="仿宋_GB2312" w:hAnsi="仿宋_GB2312" w:eastAsia="仿宋_GB2312" w:cs="仿宋_GB2312"/>
                <w:snapToGrid w:val="0"/>
                <w:sz w:val="24"/>
                <w:szCs w:val="24"/>
              </w:rPr>
            </w:pPr>
          </w:p>
        </w:tc>
        <w:tc>
          <w:tcPr>
            <w:tcW w:w="1248" w:type="dxa"/>
            <w:vAlign w:val="center"/>
          </w:tcPr>
          <w:p w14:paraId="41631DC0">
            <w:pPr>
              <w:rPr>
                <w:rFonts w:hint="eastAsia" w:ascii="仿宋_GB2312" w:hAnsi="仿宋_GB2312" w:eastAsia="仿宋_GB2312" w:cs="仿宋_GB2312"/>
                <w:snapToGrid w:val="0"/>
                <w:sz w:val="24"/>
                <w:szCs w:val="24"/>
              </w:rPr>
            </w:pPr>
          </w:p>
        </w:tc>
        <w:tc>
          <w:tcPr>
            <w:tcW w:w="855" w:type="dxa"/>
            <w:vAlign w:val="center"/>
          </w:tcPr>
          <w:p w14:paraId="6A7E2DE7">
            <w:pPr>
              <w:rPr>
                <w:rFonts w:hint="eastAsia" w:ascii="仿宋_GB2312" w:hAnsi="仿宋_GB2312" w:eastAsia="仿宋_GB2312" w:cs="仿宋_GB2312"/>
                <w:snapToGrid w:val="0"/>
                <w:sz w:val="24"/>
                <w:szCs w:val="24"/>
              </w:rPr>
            </w:pPr>
          </w:p>
        </w:tc>
        <w:tc>
          <w:tcPr>
            <w:tcW w:w="1221" w:type="dxa"/>
            <w:vAlign w:val="center"/>
          </w:tcPr>
          <w:p w14:paraId="18E5AE63">
            <w:pPr>
              <w:rPr>
                <w:rFonts w:hint="eastAsia" w:ascii="仿宋_GB2312" w:hAnsi="仿宋_GB2312" w:eastAsia="仿宋_GB2312" w:cs="仿宋_GB2312"/>
                <w:snapToGrid w:val="0"/>
                <w:sz w:val="24"/>
                <w:szCs w:val="24"/>
              </w:rPr>
            </w:pPr>
          </w:p>
        </w:tc>
        <w:tc>
          <w:tcPr>
            <w:tcW w:w="1134" w:type="dxa"/>
            <w:vAlign w:val="center"/>
          </w:tcPr>
          <w:p w14:paraId="7A0D8034">
            <w:pPr>
              <w:rPr>
                <w:rFonts w:hint="eastAsia" w:ascii="仿宋_GB2312" w:hAnsi="仿宋_GB2312" w:eastAsia="仿宋_GB2312" w:cs="仿宋_GB2312"/>
                <w:snapToGrid w:val="0"/>
                <w:sz w:val="24"/>
                <w:szCs w:val="24"/>
              </w:rPr>
            </w:pPr>
          </w:p>
        </w:tc>
      </w:tr>
      <w:tr w14:paraId="46D2C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vAlign w:val="center"/>
          </w:tcPr>
          <w:p w14:paraId="019CF0AC">
            <w:pPr>
              <w:rPr>
                <w:rFonts w:hint="eastAsia" w:ascii="仿宋_GB2312" w:hAnsi="仿宋_GB2312" w:eastAsia="仿宋_GB2312" w:cs="仿宋_GB2312"/>
                <w:snapToGrid w:val="0"/>
                <w:sz w:val="24"/>
                <w:szCs w:val="24"/>
              </w:rPr>
            </w:pPr>
          </w:p>
        </w:tc>
        <w:tc>
          <w:tcPr>
            <w:tcW w:w="1418" w:type="dxa"/>
            <w:vAlign w:val="center"/>
          </w:tcPr>
          <w:p w14:paraId="7391C5E5">
            <w:pPr>
              <w:rPr>
                <w:rFonts w:hint="eastAsia" w:ascii="仿宋_GB2312" w:hAnsi="仿宋_GB2312" w:eastAsia="仿宋_GB2312" w:cs="仿宋_GB2312"/>
                <w:snapToGrid w:val="0"/>
                <w:sz w:val="24"/>
                <w:szCs w:val="24"/>
              </w:rPr>
            </w:pPr>
          </w:p>
        </w:tc>
        <w:tc>
          <w:tcPr>
            <w:tcW w:w="992" w:type="dxa"/>
            <w:vAlign w:val="center"/>
          </w:tcPr>
          <w:p w14:paraId="3F232FF2">
            <w:pPr>
              <w:rPr>
                <w:rFonts w:hint="eastAsia" w:ascii="仿宋_GB2312" w:hAnsi="仿宋_GB2312" w:eastAsia="仿宋_GB2312" w:cs="仿宋_GB2312"/>
                <w:snapToGrid w:val="0"/>
                <w:sz w:val="24"/>
                <w:szCs w:val="24"/>
              </w:rPr>
            </w:pPr>
          </w:p>
        </w:tc>
        <w:tc>
          <w:tcPr>
            <w:tcW w:w="1098" w:type="dxa"/>
            <w:vAlign w:val="center"/>
          </w:tcPr>
          <w:p w14:paraId="7C6EB8B2">
            <w:pPr>
              <w:rPr>
                <w:rFonts w:hint="eastAsia" w:ascii="仿宋_GB2312" w:hAnsi="仿宋_GB2312" w:eastAsia="仿宋_GB2312" w:cs="仿宋_GB2312"/>
                <w:snapToGrid w:val="0"/>
                <w:sz w:val="24"/>
                <w:szCs w:val="24"/>
              </w:rPr>
            </w:pPr>
          </w:p>
        </w:tc>
        <w:tc>
          <w:tcPr>
            <w:tcW w:w="681" w:type="dxa"/>
            <w:vAlign w:val="center"/>
          </w:tcPr>
          <w:p w14:paraId="58EE546E">
            <w:pPr>
              <w:rPr>
                <w:rFonts w:hint="eastAsia" w:ascii="仿宋_GB2312" w:hAnsi="仿宋_GB2312" w:eastAsia="仿宋_GB2312" w:cs="仿宋_GB2312"/>
                <w:snapToGrid w:val="0"/>
                <w:sz w:val="24"/>
                <w:szCs w:val="24"/>
              </w:rPr>
            </w:pPr>
          </w:p>
        </w:tc>
        <w:tc>
          <w:tcPr>
            <w:tcW w:w="1248" w:type="dxa"/>
            <w:vAlign w:val="center"/>
          </w:tcPr>
          <w:p w14:paraId="5B7CB2C4">
            <w:pPr>
              <w:rPr>
                <w:rFonts w:hint="eastAsia" w:ascii="仿宋_GB2312" w:hAnsi="仿宋_GB2312" w:eastAsia="仿宋_GB2312" w:cs="仿宋_GB2312"/>
                <w:snapToGrid w:val="0"/>
                <w:sz w:val="24"/>
                <w:szCs w:val="24"/>
              </w:rPr>
            </w:pPr>
          </w:p>
        </w:tc>
        <w:tc>
          <w:tcPr>
            <w:tcW w:w="855" w:type="dxa"/>
            <w:vAlign w:val="center"/>
          </w:tcPr>
          <w:p w14:paraId="3E64FEF6">
            <w:pPr>
              <w:rPr>
                <w:rFonts w:hint="eastAsia" w:ascii="仿宋_GB2312" w:hAnsi="仿宋_GB2312" w:eastAsia="仿宋_GB2312" w:cs="仿宋_GB2312"/>
                <w:snapToGrid w:val="0"/>
                <w:sz w:val="24"/>
                <w:szCs w:val="24"/>
              </w:rPr>
            </w:pPr>
          </w:p>
        </w:tc>
        <w:tc>
          <w:tcPr>
            <w:tcW w:w="1221" w:type="dxa"/>
            <w:vAlign w:val="center"/>
          </w:tcPr>
          <w:p w14:paraId="5C3DB6AC">
            <w:pPr>
              <w:rPr>
                <w:rFonts w:hint="eastAsia" w:ascii="仿宋_GB2312" w:hAnsi="仿宋_GB2312" w:eastAsia="仿宋_GB2312" w:cs="仿宋_GB2312"/>
                <w:snapToGrid w:val="0"/>
                <w:sz w:val="24"/>
                <w:szCs w:val="24"/>
              </w:rPr>
            </w:pPr>
          </w:p>
        </w:tc>
        <w:tc>
          <w:tcPr>
            <w:tcW w:w="1134" w:type="dxa"/>
            <w:vAlign w:val="center"/>
          </w:tcPr>
          <w:p w14:paraId="32370C9D">
            <w:pPr>
              <w:rPr>
                <w:rFonts w:hint="eastAsia" w:ascii="仿宋_GB2312" w:hAnsi="仿宋_GB2312" w:eastAsia="仿宋_GB2312" w:cs="仿宋_GB2312"/>
                <w:snapToGrid w:val="0"/>
                <w:sz w:val="24"/>
                <w:szCs w:val="24"/>
              </w:rPr>
            </w:pPr>
          </w:p>
        </w:tc>
      </w:tr>
      <w:tr w14:paraId="6643F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vAlign w:val="center"/>
          </w:tcPr>
          <w:p w14:paraId="7FEE4904">
            <w:pPr>
              <w:rPr>
                <w:rFonts w:hint="eastAsia" w:ascii="仿宋_GB2312" w:hAnsi="仿宋_GB2312" w:eastAsia="仿宋_GB2312" w:cs="仿宋_GB2312"/>
                <w:snapToGrid w:val="0"/>
                <w:sz w:val="24"/>
                <w:szCs w:val="24"/>
              </w:rPr>
            </w:pPr>
          </w:p>
        </w:tc>
        <w:tc>
          <w:tcPr>
            <w:tcW w:w="1418" w:type="dxa"/>
            <w:vAlign w:val="center"/>
          </w:tcPr>
          <w:p w14:paraId="098F1D41">
            <w:pPr>
              <w:rPr>
                <w:rFonts w:hint="eastAsia" w:ascii="仿宋_GB2312" w:hAnsi="仿宋_GB2312" w:eastAsia="仿宋_GB2312" w:cs="仿宋_GB2312"/>
                <w:snapToGrid w:val="0"/>
                <w:sz w:val="24"/>
                <w:szCs w:val="24"/>
              </w:rPr>
            </w:pPr>
          </w:p>
        </w:tc>
        <w:tc>
          <w:tcPr>
            <w:tcW w:w="992" w:type="dxa"/>
            <w:vAlign w:val="center"/>
          </w:tcPr>
          <w:p w14:paraId="3E2D146F">
            <w:pPr>
              <w:rPr>
                <w:rFonts w:hint="eastAsia" w:ascii="仿宋_GB2312" w:hAnsi="仿宋_GB2312" w:eastAsia="仿宋_GB2312" w:cs="仿宋_GB2312"/>
                <w:snapToGrid w:val="0"/>
                <w:sz w:val="24"/>
                <w:szCs w:val="24"/>
              </w:rPr>
            </w:pPr>
          </w:p>
        </w:tc>
        <w:tc>
          <w:tcPr>
            <w:tcW w:w="1098" w:type="dxa"/>
            <w:vAlign w:val="center"/>
          </w:tcPr>
          <w:p w14:paraId="02DE07B2">
            <w:pPr>
              <w:rPr>
                <w:rFonts w:hint="eastAsia" w:ascii="仿宋_GB2312" w:hAnsi="仿宋_GB2312" w:eastAsia="仿宋_GB2312" w:cs="仿宋_GB2312"/>
                <w:snapToGrid w:val="0"/>
                <w:sz w:val="24"/>
                <w:szCs w:val="24"/>
              </w:rPr>
            </w:pPr>
          </w:p>
        </w:tc>
        <w:tc>
          <w:tcPr>
            <w:tcW w:w="681" w:type="dxa"/>
            <w:vAlign w:val="center"/>
          </w:tcPr>
          <w:p w14:paraId="399437D2">
            <w:pPr>
              <w:rPr>
                <w:rFonts w:hint="eastAsia" w:ascii="仿宋_GB2312" w:hAnsi="仿宋_GB2312" w:eastAsia="仿宋_GB2312" w:cs="仿宋_GB2312"/>
                <w:snapToGrid w:val="0"/>
                <w:sz w:val="24"/>
                <w:szCs w:val="24"/>
              </w:rPr>
            </w:pPr>
          </w:p>
        </w:tc>
        <w:tc>
          <w:tcPr>
            <w:tcW w:w="1248" w:type="dxa"/>
            <w:vAlign w:val="center"/>
          </w:tcPr>
          <w:p w14:paraId="20790300">
            <w:pPr>
              <w:rPr>
                <w:rFonts w:hint="eastAsia" w:ascii="仿宋_GB2312" w:hAnsi="仿宋_GB2312" w:eastAsia="仿宋_GB2312" w:cs="仿宋_GB2312"/>
                <w:snapToGrid w:val="0"/>
                <w:sz w:val="24"/>
                <w:szCs w:val="24"/>
              </w:rPr>
            </w:pPr>
          </w:p>
        </w:tc>
        <w:tc>
          <w:tcPr>
            <w:tcW w:w="855" w:type="dxa"/>
            <w:vAlign w:val="center"/>
          </w:tcPr>
          <w:p w14:paraId="1F5C7A98">
            <w:pPr>
              <w:rPr>
                <w:rFonts w:hint="eastAsia" w:ascii="仿宋_GB2312" w:hAnsi="仿宋_GB2312" w:eastAsia="仿宋_GB2312" w:cs="仿宋_GB2312"/>
                <w:snapToGrid w:val="0"/>
                <w:sz w:val="24"/>
                <w:szCs w:val="24"/>
              </w:rPr>
            </w:pPr>
          </w:p>
        </w:tc>
        <w:tc>
          <w:tcPr>
            <w:tcW w:w="1221" w:type="dxa"/>
            <w:vAlign w:val="center"/>
          </w:tcPr>
          <w:p w14:paraId="1280F8BF">
            <w:pPr>
              <w:rPr>
                <w:rFonts w:hint="eastAsia" w:ascii="仿宋_GB2312" w:hAnsi="仿宋_GB2312" w:eastAsia="仿宋_GB2312" w:cs="仿宋_GB2312"/>
                <w:snapToGrid w:val="0"/>
                <w:sz w:val="24"/>
                <w:szCs w:val="24"/>
              </w:rPr>
            </w:pPr>
          </w:p>
        </w:tc>
        <w:tc>
          <w:tcPr>
            <w:tcW w:w="1134" w:type="dxa"/>
            <w:vAlign w:val="center"/>
          </w:tcPr>
          <w:p w14:paraId="5BED1C55">
            <w:pPr>
              <w:rPr>
                <w:rFonts w:hint="eastAsia" w:ascii="仿宋_GB2312" w:hAnsi="仿宋_GB2312" w:eastAsia="仿宋_GB2312" w:cs="仿宋_GB2312"/>
                <w:snapToGrid w:val="0"/>
                <w:sz w:val="24"/>
                <w:szCs w:val="24"/>
              </w:rPr>
            </w:pPr>
          </w:p>
        </w:tc>
      </w:tr>
      <w:tr w14:paraId="78248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601" w:type="dxa"/>
            <w:vAlign w:val="center"/>
          </w:tcPr>
          <w:p w14:paraId="2C4CD975">
            <w:pPr>
              <w:rPr>
                <w:rFonts w:hint="eastAsia" w:ascii="仿宋_GB2312" w:hAnsi="仿宋_GB2312" w:eastAsia="仿宋_GB2312" w:cs="仿宋_GB2312"/>
                <w:snapToGrid w:val="0"/>
                <w:sz w:val="24"/>
                <w:szCs w:val="24"/>
              </w:rPr>
            </w:pPr>
          </w:p>
        </w:tc>
        <w:tc>
          <w:tcPr>
            <w:tcW w:w="1418" w:type="dxa"/>
            <w:vAlign w:val="center"/>
          </w:tcPr>
          <w:p w14:paraId="36056D1B">
            <w:pPr>
              <w:rPr>
                <w:rFonts w:hint="eastAsia" w:ascii="仿宋_GB2312" w:hAnsi="仿宋_GB2312" w:eastAsia="仿宋_GB2312" w:cs="仿宋_GB2312"/>
                <w:snapToGrid w:val="0"/>
                <w:sz w:val="24"/>
                <w:szCs w:val="24"/>
              </w:rPr>
            </w:pPr>
          </w:p>
        </w:tc>
        <w:tc>
          <w:tcPr>
            <w:tcW w:w="992" w:type="dxa"/>
            <w:vAlign w:val="center"/>
          </w:tcPr>
          <w:p w14:paraId="38118235">
            <w:pPr>
              <w:rPr>
                <w:rFonts w:hint="eastAsia" w:ascii="仿宋_GB2312" w:hAnsi="仿宋_GB2312" w:eastAsia="仿宋_GB2312" w:cs="仿宋_GB2312"/>
                <w:snapToGrid w:val="0"/>
                <w:sz w:val="24"/>
                <w:szCs w:val="24"/>
              </w:rPr>
            </w:pPr>
          </w:p>
        </w:tc>
        <w:tc>
          <w:tcPr>
            <w:tcW w:w="1098" w:type="dxa"/>
            <w:vAlign w:val="center"/>
          </w:tcPr>
          <w:p w14:paraId="396BD52F">
            <w:pPr>
              <w:rPr>
                <w:rFonts w:hint="eastAsia" w:ascii="仿宋_GB2312" w:hAnsi="仿宋_GB2312" w:eastAsia="仿宋_GB2312" w:cs="仿宋_GB2312"/>
                <w:snapToGrid w:val="0"/>
                <w:sz w:val="24"/>
                <w:szCs w:val="24"/>
              </w:rPr>
            </w:pPr>
          </w:p>
        </w:tc>
        <w:tc>
          <w:tcPr>
            <w:tcW w:w="681" w:type="dxa"/>
            <w:vAlign w:val="center"/>
          </w:tcPr>
          <w:p w14:paraId="4472D577">
            <w:pPr>
              <w:rPr>
                <w:rFonts w:hint="eastAsia" w:ascii="仿宋_GB2312" w:hAnsi="仿宋_GB2312" w:eastAsia="仿宋_GB2312" w:cs="仿宋_GB2312"/>
                <w:snapToGrid w:val="0"/>
                <w:sz w:val="24"/>
                <w:szCs w:val="24"/>
              </w:rPr>
            </w:pPr>
          </w:p>
        </w:tc>
        <w:tc>
          <w:tcPr>
            <w:tcW w:w="1248" w:type="dxa"/>
            <w:vAlign w:val="center"/>
          </w:tcPr>
          <w:p w14:paraId="13A79441">
            <w:pPr>
              <w:rPr>
                <w:rFonts w:hint="eastAsia" w:ascii="仿宋_GB2312" w:hAnsi="仿宋_GB2312" w:eastAsia="仿宋_GB2312" w:cs="仿宋_GB2312"/>
                <w:snapToGrid w:val="0"/>
                <w:sz w:val="24"/>
                <w:szCs w:val="24"/>
              </w:rPr>
            </w:pPr>
          </w:p>
        </w:tc>
        <w:tc>
          <w:tcPr>
            <w:tcW w:w="855" w:type="dxa"/>
            <w:vAlign w:val="center"/>
          </w:tcPr>
          <w:p w14:paraId="2827F528">
            <w:pPr>
              <w:rPr>
                <w:rFonts w:hint="eastAsia" w:ascii="仿宋_GB2312" w:hAnsi="仿宋_GB2312" w:eastAsia="仿宋_GB2312" w:cs="仿宋_GB2312"/>
                <w:snapToGrid w:val="0"/>
                <w:sz w:val="24"/>
                <w:szCs w:val="24"/>
              </w:rPr>
            </w:pPr>
          </w:p>
        </w:tc>
        <w:tc>
          <w:tcPr>
            <w:tcW w:w="1221" w:type="dxa"/>
            <w:vAlign w:val="center"/>
          </w:tcPr>
          <w:p w14:paraId="50018FA6">
            <w:pPr>
              <w:rPr>
                <w:rFonts w:hint="eastAsia" w:ascii="仿宋_GB2312" w:hAnsi="仿宋_GB2312" w:eastAsia="仿宋_GB2312" w:cs="仿宋_GB2312"/>
                <w:snapToGrid w:val="0"/>
                <w:sz w:val="24"/>
                <w:szCs w:val="24"/>
              </w:rPr>
            </w:pPr>
          </w:p>
        </w:tc>
        <w:tc>
          <w:tcPr>
            <w:tcW w:w="1134" w:type="dxa"/>
            <w:vAlign w:val="center"/>
          </w:tcPr>
          <w:p w14:paraId="6ED7349F">
            <w:pPr>
              <w:rPr>
                <w:rFonts w:hint="eastAsia" w:ascii="仿宋_GB2312" w:hAnsi="仿宋_GB2312" w:eastAsia="仿宋_GB2312" w:cs="仿宋_GB2312"/>
                <w:snapToGrid w:val="0"/>
                <w:sz w:val="24"/>
                <w:szCs w:val="24"/>
              </w:rPr>
            </w:pPr>
          </w:p>
        </w:tc>
      </w:tr>
      <w:tr w14:paraId="311DB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601" w:type="dxa"/>
            <w:vAlign w:val="center"/>
          </w:tcPr>
          <w:p w14:paraId="7CBBCDE1">
            <w:pPr>
              <w:rPr>
                <w:rFonts w:hint="eastAsia" w:ascii="仿宋_GB2312" w:hAnsi="仿宋_GB2312" w:eastAsia="仿宋_GB2312" w:cs="仿宋_GB2312"/>
                <w:snapToGrid w:val="0"/>
                <w:sz w:val="24"/>
                <w:szCs w:val="24"/>
              </w:rPr>
            </w:pPr>
          </w:p>
        </w:tc>
        <w:tc>
          <w:tcPr>
            <w:tcW w:w="1418" w:type="dxa"/>
            <w:vAlign w:val="center"/>
          </w:tcPr>
          <w:p w14:paraId="1C4D5EC5">
            <w:pPr>
              <w:rPr>
                <w:rFonts w:hint="eastAsia" w:ascii="仿宋_GB2312" w:hAnsi="仿宋_GB2312" w:eastAsia="仿宋_GB2312" w:cs="仿宋_GB2312"/>
                <w:snapToGrid w:val="0"/>
                <w:sz w:val="24"/>
                <w:szCs w:val="24"/>
              </w:rPr>
            </w:pPr>
          </w:p>
        </w:tc>
        <w:tc>
          <w:tcPr>
            <w:tcW w:w="992" w:type="dxa"/>
            <w:vAlign w:val="center"/>
          </w:tcPr>
          <w:p w14:paraId="067F5777">
            <w:pPr>
              <w:rPr>
                <w:rFonts w:hint="eastAsia" w:ascii="仿宋_GB2312" w:hAnsi="仿宋_GB2312" w:eastAsia="仿宋_GB2312" w:cs="仿宋_GB2312"/>
                <w:snapToGrid w:val="0"/>
                <w:sz w:val="24"/>
                <w:szCs w:val="24"/>
              </w:rPr>
            </w:pPr>
          </w:p>
        </w:tc>
        <w:tc>
          <w:tcPr>
            <w:tcW w:w="1098" w:type="dxa"/>
            <w:vAlign w:val="center"/>
          </w:tcPr>
          <w:p w14:paraId="1F26B319">
            <w:pPr>
              <w:rPr>
                <w:rFonts w:hint="eastAsia" w:ascii="仿宋_GB2312" w:hAnsi="仿宋_GB2312" w:eastAsia="仿宋_GB2312" w:cs="仿宋_GB2312"/>
                <w:snapToGrid w:val="0"/>
                <w:sz w:val="24"/>
                <w:szCs w:val="24"/>
              </w:rPr>
            </w:pPr>
          </w:p>
        </w:tc>
        <w:tc>
          <w:tcPr>
            <w:tcW w:w="681" w:type="dxa"/>
            <w:vAlign w:val="center"/>
          </w:tcPr>
          <w:p w14:paraId="2B8D0184">
            <w:pPr>
              <w:rPr>
                <w:rFonts w:hint="eastAsia" w:ascii="仿宋_GB2312" w:hAnsi="仿宋_GB2312" w:eastAsia="仿宋_GB2312" w:cs="仿宋_GB2312"/>
                <w:snapToGrid w:val="0"/>
                <w:sz w:val="24"/>
                <w:szCs w:val="24"/>
              </w:rPr>
            </w:pPr>
          </w:p>
        </w:tc>
        <w:tc>
          <w:tcPr>
            <w:tcW w:w="1248" w:type="dxa"/>
            <w:vAlign w:val="center"/>
          </w:tcPr>
          <w:p w14:paraId="49048333">
            <w:pPr>
              <w:rPr>
                <w:rFonts w:hint="eastAsia" w:ascii="仿宋_GB2312" w:hAnsi="仿宋_GB2312" w:eastAsia="仿宋_GB2312" w:cs="仿宋_GB2312"/>
                <w:snapToGrid w:val="0"/>
                <w:sz w:val="24"/>
                <w:szCs w:val="24"/>
              </w:rPr>
            </w:pPr>
          </w:p>
        </w:tc>
        <w:tc>
          <w:tcPr>
            <w:tcW w:w="855" w:type="dxa"/>
            <w:vAlign w:val="center"/>
          </w:tcPr>
          <w:p w14:paraId="76A52E65">
            <w:pPr>
              <w:rPr>
                <w:rFonts w:hint="eastAsia" w:ascii="仿宋_GB2312" w:hAnsi="仿宋_GB2312" w:eastAsia="仿宋_GB2312" w:cs="仿宋_GB2312"/>
                <w:snapToGrid w:val="0"/>
                <w:sz w:val="24"/>
                <w:szCs w:val="24"/>
              </w:rPr>
            </w:pPr>
          </w:p>
        </w:tc>
        <w:tc>
          <w:tcPr>
            <w:tcW w:w="1221" w:type="dxa"/>
            <w:vAlign w:val="center"/>
          </w:tcPr>
          <w:p w14:paraId="50948D00">
            <w:pPr>
              <w:rPr>
                <w:rFonts w:hint="eastAsia" w:ascii="仿宋_GB2312" w:hAnsi="仿宋_GB2312" w:eastAsia="仿宋_GB2312" w:cs="仿宋_GB2312"/>
                <w:snapToGrid w:val="0"/>
                <w:sz w:val="24"/>
                <w:szCs w:val="24"/>
              </w:rPr>
            </w:pPr>
          </w:p>
        </w:tc>
        <w:tc>
          <w:tcPr>
            <w:tcW w:w="1134" w:type="dxa"/>
            <w:vAlign w:val="center"/>
          </w:tcPr>
          <w:p w14:paraId="51A46964">
            <w:pPr>
              <w:rPr>
                <w:rFonts w:hint="eastAsia" w:ascii="仿宋_GB2312" w:hAnsi="仿宋_GB2312" w:eastAsia="仿宋_GB2312" w:cs="仿宋_GB2312"/>
                <w:snapToGrid w:val="0"/>
                <w:sz w:val="24"/>
                <w:szCs w:val="24"/>
              </w:rPr>
            </w:pPr>
          </w:p>
        </w:tc>
      </w:tr>
      <w:tr w14:paraId="7537D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601" w:type="dxa"/>
            <w:vAlign w:val="center"/>
          </w:tcPr>
          <w:p w14:paraId="4E78ED2C">
            <w:pPr>
              <w:rPr>
                <w:rFonts w:hint="eastAsia" w:ascii="仿宋_GB2312" w:hAnsi="仿宋_GB2312" w:eastAsia="仿宋_GB2312" w:cs="仿宋_GB2312"/>
                <w:snapToGrid w:val="0"/>
                <w:sz w:val="24"/>
                <w:szCs w:val="24"/>
              </w:rPr>
            </w:pPr>
          </w:p>
        </w:tc>
        <w:tc>
          <w:tcPr>
            <w:tcW w:w="1418" w:type="dxa"/>
            <w:vAlign w:val="center"/>
          </w:tcPr>
          <w:p w14:paraId="6C563B2E">
            <w:pPr>
              <w:rPr>
                <w:rFonts w:hint="eastAsia" w:ascii="仿宋_GB2312" w:hAnsi="仿宋_GB2312" w:eastAsia="仿宋_GB2312" w:cs="仿宋_GB2312"/>
                <w:snapToGrid w:val="0"/>
                <w:sz w:val="24"/>
                <w:szCs w:val="24"/>
              </w:rPr>
            </w:pPr>
          </w:p>
        </w:tc>
        <w:tc>
          <w:tcPr>
            <w:tcW w:w="992" w:type="dxa"/>
            <w:vAlign w:val="center"/>
          </w:tcPr>
          <w:p w14:paraId="7C4B09FA">
            <w:pPr>
              <w:rPr>
                <w:rFonts w:hint="eastAsia" w:ascii="仿宋_GB2312" w:hAnsi="仿宋_GB2312" w:eastAsia="仿宋_GB2312" w:cs="仿宋_GB2312"/>
                <w:snapToGrid w:val="0"/>
                <w:sz w:val="24"/>
                <w:szCs w:val="24"/>
              </w:rPr>
            </w:pPr>
          </w:p>
        </w:tc>
        <w:tc>
          <w:tcPr>
            <w:tcW w:w="1098" w:type="dxa"/>
            <w:vAlign w:val="center"/>
          </w:tcPr>
          <w:p w14:paraId="5FCA1E4F">
            <w:pPr>
              <w:rPr>
                <w:rFonts w:hint="eastAsia" w:ascii="仿宋_GB2312" w:hAnsi="仿宋_GB2312" w:eastAsia="仿宋_GB2312" w:cs="仿宋_GB2312"/>
                <w:snapToGrid w:val="0"/>
                <w:sz w:val="24"/>
                <w:szCs w:val="24"/>
              </w:rPr>
            </w:pPr>
          </w:p>
        </w:tc>
        <w:tc>
          <w:tcPr>
            <w:tcW w:w="681" w:type="dxa"/>
            <w:vAlign w:val="center"/>
          </w:tcPr>
          <w:p w14:paraId="4D7FD557">
            <w:pPr>
              <w:rPr>
                <w:rFonts w:hint="eastAsia" w:ascii="仿宋_GB2312" w:hAnsi="仿宋_GB2312" w:eastAsia="仿宋_GB2312" w:cs="仿宋_GB2312"/>
                <w:snapToGrid w:val="0"/>
                <w:sz w:val="24"/>
                <w:szCs w:val="24"/>
              </w:rPr>
            </w:pPr>
          </w:p>
        </w:tc>
        <w:tc>
          <w:tcPr>
            <w:tcW w:w="1248" w:type="dxa"/>
            <w:vAlign w:val="center"/>
          </w:tcPr>
          <w:p w14:paraId="4402A7E5">
            <w:pPr>
              <w:rPr>
                <w:rFonts w:hint="eastAsia" w:ascii="仿宋_GB2312" w:hAnsi="仿宋_GB2312" w:eastAsia="仿宋_GB2312" w:cs="仿宋_GB2312"/>
                <w:snapToGrid w:val="0"/>
                <w:sz w:val="24"/>
                <w:szCs w:val="24"/>
              </w:rPr>
            </w:pPr>
          </w:p>
        </w:tc>
        <w:tc>
          <w:tcPr>
            <w:tcW w:w="855" w:type="dxa"/>
            <w:vAlign w:val="center"/>
          </w:tcPr>
          <w:p w14:paraId="4F4B7B17">
            <w:pPr>
              <w:rPr>
                <w:rFonts w:hint="eastAsia" w:ascii="仿宋_GB2312" w:hAnsi="仿宋_GB2312" w:eastAsia="仿宋_GB2312" w:cs="仿宋_GB2312"/>
                <w:snapToGrid w:val="0"/>
                <w:sz w:val="24"/>
                <w:szCs w:val="24"/>
              </w:rPr>
            </w:pPr>
          </w:p>
        </w:tc>
        <w:tc>
          <w:tcPr>
            <w:tcW w:w="1221" w:type="dxa"/>
            <w:vAlign w:val="center"/>
          </w:tcPr>
          <w:p w14:paraId="5037090A">
            <w:pPr>
              <w:rPr>
                <w:rFonts w:hint="eastAsia" w:ascii="仿宋_GB2312" w:hAnsi="仿宋_GB2312" w:eastAsia="仿宋_GB2312" w:cs="仿宋_GB2312"/>
                <w:snapToGrid w:val="0"/>
                <w:sz w:val="24"/>
                <w:szCs w:val="24"/>
              </w:rPr>
            </w:pPr>
          </w:p>
        </w:tc>
        <w:tc>
          <w:tcPr>
            <w:tcW w:w="1134" w:type="dxa"/>
            <w:vAlign w:val="center"/>
          </w:tcPr>
          <w:p w14:paraId="11E86DEC">
            <w:pPr>
              <w:rPr>
                <w:rFonts w:hint="eastAsia" w:ascii="仿宋_GB2312" w:hAnsi="仿宋_GB2312" w:eastAsia="仿宋_GB2312" w:cs="仿宋_GB2312"/>
                <w:snapToGrid w:val="0"/>
                <w:sz w:val="24"/>
                <w:szCs w:val="24"/>
              </w:rPr>
            </w:pPr>
          </w:p>
        </w:tc>
      </w:tr>
      <w:tr w14:paraId="7DB3C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601" w:type="dxa"/>
            <w:vAlign w:val="center"/>
          </w:tcPr>
          <w:p w14:paraId="2D96C351">
            <w:pPr>
              <w:rPr>
                <w:rFonts w:hint="eastAsia" w:ascii="仿宋_GB2312" w:hAnsi="仿宋_GB2312" w:eastAsia="仿宋_GB2312" w:cs="仿宋_GB2312"/>
                <w:snapToGrid w:val="0"/>
                <w:sz w:val="24"/>
                <w:szCs w:val="24"/>
              </w:rPr>
            </w:pPr>
          </w:p>
        </w:tc>
        <w:tc>
          <w:tcPr>
            <w:tcW w:w="1418" w:type="dxa"/>
            <w:vAlign w:val="center"/>
          </w:tcPr>
          <w:p w14:paraId="290F76BB">
            <w:pPr>
              <w:rPr>
                <w:rFonts w:hint="eastAsia" w:ascii="仿宋_GB2312" w:hAnsi="仿宋_GB2312" w:eastAsia="仿宋_GB2312" w:cs="仿宋_GB2312"/>
                <w:snapToGrid w:val="0"/>
                <w:sz w:val="24"/>
                <w:szCs w:val="24"/>
              </w:rPr>
            </w:pPr>
          </w:p>
        </w:tc>
        <w:tc>
          <w:tcPr>
            <w:tcW w:w="992" w:type="dxa"/>
            <w:vAlign w:val="center"/>
          </w:tcPr>
          <w:p w14:paraId="69F56458">
            <w:pPr>
              <w:rPr>
                <w:rFonts w:hint="eastAsia" w:ascii="仿宋_GB2312" w:hAnsi="仿宋_GB2312" w:eastAsia="仿宋_GB2312" w:cs="仿宋_GB2312"/>
                <w:snapToGrid w:val="0"/>
                <w:sz w:val="24"/>
                <w:szCs w:val="24"/>
              </w:rPr>
            </w:pPr>
          </w:p>
        </w:tc>
        <w:tc>
          <w:tcPr>
            <w:tcW w:w="1098" w:type="dxa"/>
            <w:vAlign w:val="center"/>
          </w:tcPr>
          <w:p w14:paraId="77983E7B">
            <w:pPr>
              <w:rPr>
                <w:rFonts w:hint="eastAsia" w:ascii="仿宋_GB2312" w:hAnsi="仿宋_GB2312" w:eastAsia="仿宋_GB2312" w:cs="仿宋_GB2312"/>
                <w:snapToGrid w:val="0"/>
                <w:sz w:val="24"/>
                <w:szCs w:val="24"/>
              </w:rPr>
            </w:pPr>
          </w:p>
        </w:tc>
        <w:tc>
          <w:tcPr>
            <w:tcW w:w="681" w:type="dxa"/>
            <w:vAlign w:val="center"/>
          </w:tcPr>
          <w:p w14:paraId="28A065E4">
            <w:pPr>
              <w:rPr>
                <w:rFonts w:hint="eastAsia" w:ascii="仿宋_GB2312" w:hAnsi="仿宋_GB2312" w:eastAsia="仿宋_GB2312" w:cs="仿宋_GB2312"/>
                <w:snapToGrid w:val="0"/>
                <w:sz w:val="24"/>
                <w:szCs w:val="24"/>
              </w:rPr>
            </w:pPr>
          </w:p>
        </w:tc>
        <w:tc>
          <w:tcPr>
            <w:tcW w:w="1248" w:type="dxa"/>
            <w:vAlign w:val="center"/>
          </w:tcPr>
          <w:p w14:paraId="03189E5B">
            <w:pPr>
              <w:rPr>
                <w:rFonts w:hint="eastAsia" w:ascii="仿宋_GB2312" w:hAnsi="仿宋_GB2312" w:eastAsia="仿宋_GB2312" w:cs="仿宋_GB2312"/>
                <w:snapToGrid w:val="0"/>
                <w:sz w:val="24"/>
                <w:szCs w:val="24"/>
              </w:rPr>
            </w:pPr>
          </w:p>
        </w:tc>
        <w:tc>
          <w:tcPr>
            <w:tcW w:w="855" w:type="dxa"/>
            <w:vAlign w:val="center"/>
          </w:tcPr>
          <w:p w14:paraId="3C332505">
            <w:pPr>
              <w:rPr>
                <w:rFonts w:hint="eastAsia" w:ascii="仿宋_GB2312" w:hAnsi="仿宋_GB2312" w:eastAsia="仿宋_GB2312" w:cs="仿宋_GB2312"/>
                <w:snapToGrid w:val="0"/>
                <w:sz w:val="24"/>
                <w:szCs w:val="24"/>
              </w:rPr>
            </w:pPr>
          </w:p>
        </w:tc>
        <w:tc>
          <w:tcPr>
            <w:tcW w:w="1221" w:type="dxa"/>
            <w:vAlign w:val="center"/>
          </w:tcPr>
          <w:p w14:paraId="7E570DCD">
            <w:pPr>
              <w:rPr>
                <w:rFonts w:hint="eastAsia" w:ascii="仿宋_GB2312" w:hAnsi="仿宋_GB2312" w:eastAsia="仿宋_GB2312" w:cs="仿宋_GB2312"/>
                <w:snapToGrid w:val="0"/>
                <w:sz w:val="24"/>
                <w:szCs w:val="24"/>
              </w:rPr>
            </w:pPr>
          </w:p>
        </w:tc>
        <w:tc>
          <w:tcPr>
            <w:tcW w:w="1134" w:type="dxa"/>
            <w:vAlign w:val="center"/>
          </w:tcPr>
          <w:p w14:paraId="42241C72">
            <w:pPr>
              <w:rPr>
                <w:rFonts w:hint="eastAsia" w:ascii="仿宋_GB2312" w:hAnsi="仿宋_GB2312" w:eastAsia="仿宋_GB2312" w:cs="仿宋_GB2312"/>
                <w:snapToGrid w:val="0"/>
                <w:sz w:val="24"/>
                <w:szCs w:val="24"/>
              </w:rPr>
            </w:pPr>
          </w:p>
        </w:tc>
      </w:tr>
      <w:tr w14:paraId="42F75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vAlign w:val="center"/>
          </w:tcPr>
          <w:p w14:paraId="5EC4F57A">
            <w:pPr>
              <w:rPr>
                <w:rFonts w:hint="eastAsia" w:ascii="仿宋_GB2312" w:hAnsi="仿宋_GB2312" w:eastAsia="仿宋_GB2312" w:cs="仿宋_GB2312"/>
                <w:snapToGrid w:val="0"/>
                <w:sz w:val="24"/>
                <w:szCs w:val="24"/>
              </w:rPr>
            </w:pPr>
          </w:p>
        </w:tc>
        <w:tc>
          <w:tcPr>
            <w:tcW w:w="1418" w:type="dxa"/>
            <w:vAlign w:val="center"/>
          </w:tcPr>
          <w:p w14:paraId="1B3DDB02">
            <w:pPr>
              <w:rPr>
                <w:rFonts w:hint="eastAsia" w:ascii="仿宋_GB2312" w:hAnsi="仿宋_GB2312" w:eastAsia="仿宋_GB2312" w:cs="仿宋_GB2312"/>
                <w:snapToGrid w:val="0"/>
                <w:sz w:val="24"/>
                <w:szCs w:val="24"/>
              </w:rPr>
            </w:pPr>
          </w:p>
        </w:tc>
        <w:tc>
          <w:tcPr>
            <w:tcW w:w="992" w:type="dxa"/>
            <w:vAlign w:val="center"/>
          </w:tcPr>
          <w:p w14:paraId="3C0989D6">
            <w:pPr>
              <w:rPr>
                <w:rFonts w:hint="eastAsia" w:ascii="仿宋_GB2312" w:hAnsi="仿宋_GB2312" w:eastAsia="仿宋_GB2312" w:cs="仿宋_GB2312"/>
                <w:snapToGrid w:val="0"/>
                <w:sz w:val="24"/>
                <w:szCs w:val="24"/>
              </w:rPr>
            </w:pPr>
          </w:p>
        </w:tc>
        <w:tc>
          <w:tcPr>
            <w:tcW w:w="1098" w:type="dxa"/>
            <w:vAlign w:val="center"/>
          </w:tcPr>
          <w:p w14:paraId="7BF59FFB">
            <w:pPr>
              <w:rPr>
                <w:rFonts w:hint="eastAsia" w:ascii="仿宋_GB2312" w:hAnsi="仿宋_GB2312" w:eastAsia="仿宋_GB2312" w:cs="仿宋_GB2312"/>
                <w:snapToGrid w:val="0"/>
                <w:sz w:val="24"/>
                <w:szCs w:val="24"/>
              </w:rPr>
            </w:pPr>
          </w:p>
        </w:tc>
        <w:tc>
          <w:tcPr>
            <w:tcW w:w="681" w:type="dxa"/>
            <w:vAlign w:val="center"/>
          </w:tcPr>
          <w:p w14:paraId="5A53DD49">
            <w:pPr>
              <w:rPr>
                <w:rFonts w:hint="eastAsia" w:ascii="仿宋_GB2312" w:hAnsi="仿宋_GB2312" w:eastAsia="仿宋_GB2312" w:cs="仿宋_GB2312"/>
                <w:snapToGrid w:val="0"/>
                <w:sz w:val="24"/>
                <w:szCs w:val="24"/>
              </w:rPr>
            </w:pPr>
          </w:p>
        </w:tc>
        <w:tc>
          <w:tcPr>
            <w:tcW w:w="1248" w:type="dxa"/>
            <w:vAlign w:val="center"/>
          </w:tcPr>
          <w:p w14:paraId="1E98EC1C">
            <w:pPr>
              <w:rPr>
                <w:rFonts w:hint="eastAsia" w:ascii="仿宋_GB2312" w:hAnsi="仿宋_GB2312" w:eastAsia="仿宋_GB2312" w:cs="仿宋_GB2312"/>
                <w:snapToGrid w:val="0"/>
                <w:sz w:val="24"/>
                <w:szCs w:val="24"/>
              </w:rPr>
            </w:pPr>
          </w:p>
        </w:tc>
        <w:tc>
          <w:tcPr>
            <w:tcW w:w="855" w:type="dxa"/>
            <w:vAlign w:val="center"/>
          </w:tcPr>
          <w:p w14:paraId="455E168B">
            <w:pPr>
              <w:rPr>
                <w:rFonts w:hint="eastAsia" w:ascii="仿宋_GB2312" w:hAnsi="仿宋_GB2312" w:eastAsia="仿宋_GB2312" w:cs="仿宋_GB2312"/>
                <w:snapToGrid w:val="0"/>
                <w:sz w:val="24"/>
                <w:szCs w:val="24"/>
              </w:rPr>
            </w:pPr>
          </w:p>
        </w:tc>
        <w:tc>
          <w:tcPr>
            <w:tcW w:w="1221" w:type="dxa"/>
            <w:vAlign w:val="center"/>
          </w:tcPr>
          <w:p w14:paraId="300CF657">
            <w:pPr>
              <w:rPr>
                <w:rFonts w:hint="eastAsia" w:ascii="仿宋_GB2312" w:hAnsi="仿宋_GB2312" w:eastAsia="仿宋_GB2312" w:cs="仿宋_GB2312"/>
                <w:snapToGrid w:val="0"/>
                <w:sz w:val="24"/>
                <w:szCs w:val="24"/>
              </w:rPr>
            </w:pPr>
          </w:p>
        </w:tc>
        <w:tc>
          <w:tcPr>
            <w:tcW w:w="1134" w:type="dxa"/>
            <w:vAlign w:val="center"/>
          </w:tcPr>
          <w:p w14:paraId="237E9294">
            <w:pPr>
              <w:rPr>
                <w:rFonts w:hint="eastAsia" w:ascii="仿宋_GB2312" w:hAnsi="仿宋_GB2312" w:eastAsia="仿宋_GB2312" w:cs="仿宋_GB2312"/>
                <w:snapToGrid w:val="0"/>
                <w:sz w:val="24"/>
                <w:szCs w:val="24"/>
              </w:rPr>
            </w:pPr>
          </w:p>
        </w:tc>
      </w:tr>
      <w:tr w14:paraId="26BEE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vAlign w:val="center"/>
          </w:tcPr>
          <w:p w14:paraId="136FA50B">
            <w:pPr>
              <w:rPr>
                <w:rFonts w:hint="eastAsia" w:ascii="仿宋_GB2312" w:hAnsi="仿宋_GB2312" w:eastAsia="仿宋_GB2312" w:cs="仿宋_GB2312"/>
                <w:snapToGrid w:val="0"/>
                <w:sz w:val="24"/>
                <w:szCs w:val="24"/>
              </w:rPr>
            </w:pPr>
          </w:p>
        </w:tc>
        <w:tc>
          <w:tcPr>
            <w:tcW w:w="1418" w:type="dxa"/>
            <w:vAlign w:val="center"/>
          </w:tcPr>
          <w:p w14:paraId="3F41212F">
            <w:pPr>
              <w:rPr>
                <w:rFonts w:hint="eastAsia" w:ascii="仿宋_GB2312" w:hAnsi="仿宋_GB2312" w:eastAsia="仿宋_GB2312" w:cs="仿宋_GB2312"/>
                <w:snapToGrid w:val="0"/>
                <w:sz w:val="24"/>
                <w:szCs w:val="24"/>
              </w:rPr>
            </w:pPr>
          </w:p>
        </w:tc>
        <w:tc>
          <w:tcPr>
            <w:tcW w:w="992" w:type="dxa"/>
            <w:vAlign w:val="center"/>
          </w:tcPr>
          <w:p w14:paraId="25BB00AD">
            <w:pPr>
              <w:rPr>
                <w:rFonts w:hint="eastAsia" w:ascii="仿宋_GB2312" w:hAnsi="仿宋_GB2312" w:eastAsia="仿宋_GB2312" w:cs="仿宋_GB2312"/>
                <w:snapToGrid w:val="0"/>
                <w:sz w:val="24"/>
                <w:szCs w:val="24"/>
              </w:rPr>
            </w:pPr>
          </w:p>
        </w:tc>
        <w:tc>
          <w:tcPr>
            <w:tcW w:w="1098" w:type="dxa"/>
            <w:vAlign w:val="center"/>
          </w:tcPr>
          <w:p w14:paraId="5336BB71">
            <w:pPr>
              <w:rPr>
                <w:rFonts w:hint="eastAsia" w:ascii="仿宋_GB2312" w:hAnsi="仿宋_GB2312" w:eastAsia="仿宋_GB2312" w:cs="仿宋_GB2312"/>
                <w:snapToGrid w:val="0"/>
                <w:sz w:val="24"/>
                <w:szCs w:val="24"/>
              </w:rPr>
            </w:pPr>
          </w:p>
        </w:tc>
        <w:tc>
          <w:tcPr>
            <w:tcW w:w="681" w:type="dxa"/>
            <w:vAlign w:val="center"/>
          </w:tcPr>
          <w:p w14:paraId="3C3B708E">
            <w:pPr>
              <w:rPr>
                <w:rFonts w:hint="eastAsia" w:ascii="仿宋_GB2312" w:hAnsi="仿宋_GB2312" w:eastAsia="仿宋_GB2312" w:cs="仿宋_GB2312"/>
                <w:snapToGrid w:val="0"/>
                <w:sz w:val="24"/>
                <w:szCs w:val="24"/>
              </w:rPr>
            </w:pPr>
          </w:p>
        </w:tc>
        <w:tc>
          <w:tcPr>
            <w:tcW w:w="1248" w:type="dxa"/>
            <w:vAlign w:val="center"/>
          </w:tcPr>
          <w:p w14:paraId="5DD3E02F">
            <w:pPr>
              <w:rPr>
                <w:rFonts w:hint="eastAsia" w:ascii="仿宋_GB2312" w:hAnsi="仿宋_GB2312" w:eastAsia="仿宋_GB2312" w:cs="仿宋_GB2312"/>
                <w:snapToGrid w:val="0"/>
                <w:sz w:val="24"/>
                <w:szCs w:val="24"/>
              </w:rPr>
            </w:pPr>
          </w:p>
        </w:tc>
        <w:tc>
          <w:tcPr>
            <w:tcW w:w="855" w:type="dxa"/>
            <w:vAlign w:val="center"/>
          </w:tcPr>
          <w:p w14:paraId="55A7CBCD">
            <w:pPr>
              <w:rPr>
                <w:rFonts w:hint="eastAsia" w:ascii="仿宋_GB2312" w:hAnsi="仿宋_GB2312" w:eastAsia="仿宋_GB2312" w:cs="仿宋_GB2312"/>
                <w:snapToGrid w:val="0"/>
                <w:sz w:val="24"/>
                <w:szCs w:val="24"/>
              </w:rPr>
            </w:pPr>
          </w:p>
        </w:tc>
        <w:tc>
          <w:tcPr>
            <w:tcW w:w="1221" w:type="dxa"/>
            <w:vAlign w:val="center"/>
          </w:tcPr>
          <w:p w14:paraId="604542DA">
            <w:pPr>
              <w:rPr>
                <w:rFonts w:hint="eastAsia" w:ascii="仿宋_GB2312" w:hAnsi="仿宋_GB2312" w:eastAsia="仿宋_GB2312" w:cs="仿宋_GB2312"/>
                <w:snapToGrid w:val="0"/>
                <w:sz w:val="24"/>
                <w:szCs w:val="24"/>
              </w:rPr>
            </w:pPr>
          </w:p>
        </w:tc>
        <w:tc>
          <w:tcPr>
            <w:tcW w:w="1134" w:type="dxa"/>
            <w:vAlign w:val="center"/>
          </w:tcPr>
          <w:p w14:paraId="6435A825">
            <w:pPr>
              <w:rPr>
                <w:rFonts w:hint="eastAsia" w:ascii="仿宋_GB2312" w:hAnsi="仿宋_GB2312" w:eastAsia="仿宋_GB2312" w:cs="仿宋_GB2312"/>
                <w:snapToGrid w:val="0"/>
                <w:sz w:val="24"/>
                <w:szCs w:val="24"/>
              </w:rPr>
            </w:pPr>
          </w:p>
        </w:tc>
      </w:tr>
      <w:tr w14:paraId="45086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vAlign w:val="center"/>
          </w:tcPr>
          <w:p w14:paraId="104ECBE5">
            <w:pPr>
              <w:rPr>
                <w:rFonts w:hint="eastAsia" w:ascii="仿宋_GB2312" w:hAnsi="仿宋_GB2312" w:eastAsia="仿宋_GB2312" w:cs="仿宋_GB2312"/>
                <w:snapToGrid w:val="0"/>
                <w:sz w:val="24"/>
                <w:szCs w:val="24"/>
              </w:rPr>
            </w:pPr>
          </w:p>
        </w:tc>
        <w:tc>
          <w:tcPr>
            <w:tcW w:w="1418" w:type="dxa"/>
            <w:vAlign w:val="center"/>
          </w:tcPr>
          <w:p w14:paraId="7D9E2D3D">
            <w:pPr>
              <w:rPr>
                <w:rFonts w:hint="eastAsia" w:ascii="仿宋_GB2312" w:hAnsi="仿宋_GB2312" w:eastAsia="仿宋_GB2312" w:cs="仿宋_GB2312"/>
                <w:snapToGrid w:val="0"/>
                <w:sz w:val="24"/>
                <w:szCs w:val="24"/>
              </w:rPr>
            </w:pPr>
          </w:p>
        </w:tc>
        <w:tc>
          <w:tcPr>
            <w:tcW w:w="992" w:type="dxa"/>
            <w:vAlign w:val="center"/>
          </w:tcPr>
          <w:p w14:paraId="0B3CDE50">
            <w:pPr>
              <w:rPr>
                <w:rFonts w:hint="eastAsia" w:ascii="仿宋_GB2312" w:hAnsi="仿宋_GB2312" w:eastAsia="仿宋_GB2312" w:cs="仿宋_GB2312"/>
                <w:snapToGrid w:val="0"/>
                <w:sz w:val="24"/>
                <w:szCs w:val="24"/>
              </w:rPr>
            </w:pPr>
          </w:p>
        </w:tc>
        <w:tc>
          <w:tcPr>
            <w:tcW w:w="1098" w:type="dxa"/>
            <w:vAlign w:val="center"/>
          </w:tcPr>
          <w:p w14:paraId="6DFEFFB8">
            <w:pPr>
              <w:rPr>
                <w:rFonts w:hint="eastAsia" w:ascii="仿宋_GB2312" w:hAnsi="仿宋_GB2312" w:eastAsia="仿宋_GB2312" w:cs="仿宋_GB2312"/>
                <w:snapToGrid w:val="0"/>
                <w:sz w:val="24"/>
                <w:szCs w:val="24"/>
              </w:rPr>
            </w:pPr>
          </w:p>
        </w:tc>
        <w:tc>
          <w:tcPr>
            <w:tcW w:w="681" w:type="dxa"/>
            <w:vAlign w:val="center"/>
          </w:tcPr>
          <w:p w14:paraId="252085D1">
            <w:pPr>
              <w:rPr>
                <w:rFonts w:hint="eastAsia" w:ascii="仿宋_GB2312" w:hAnsi="仿宋_GB2312" w:eastAsia="仿宋_GB2312" w:cs="仿宋_GB2312"/>
                <w:snapToGrid w:val="0"/>
                <w:sz w:val="24"/>
                <w:szCs w:val="24"/>
              </w:rPr>
            </w:pPr>
          </w:p>
        </w:tc>
        <w:tc>
          <w:tcPr>
            <w:tcW w:w="1248" w:type="dxa"/>
            <w:vAlign w:val="center"/>
          </w:tcPr>
          <w:p w14:paraId="7C3F6DCA">
            <w:pPr>
              <w:rPr>
                <w:rFonts w:hint="eastAsia" w:ascii="仿宋_GB2312" w:hAnsi="仿宋_GB2312" w:eastAsia="仿宋_GB2312" w:cs="仿宋_GB2312"/>
                <w:snapToGrid w:val="0"/>
                <w:sz w:val="24"/>
                <w:szCs w:val="24"/>
              </w:rPr>
            </w:pPr>
          </w:p>
        </w:tc>
        <w:tc>
          <w:tcPr>
            <w:tcW w:w="855" w:type="dxa"/>
            <w:vAlign w:val="center"/>
          </w:tcPr>
          <w:p w14:paraId="68153D52">
            <w:pPr>
              <w:rPr>
                <w:rFonts w:hint="eastAsia" w:ascii="仿宋_GB2312" w:hAnsi="仿宋_GB2312" w:eastAsia="仿宋_GB2312" w:cs="仿宋_GB2312"/>
                <w:snapToGrid w:val="0"/>
                <w:sz w:val="24"/>
                <w:szCs w:val="24"/>
              </w:rPr>
            </w:pPr>
          </w:p>
        </w:tc>
        <w:tc>
          <w:tcPr>
            <w:tcW w:w="1221" w:type="dxa"/>
            <w:vAlign w:val="center"/>
          </w:tcPr>
          <w:p w14:paraId="05CEDAF1">
            <w:pPr>
              <w:rPr>
                <w:rFonts w:hint="eastAsia" w:ascii="仿宋_GB2312" w:hAnsi="仿宋_GB2312" w:eastAsia="仿宋_GB2312" w:cs="仿宋_GB2312"/>
                <w:snapToGrid w:val="0"/>
                <w:sz w:val="24"/>
                <w:szCs w:val="24"/>
              </w:rPr>
            </w:pPr>
          </w:p>
        </w:tc>
        <w:tc>
          <w:tcPr>
            <w:tcW w:w="1134" w:type="dxa"/>
            <w:vAlign w:val="center"/>
          </w:tcPr>
          <w:p w14:paraId="4609CAA4">
            <w:pPr>
              <w:rPr>
                <w:rFonts w:hint="eastAsia" w:ascii="仿宋_GB2312" w:hAnsi="仿宋_GB2312" w:eastAsia="仿宋_GB2312" w:cs="仿宋_GB2312"/>
                <w:snapToGrid w:val="0"/>
                <w:sz w:val="24"/>
                <w:szCs w:val="24"/>
              </w:rPr>
            </w:pPr>
          </w:p>
        </w:tc>
      </w:tr>
      <w:tr w14:paraId="6A550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601" w:type="dxa"/>
            <w:vAlign w:val="center"/>
          </w:tcPr>
          <w:p w14:paraId="4E0B102A">
            <w:pPr>
              <w:rPr>
                <w:rFonts w:hint="eastAsia" w:ascii="仿宋_GB2312" w:hAnsi="仿宋_GB2312" w:eastAsia="仿宋_GB2312" w:cs="仿宋_GB2312"/>
                <w:snapToGrid w:val="0"/>
                <w:sz w:val="24"/>
                <w:szCs w:val="24"/>
              </w:rPr>
            </w:pPr>
          </w:p>
        </w:tc>
        <w:tc>
          <w:tcPr>
            <w:tcW w:w="1418" w:type="dxa"/>
            <w:vAlign w:val="center"/>
          </w:tcPr>
          <w:p w14:paraId="3102D219">
            <w:pPr>
              <w:rPr>
                <w:rFonts w:hint="eastAsia" w:ascii="仿宋_GB2312" w:hAnsi="仿宋_GB2312" w:eastAsia="仿宋_GB2312" w:cs="仿宋_GB2312"/>
                <w:snapToGrid w:val="0"/>
                <w:sz w:val="24"/>
                <w:szCs w:val="24"/>
              </w:rPr>
            </w:pPr>
          </w:p>
        </w:tc>
        <w:tc>
          <w:tcPr>
            <w:tcW w:w="992" w:type="dxa"/>
            <w:vAlign w:val="center"/>
          </w:tcPr>
          <w:p w14:paraId="0BA1F31A">
            <w:pPr>
              <w:rPr>
                <w:rFonts w:hint="eastAsia" w:ascii="仿宋_GB2312" w:hAnsi="仿宋_GB2312" w:eastAsia="仿宋_GB2312" w:cs="仿宋_GB2312"/>
                <w:snapToGrid w:val="0"/>
                <w:sz w:val="24"/>
                <w:szCs w:val="24"/>
              </w:rPr>
            </w:pPr>
          </w:p>
        </w:tc>
        <w:tc>
          <w:tcPr>
            <w:tcW w:w="1098" w:type="dxa"/>
            <w:vAlign w:val="center"/>
          </w:tcPr>
          <w:p w14:paraId="3E95BB79">
            <w:pPr>
              <w:rPr>
                <w:rFonts w:hint="eastAsia" w:ascii="仿宋_GB2312" w:hAnsi="仿宋_GB2312" w:eastAsia="仿宋_GB2312" w:cs="仿宋_GB2312"/>
                <w:snapToGrid w:val="0"/>
                <w:sz w:val="24"/>
                <w:szCs w:val="24"/>
              </w:rPr>
            </w:pPr>
          </w:p>
        </w:tc>
        <w:tc>
          <w:tcPr>
            <w:tcW w:w="681" w:type="dxa"/>
            <w:vAlign w:val="center"/>
          </w:tcPr>
          <w:p w14:paraId="5EC3768A">
            <w:pPr>
              <w:rPr>
                <w:rFonts w:hint="eastAsia" w:ascii="仿宋_GB2312" w:hAnsi="仿宋_GB2312" w:eastAsia="仿宋_GB2312" w:cs="仿宋_GB2312"/>
                <w:snapToGrid w:val="0"/>
                <w:sz w:val="24"/>
                <w:szCs w:val="24"/>
              </w:rPr>
            </w:pPr>
          </w:p>
        </w:tc>
        <w:tc>
          <w:tcPr>
            <w:tcW w:w="1248" w:type="dxa"/>
            <w:vAlign w:val="center"/>
          </w:tcPr>
          <w:p w14:paraId="73F471F9">
            <w:pPr>
              <w:rPr>
                <w:rFonts w:hint="eastAsia" w:ascii="仿宋_GB2312" w:hAnsi="仿宋_GB2312" w:eastAsia="仿宋_GB2312" w:cs="仿宋_GB2312"/>
                <w:snapToGrid w:val="0"/>
                <w:sz w:val="24"/>
                <w:szCs w:val="24"/>
              </w:rPr>
            </w:pPr>
          </w:p>
        </w:tc>
        <w:tc>
          <w:tcPr>
            <w:tcW w:w="855" w:type="dxa"/>
            <w:vAlign w:val="center"/>
          </w:tcPr>
          <w:p w14:paraId="49F9CF8B">
            <w:pPr>
              <w:rPr>
                <w:rFonts w:hint="eastAsia" w:ascii="仿宋_GB2312" w:hAnsi="仿宋_GB2312" w:eastAsia="仿宋_GB2312" w:cs="仿宋_GB2312"/>
                <w:snapToGrid w:val="0"/>
                <w:sz w:val="24"/>
                <w:szCs w:val="24"/>
              </w:rPr>
            </w:pPr>
          </w:p>
        </w:tc>
        <w:tc>
          <w:tcPr>
            <w:tcW w:w="1221" w:type="dxa"/>
            <w:vAlign w:val="center"/>
          </w:tcPr>
          <w:p w14:paraId="59149203">
            <w:pPr>
              <w:rPr>
                <w:rFonts w:hint="eastAsia" w:ascii="仿宋_GB2312" w:hAnsi="仿宋_GB2312" w:eastAsia="仿宋_GB2312" w:cs="仿宋_GB2312"/>
                <w:snapToGrid w:val="0"/>
                <w:sz w:val="24"/>
                <w:szCs w:val="24"/>
              </w:rPr>
            </w:pPr>
          </w:p>
        </w:tc>
        <w:tc>
          <w:tcPr>
            <w:tcW w:w="1134" w:type="dxa"/>
            <w:vAlign w:val="center"/>
          </w:tcPr>
          <w:p w14:paraId="73E037C4">
            <w:pPr>
              <w:rPr>
                <w:rFonts w:hint="eastAsia" w:ascii="仿宋_GB2312" w:hAnsi="仿宋_GB2312" w:eastAsia="仿宋_GB2312" w:cs="仿宋_GB2312"/>
                <w:snapToGrid w:val="0"/>
                <w:sz w:val="24"/>
                <w:szCs w:val="24"/>
              </w:rPr>
            </w:pPr>
          </w:p>
        </w:tc>
      </w:tr>
      <w:tr w14:paraId="74659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vAlign w:val="center"/>
          </w:tcPr>
          <w:p w14:paraId="39736309">
            <w:pPr>
              <w:rPr>
                <w:rFonts w:hint="eastAsia" w:ascii="仿宋_GB2312" w:hAnsi="仿宋_GB2312" w:eastAsia="仿宋_GB2312" w:cs="仿宋_GB2312"/>
                <w:snapToGrid w:val="0"/>
                <w:sz w:val="24"/>
                <w:szCs w:val="24"/>
              </w:rPr>
            </w:pPr>
          </w:p>
        </w:tc>
        <w:tc>
          <w:tcPr>
            <w:tcW w:w="1418" w:type="dxa"/>
            <w:vAlign w:val="center"/>
          </w:tcPr>
          <w:p w14:paraId="3A4C87F1">
            <w:pPr>
              <w:rPr>
                <w:rFonts w:hint="eastAsia" w:ascii="仿宋_GB2312" w:hAnsi="仿宋_GB2312" w:eastAsia="仿宋_GB2312" w:cs="仿宋_GB2312"/>
                <w:snapToGrid w:val="0"/>
                <w:sz w:val="24"/>
                <w:szCs w:val="24"/>
              </w:rPr>
            </w:pPr>
          </w:p>
        </w:tc>
        <w:tc>
          <w:tcPr>
            <w:tcW w:w="992" w:type="dxa"/>
            <w:vAlign w:val="center"/>
          </w:tcPr>
          <w:p w14:paraId="41D94EDC">
            <w:pPr>
              <w:rPr>
                <w:rFonts w:hint="eastAsia" w:ascii="仿宋_GB2312" w:hAnsi="仿宋_GB2312" w:eastAsia="仿宋_GB2312" w:cs="仿宋_GB2312"/>
                <w:snapToGrid w:val="0"/>
                <w:sz w:val="24"/>
                <w:szCs w:val="24"/>
              </w:rPr>
            </w:pPr>
          </w:p>
        </w:tc>
        <w:tc>
          <w:tcPr>
            <w:tcW w:w="1098" w:type="dxa"/>
            <w:vAlign w:val="center"/>
          </w:tcPr>
          <w:p w14:paraId="0C14CDAC">
            <w:pPr>
              <w:rPr>
                <w:rFonts w:hint="eastAsia" w:ascii="仿宋_GB2312" w:hAnsi="仿宋_GB2312" w:eastAsia="仿宋_GB2312" w:cs="仿宋_GB2312"/>
                <w:snapToGrid w:val="0"/>
                <w:sz w:val="24"/>
                <w:szCs w:val="24"/>
              </w:rPr>
            </w:pPr>
          </w:p>
        </w:tc>
        <w:tc>
          <w:tcPr>
            <w:tcW w:w="681" w:type="dxa"/>
            <w:vAlign w:val="center"/>
          </w:tcPr>
          <w:p w14:paraId="7CD5C6A5">
            <w:pPr>
              <w:rPr>
                <w:rFonts w:hint="eastAsia" w:ascii="仿宋_GB2312" w:hAnsi="仿宋_GB2312" w:eastAsia="仿宋_GB2312" w:cs="仿宋_GB2312"/>
                <w:snapToGrid w:val="0"/>
                <w:sz w:val="24"/>
                <w:szCs w:val="24"/>
              </w:rPr>
            </w:pPr>
          </w:p>
        </w:tc>
        <w:tc>
          <w:tcPr>
            <w:tcW w:w="1248" w:type="dxa"/>
            <w:vAlign w:val="center"/>
          </w:tcPr>
          <w:p w14:paraId="71264D58">
            <w:pPr>
              <w:rPr>
                <w:rFonts w:hint="eastAsia" w:ascii="仿宋_GB2312" w:hAnsi="仿宋_GB2312" w:eastAsia="仿宋_GB2312" w:cs="仿宋_GB2312"/>
                <w:snapToGrid w:val="0"/>
                <w:sz w:val="24"/>
                <w:szCs w:val="24"/>
              </w:rPr>
            </w:pPr>
          </w:p>
        </w:tc>
        <w:tc>
          <w:tcPr>
            <w:tcW w:w="855" w:type="dxa"/>
            <w:vAlign w:val="center"/>
          </w:tcPr>
          <w:p w14:paraId="72DED03A">
            <w:pPr>
              <w:rPr>
                <w:rFonts w:hint="eastAsia" w:ascii="仿宋_GB2312" w:hAnsi="仿宋_GB2312" w:eastAsia="仿宋_GB2312" w:cs="仿宋_GB2312"/>
                <w:snapToGrid w:val="0"/>
                <w:sz w:val="24"/>
                <w:szCs w:val="24"/>
              </w:rPr>
            </w:pPr>
          </w:p>
        </w:tc>
        <w:tc>
          <w:tcPr>
            <w:tcW w:w="1221" w:type="dxa"/>
            <w:vAlign w:val="center"/>
          </w:tcPr>
          <w:p w14:paraId="692E7D52">
            <w:pPr>
              <w:rPr>
                <w:rFonts w:hint="eastAsia" w:ascii="仿宋_GB2312" w:hAnsi="仿宋_GB2312" w:eastAsia="仿宋_GB2312" w:cs="仿宋_GB2312"/>
                <w:snapToGrid w:val="0"/>
                <w:sz w:val="24"/>
                <w:szCs w:val="24"/>
              </w:rPr>
            </w:pPr>
          </w:p>
        </w:tc>
        <w:tc>
          <w:tcPr>
            <w:tcW w:w="1134" w:type="dxa"/>
            <w:vAlign w:val="center"/>
          </w:tcPr>
          <w:p w14:paraId="6451F07F">
            <w:pPr>
              <w:rPr>
                <w:rFonts w:hint="eastAsia" w:ascii="仿宋_GB2312" w:hAnsi="仿宋_GB2312" w:eastAsia="仿宋_GB2312" w:cs="仿宋_GB2312"/>
                <w:snapToGrid w:val="0"/>
                <w:sz w:val="24"/>
                <w:szCs w:val="24"/>
              </w:rPr>
            </w:pPr>
          </w:p>
        </w:tc>
      </w:tr>
      <w:tr w14:paraId="6562A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vAlign w:val="center"/>
          </w:tcPr>
          <w:p w14:paraId="57B218CA">
            <w:pPr>
              <w:rPr>
                <w:rFonts w:hint="eastAsia" w:ascii="仿宋_GB2312" w:hAnsi="仿宋_GB2312" w:eastAsia="仿宋_GB2312" w:cs="仿宋_GB2312"/>
                <w:snapToGrid w:val="0"/>
                <w:sz w:val="24"/>
                <w:szCs w:val="24"/>
              </w:rPr>
            </w:pPr>
          </w:p>
        </w:tc>
        <w:tc>
          <w:tcPr>
            <w:tcW w:w="1418" w:type="dxa"/>
            <w:vAlign w:val="center"/>
          </w:tcPr>
          <w:p w14:paraId="4E2E9E52">
            <w:pPr>
              <w:rPr>
                <w:rFonts w:hint="eastAsia" w:ascii="仿宋_GB2312" w:hAnsi="仿宋_GB2312" w:eastAsia="仿宋_GB2312" w:cs="仿宋_GB2312"/>
                <w:snapToGrid w:val="0"/>
                <w:sz w:val="24"/>
                <w:szCs w:val="24"/>
              </w:rPr>
            </w:pPr>
          </w:p>
        </w:tc>
        <w:tc>
          <w:tcPr>
            <w:tcW w:w="992" w:type="dxa"/>
            <w:vAlign w:val="center"/>
          </w:tcPr>
          <w:p w14:paraId="312A2827">
            <w:pPr>
              <w:rPr>
                <w:rFonts w:hint="eastAsia" w:ascii="仿宋_GB2312" w:hAnsi="仿宋_GB2312" w:eastAsia="仿宋_GB2312" w:cs="仿宋_GB2312"/>
                <w:snapToGrid w:val="0"/>
                <w:sz w:val="24"/>
                <w:szCs w:val="24"/>
              </w:rPr>
            </w:pPr>
          </w:p>
        </w:tc>
        <w:tc>
          <w:tcPr>
            <w:tcW w:w="1098" w:type="dxa"/>
            <w:vAlign w:val="center"/>
          </w:tcPr>
          <w:p w14:paraId="1A384847">
            <w:pPr>
              <w:rPr>
                <w:rFonts w:hint="eastAsia" w:ascii="仿宋_GB2312" w:hAnsi="仿宋_GB2312" w:eastAsia="仿宋_GB2312" w:cs="仿宋_GB2312"/>
                <w:snapToGrid w:val="0"/>
                <w:sz w:val="24"/>
                <w:szCs w:val="24"/>
              </w:rPr>
            </w:pPr>
          </w:p>
        </w:tc>
        <w:tc>
          <w:tcPr>
            <w:tcW w:w="681" w:type="dxa"/>
            <w:vAlign w:val="center"/>
          </w:tcPr>
          <w:p w14:paraId="13CE63E9">
            <w:pPr>
              <w:rPr>
                <w:rFonts w:hint="eastAsia" w:ascii="仿宋_GB2312" w:hAnsi="仿宋_GB2312" w:eastAsia="仿宋_GB2312" w:cs="仿宋_GB2312"/>
                <w:snapToGrid w:val="0"/>
                <w:sz w:val="24"/>
                <w:szCs w:val="24"/>
              </w:rPr>
            </w:pPr>
          </w:p>
        </w:tc>
        <w:tc>
          <w:tcPr>
            <w:tcW w:w="1248" w:type="dxa"/>
            <w:vAlign w:val="center"/>
          </w:tcPr>
          <w:p w14:paraId="5F9E2EE0">
            <w:pPr>
              <w:rPr>
                <w:rFonts w:hint="eastAsia" w:ascii="仿宋_GB2312" w:hAnsi="仿宋_GB2312" w:eastAsia="仿宋_GB2312" w:cs="仿宋_GB2312"/>
                <w:snapToGrid w:val="0"/>
                <w:sz w:val="24"/>
                <w:szCs w:val="24"/>
              </w:rPr>
            </w:pPr>
          </w:p>
        </w:tc>
        <w:tc>
          <w:tcPr>
            <w:tcW w:w="855" w:type="dxa"/>
            <w:vAlign w:val="center"/>
          </w:tcPr>
          <w:p w14:paraId="3823E3E1">
            <w:pPr>
              <w:rPr>
                <w:rFonts w:hint="eastAsia" w:ascii="仿宋_GB2312" w:hAnsi="仿宋_GB2312" w:eastAsia="仿宋_GB2312" w:cs="仿宋_GB2312"/>
                <w:snapToGrid w:val="0"/>
                <w:sz w:val="24"/>
                <w:szCs w:val="24"/>
              </w:rPr>
            </w:pPr>
          </w:p>
        </w:tc>
        <w:tc>
          <w:tcPr>
            <w:tcW w:w="1221" w:type="dxa"/>
            <w:vAlign w:val="center"/>
          </w:tcPr>
          <w:p w14:paraId="51C1FC1C">
            <w:pPr>
              <w:rPr>
                <w:rFonts w:hint="eastAsia" w:ascii="仿宋_GB2312" w:hAnsi="仿宋_GB2312" w:eastAsia="仿宋_GB2312" w:cs="仿宋_GB2312"/>
                <w:snapToGrid w:val="0"/>
                <w:sz w:val="24"/>
                <w:szCs w:val="24"/>
              </w:rPr>
            </w:pPr>
          </w:p>
        </w:tc>
        <w:tc>
          <w:tcPr>
            <w:tcW w:w="1134" w:type="dxa"/>
            <w:vAlign w:val="center"/>
          </w:tcPr>
          <w:p w14:paraId="722FCD44">
            <w:pPr>
              <w:rPr>
                <w:rFonts w:hint="eastAsia" w:ascii="仿宋_GB2312" w:hAnsi="仿宋_GB2312" w:eastAsia="仿宋_GB2312" w:cs="仿宋_GB2312"/>
                <w:snapToGrid w:val="0"/>
                <w:sz w:val="24"/>
                <w:szCs w:val="24"/>
              </w:rPr>
            </w:pPr>
          </w:p>
        </w:tc>
      </w:tr>
      <w:tr w14:paraId="0D716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601" w:type="dxa"/>
            <w:vAlign w:val="center"/>
          </w:tcPr>
          <w:p w14:paraId="7606C70B">
            <w:pPr>
              <w:rPr>
                <w:rFonts w:hint="eastAsia" w:ascii="仿宋_GB2312" w:hAnsi="仿宋_GB2312" w:eastAsia="仿宋_GB2312" w:cs="仿宋_GB2312"/>
                <w:snapToGrid w:val="0"/>
                <w:sz w:val="24"/>
                <w:szCs w:val="24"/>
              </w:rPr>
            </w:pPr>
          </w:p>
        </w:tc>
        <w:tc>
          <w:tcPr>
            <w:tcW w:w="1418" w:type="dxa"/>
            <w:vAlign w:val="center"/>
          </w:tcPr>
          <w:p w14:paraId="6D014EF7">
            <w:pPr>
              <w:rPr>
                <w:rFonts w:hint="eastAsia" w:ascii="仿宋_GB2312" w:hAnsi="仿宋_GB2312" w:eastAsia="仿宋_GB2312" w:cs="仿宋_GB2312"/>
                <w:snapToGrid w:val="0"/>
                <w:sz w:val="24"/>
                <w:szCs w:val="24"/>
              </w:rPr>
            </w:pPr>
          </w:p>
        </w:tc>
        <w:tc>
          <w:tcPr>
            <w:tcW w:w="992" w:type="dxa"/>
            <w:vAlign w:val="center"/>
          </w:tcPr>
          <w:p w14:paraId="1E3DBC48">
            <w:pPr>
              <w:rPr>
                <w:rFonts w:hint="eastAsia" w:ascii="仿宋_GB2312" w:hAnsi="仿宋_GB2312" w:eastAsia="仿宋_GB2312" w:cs="仿宋_GB2312"/>
                <w:snapToGrid w:val="0"/>
                <w:sz w:val="24"/>
                <w:szCs w:val="24"/>
              </w:rPr>
            </w:pPr>
          </w:p>
        </w:tc>
        <w:tc>
          <w:tcPr>
            <w:tcW w:w="1098" w:type="dxa"/>
            <w:vAlign w:val="center"/>
          </w:tcPr>
          <w:p w14:paraId="4E8E040B">
            <w:pPr>
              <w:rPr>
                <w:rFonts w:hint="eastAsia" w:ascii="仿宋_GB2312" w:hAnsi="仿宋_GB2312" w:eastAsia="仿宋_GB2312" w:cs="仿宋_GB2312"/>
                <w:snapToGrid w:val="0"/>
                <w:sz w:val="24"/>
                <w:szCs w:val="24"/>
              </w:rPr>
            </w:pPr>
          </w:p>
        </w:tc>
        <w:tc>
          <w:tcPr>
            <w:tcW w:w="681" w:type="dxa"/>
            <w:vAlign w:val="center"/>
          </w:tcPr>
          <w:p w14:paraId="5FFEE0DD">
            <w:pPr>
              <w:rPr>
                <w:rFonts w:hint="eastAsia" w:ascii="仿宋_GB2312" w:hAnsi="仿宋_GB2312" w:eastAsia="仿宋_GB2312" w:cs="仿宋_GB2312"/>
                <w:snapToGrid w:val="0"/>
                <w:sz w:val="24"/>
                <w:szCs w:val="24"/>
              </w:rPr>
            </w:pPr>
          </w:p>
        </w:tc>
        <w:tc>
          <w:tcPr>
            <w:tcW w:w="1248" w:type="dxa"/>
            <w:vAlign w:val="center"/>
          </w:tcPr>
          <w:p w14:paraId="4A7453E6">
            <w:pPr>
              <w:rPr>
                <w:rFonts w:hint="eastAsia" w:ascii="仿宋_GB2312" w:hAnsi="仿宋_GB2312" w:eastAsia="仿宋_GB2312" w:cs="仿宋_GB2312"/>
                <w:snapToGrid w:val="0"/>
                <w:sz w:val="24"/>
                <w:szCs w:val="24"/>
              </w:rPr>
            </w:pPr>
          </w:p>
        </w:tc>
        <w:tc>
          <w:tcPr>
            <w:tcW w:w="855" w:type="dxa"/>
            <w:vAlign w:val="center"/>
          </w:tcPr>
          <w:p w14:paraId="497310CB">
            <w:pPr>
              <w:rPr>
                <w:rFonts w:hint="eastAsia" w:ascii="仿宋_GB2312" w:hAnsi="仿宋_GB2312" w:eastAsia="仿宋_GB2312" w:cs="仿宋_GB2312"/>
                <w:snapToGrid w:val="0"/>
                <w:sz w:val="24"/>
                <w:szCs w:val="24"/>
              </w:rPr>
            </w:pPr>
          </w:p>
        </w:tc>
        <w:tc>
          <w:tcPr>
            <w:tcW w:w="1221" w:type="dxa"/>
            <w:vAlign w:val="center"/>
          </w:tcPr>
          <w:p w14:paraId="3F1CD68C">
            <w:pPr>
              <w:rPr>
                <w:rFonts w:hint="eastAsia" w:ascii="仿宋_GB2312" w:hAnsi="仿宋_GB2312" w:eastAsia="仿宋_GB2312" w:cs="仿宋_GB2312"/>
                <w:snapToGrid w:val="0"/>
                <w:sz w:val="24"/>
                <w:szCs w:val="24"/>
              </w:rPr>
            </w:pPr>
          </w:p>
        </w:tc>
        <w:tc>
          <w:tcPr>
            <w:tcW w:w="1134" w:type="dxa"/>
            <w:vAlign w:val="center"/>
          </w:tcPr>
          <w:p w14:paraId="3BA84032">
            <w:pPr>
              <w:rPr>
                <w:rFonts w:hint="eastAsia" w:ascii="仿宋_GB2312" w:hAnsi="仿宋_GB2312" w:eastAsia="仿宋_GB2312" w:cs="仿宋_GB2312"/>
                <w:snapToGrid w:val="0"/>
                <w:sz w:val="24"/>
                <w:szCs w:val="24"/>
              </w:rPr>
            </w:pPr>
          </w:p>
        </w:tc>
      </w:tr>
    </w:tbl>
    <w:p w14:paraId="5F33683D">
      <w:pPr>
        <w:rPr>
          <w:rFonts w:hint="eastAsia" w:ascii="Times New Roman" w:hAnsi="Times New Roman" w:cs="Times New Roman"/>
          <w:b/>
          <w:snapToGrid w:val="0"/>
        </w:rPr>
      </w:pPr>
    </w:p>
    <w:p w14:paraId="22707B4D">
      <w:pPr>
        <w:pStyle w:val="5"/>
        <w:ind w:firstLine="480"/>
        <w:jc w:val="left"/>
        <w:rPr>
          <w:rFonts w:hint="eastAsia" w:ascii="仿宋_GB2312" w:hAnsi="仿宋_GB2312" w:eastAsia="仿宋_GB2312" w:cs="仿宋_GB2312"/>
          <w:b/>
          <w:bCs/>
          <w:snapToGrid w:val="0"/>
          <w:sz w:val="32"/>
          <w:szCs w:val="32"/>
        </w:rPr>
      </w:pPr>
      <w:r>
        <w:rPr>
          <w:rFonts w:hint="eastAsia" w:ascii="仿宋_GB2312" w:hAnsi="仿宋_GB2312" w:eastAsia="仿宋_GB2312" w:cs="仿宋_GB2312"/>
          <w:b/>
          <w:bCs/>
          <w:snapToGrid w:val="0"/>
          <w:sz w:val="32"/>
          <w:szCs w:val="32"/>
        </w:rPr>
        <w:t>(五)</w:t>
      </w:r>
      <w:r>
        <w:rPr>
          <w:rFonts w:hint="eastAsia" w:ascii="仿宋_GB2312" w:hAnsi="仿宋_GB2312" w:eastAsia="仿宋_GB2312" w:cs="仿宋_GB2312"/>
          <w:b/>
          <w:bCs/>
          <w:sz w:val="32"/>
          <w:szCs w:val="32"/>
        </w:rPr>
        <w:t xml:space="preserve"> </w:t>
      </w:r>
      <w:r>
        <w:rPr>
          <w:rFonts w:hint="eastAsia" w:ascii="仿宋_GB2312" w:hAnsi="仿宋_GB2312" w:eastAsia="仿宋_GB2312" w:cs="仿宋_GB2312"/>
          <w:b/>
          <w:bCs/>
          <w:snapToGrid w:val="0"/>
          <w:sz w:val="32"/>
          <w:szCs w:val="32"/>
        </w:rPr>
        <w:t>主要人员简历表</w:t>
      </w:r>
    </w:p>
    <w:p w14:paraId="55679BF1">
      <w:pPr>
        <w:rPr>
          <w:rFonts w:ascii="Times New Roman" w:hAnsi="Times New Roman" w:cs="Times New Roman"/>
          <w:snapToGrid w:val="0"/>
        </w:rPr>
      </w:pPr>
    </w:p>
    <w:tbl>
      <w:tblPr>
        <w:tblStyle w:val="33"/>
        <w:tblW w:w="0" w:type="auto"/>
        <w:tblInd w:w="4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7"/>
        <w:gridCol w:w="297"/>
        <w:gridCol w:w="749"/>
        <w:gridCol w:w="960"/>
        <w:gridCol w:w="1066"/>
        <w:gridCol w:w="653"/>
        <w:gridCol w:w="1257"/>
        <w:gridCol w:w="461"/>
        <w:gridCol w:w="2477"/>
      </w:tblGrid>
      <w:tr w14:paraId="546E7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trPr>
        <w:tc>
          <w:tcPr>
            <w:tcW w:w="1287" w:type="dxa"/>
            <w:vAlign w:val="center"/>
          </w:tcPr>
          <w:p w14:paraId="1F241417">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姓名</w:t>
            </w:r>
          </w:p>
        </w:tc>
        <w:tc>
          <w:tcPr>
            <w:tcW w:w="1046" w:type="dxa"/>
            <w:gridSpan w:val="2"/>
            <w:vAlign w:val="center"/>
          </w:tcPr>
          <w:p w14:paraId="082832DF">
            <w:pPr>
              <w:rPr>
                <w:rFonts w:hint="eastAsia" w:ascii="仿宋_GB2312" w:hAnsi="仿宋_GB2312" w:eastAsia="仿宋_GB2312" w:cs="仿宋_GB2312"/>
                <w:snapToGrid w:val="0"/>
                <w:sz w:val="24"/>
                <w:szCs w:val="24"/>
              </w:rPr>
            </w:pPr>
          </w:p>
        </w:tc>
        <w:tc>
          <w:tcPr>
            <w:tcW w:w="960" w:type="dxa"/>
            <w:vAlign w:val="center"/>
          </w:tcPr>
          <w:p w14:paraId="27C34AA6">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年龄</w:t>
            </w:r>
          </w:p>
        </w:tc>
        <w:tc>
          <w:tcPr>
            <w:tcW w:w="1066" w:type="dxa"/>
            <w:vAlign w:val="center"/>
          </w:tcPr>
          <w:p w14:paraId="2AFA053B">
            <w:pPr>
              <w:rPr>
                <w:rFonts w:hint="eastAsia" w:ascii="仿宋_GB2312" w:hAnsi="仿宋_GB2312" w:eastAsia="仿宋_GB2312" w:cs="仿宋_GB2312"/>
                <w:snapToGrid w:val="0"/>
                <w:sz w:val="24"/>
                <w:szCs w:val="24"/>
              </w:rPr>
            </w:pPr>
          </w:p>
        </w:tc>
        <w:tc>
          <w:tcPr>
            <w:tcW w:w="2371" w:type="dxa"/>
            <w:gridSpan w:val="3"/>
            <w:vAlign w:val="center"/>
          </w:tcPr>
          <w:p w14:paraId="19F84BF3">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执业或职业资格</w:t>
            </w:r>
          </w:p>
          <w:p w14:paraId="73C062F1">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证书名称和证号</w:t>
            </w:r>
          </w:p>
        </w:tc>
        <w:tc>
          <w:tcPr>
            <w:tcW w:w="2477" w:type="dxa"/>
            <w:vAlign w:val="center"/>
          </w:tcPr>
          <w:p w14:paraId="1ABD7DDA">
            <w:pPr>
              <w:rPr>
                <w:rFonts w:hint="eastAsia" w:ascii="仿宋_GB2312" w:hAnsi="仿宋_GB2312" w:eastAsia="仿宋_GB2312" w:cs="仿宋_GB2312"/>
                <w:snapToGrid w:val="0"/>
                <w:sz w:val="24"/>
                <w:szCs w:val="24"/>
              </w:rPr>
            </w:pPr>
          </w:p>
        </w:tc>
      </w:tr>
      <w:tr w14:paraId="7A296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287" w:type="dxa"/>
            <w:vAlign w:val="center"/>
          </w:tcPr>
          <w:p w14:paraId="0F2DB6A2">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职称</w:t>
            </w:r>
          </w:p>
        </w:tc>
        <w:tc>
          <w:tcPr>
            <w:tcW w:w="1046" w:type="dxa"/>
            <w:gridSpan w:val="2"/>
            <w:vAlign w:val="center"/>
          </w:tcPr>
          <w:p w14:paraId="6EB7989B">
            <w:pPr>
              <w:rPr>
                <w:rFonts w:hint="eastAsia" w:ascii="仿宋_GB2312" w:hAnsi="仿宋_GB2312" w:eastAsia="仿宋_GB2312" w:cs="仿宋_GB2312"/>
                <w:snapToGrid w:val="0"/>
                <w:sz w:val="24"/>
                <w:szCs w:val="24"/>
              </w:rPr>
            </w:pPr>
          </w:p>
        </w:tc>
        <w:tc>
          <w:tcPr>
            <w:tcW w:w="960" w:type="dxa"/>
            <w:vAlign w:val="center"/>
          </w:tcPr>
          <w:p w14:paraId="5DB4CE2D">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学历</w:t>
            </w:r>
          </w:p>
        </w:tc>
        <w:tc>
          <w:tcPr>
            <w:tcW w:w="1066" w:type="dxa"/>
            <w:vAlign w:val="center"/>
          </w:tcPr>
          <w:p w14:paraId="04B62ECE">
            <w:pPr>
              <w:rPr>
                <w:rFonts w:hint="eastAsia" w:ascii="仿宋_GB2312" w:hAnsi="仿宋_GB2312" w:eastAsia="仿宋_GB2312" w:cs="仿宋_GB2312"/>
                <w:snapToGrid w:val="0"/>
                <w:sz w:val="24"/>
                <w:szCs w:val="24"/>
              </w:rPr>
            </w:pPr>
          </w:p>
        </w:tc>
        <w:tc>
          <w:tcPr>
            <w:tcW w:w="2371" w:type="dxa"/>
            <w:gridSpan w:val="3"/>
            <w:vAlign w:val="center"/>
          </w:tcPr>
          <w:p w14:paraId="3274E88B">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拟在本项目任职</w:t>
            </w:r>
          </w:p>
        </w:tc>
        <w:tc>
          <w:tcPr>
            <w:tcW w:w="2477" w:type="dxa"/>
            <w:vAlign w:val="center"/>
          </w:tcPr>
          <w:p w14:paraId="1A11BCEC">
            <w:pPr>
              <w:rPr>
                <w:rFonts w:hint="eastAsia" w:ascii="仿宋_GB2312" w:hAnsi="仿宋_GB2312" w:eastAsia="仿宋_GB2312" w:cs="仿宋_GB2312"/>
                <w:snapToGrid w:val="0"/>
                <w:sz w:val="24"/>
                <w:szCs w:val="24"/>
              </w:rPr>
            </w:pPr>
          </w:p>
        </w:tc>
      </w:tr>
      <w:tr w14:paraId="18D2B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trPr>
        <w:tc>
          <w:tcPr>
            <w:tcW w:w="1287" w:type="dxa"/>
            <w:vAlign w:val="center"/>
          </w:tcPr>
          <w:p w14:paraId="1E9630B9">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工作年限</w:t>
            </w:r>
          </w:p>
        </w:tc>
        <w:tc>
          <w:tcPr>
            <w:tcW w:w="3072" w:type="dxa"/>
            <w:gridSpan w:val="4"/>
            <w:vAlign w:val="center"/>
          </w:tcPr>
          <w:p w14:paraId="5CDB760D">
            <w:pPr>
              <w:rPr>
                <w:rFonts w:hint="eastAsia" w:ascii="仿宋_GB2312" w:hAnsi="仿宋_GB2312" w:eastAsia="仿宋_GB2312" w:cs="仿宋_GB2312"/>
                <w:snapToGrid w:val="0"/>
                <w:sz w:val="24"/>
                <w:szCs w:val="24"/>
              </w:rPr>
            </w:pPr>
          </w:p>
        </w:tc>
        <w:tc>
          <w:tcPr>
            <w:tcW w:w="2371" w:type="dxa"/>
            <w:gridSpan w:val="3"/>
            <w:vAlign w:val="center"/>
          </w:tcPr>
          <w:p w14:paraId="57096EF4">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从事类似工作年限</w:t>
            </w:r>
          </w:p>
        </w:tc>
        <w:tc>
          <w:tcPr>
            <w:tcW w:w="2477" w:type="dxa"/>
            <w:vAlign w:val="center"/>
          </w:tcPr>
          <w:p w14:paraId="5D77D91B">
            <w:pPr>
              <w:rPr>
                <w:rFonts w:hint="eastAsia" w:ascii="仿宋_GB2312" w:hAnsi="仿宋_GB2312" w:eastAsia="仿宋_GB2312" w:cs="仿宋_GB2312"/>
                <w:snapToGrid w:val="0"/>
                <w:sz w:val="24"/>
                <w:szCs w:val="24"/>
              </w:rPr>
            </w:pPr>
          </w:p>
        </w:tc>
      </w:tr>
      <w:tr w14:paraId="54BCB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287" w:type="dxa"/>
            <w:vAlign w:val="center"/>
          </w:tcPr>
          <w:p w14:paraId="117B4F6A">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毕业学校</w:t>
            </w:r>
          </w:p>
        </w:tc>
        <w:tc>
          <w:tcPr>
            <w:tcW w:w="7920" w:type="dxa"/>
            <w:gridSpan w:val="8"/>
            <w:vAlign w:val="center"/>
          </w:tcPr>
          <w:p w14:paraId="2C1131DE">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 xml:space="preserve">         年毕业于             学校       专业</w:t>
            </w:r>
          </w:p>
        </w:tc>
      </w:tr>
      <w:tr w14:paraId="474F5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9207" w:type="dxa"/>
            <w:gridSpan w:val="9"/>
            <w:vAlign w:val="center"/>
          </w:tcPr>
          <w:p w14:paraId="371B6774">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主要工作经历</w:t>
            </w:r>
          </w:p>
        </w:tc>
      </w:tr>
      <w:tr w14:paraId="748C1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14:paraId="6D10B29D">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时间</w:t>
            </w:r>
          </w:p>
        </w:tc>
        <w:tc>
          <w:tcPr>
            <w:tcW w:w="3428" w:type="dxa"/>
            <w:gridSpan w:val="4"/>
            <w:vAlign w:val="center"/>
          </w:tcPr>
          <w:p w14:paraId="7AF26D3B">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参加过的类似项目</w:t>
            </w:r>
          </w:p>
        </w:tc>
        <w:tc>
          <w:tcPr>
            <w:tcW w:w="1257" w:type="dxa"/>
            <w:vAlign w:val="center"/>
          </w:tcPr>
          <w:p w14:paraId="63F9E0ED">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担任职务</w:t>
            </w:r>
          </w:p>
        </w:tc>
        <w:tc>
          <w:tcPr>
            <w:tcW w:w="2938" w:type="dxa"/>
            <w:gridSpan w:val="2"/>
            <w:vAlign w:val="center"/>
          </w:tcPr>
          <w:p w14:paraId="05BA8012">
            <w:pPr>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委托久发包人及联系电话</w:t>
            </w:r>
          </w:p>
        </w:tc>
      </w:tr>
      <w:tr w14:paraId="17EA3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trPr>
        <w:tc>
          <w:tcPr>
            <w:tcW w:w="1584" w:type="dxa"/>
            <w:gridSpan w:val="2"/>
            <w:vAlign w:val="center"/>
          </w:tcPr>
          <w:p w14:paraId="49D7E265">
            <w:pPr>
              <w:rPr>
                <w:rFonts w:hint="eastAsia" w:ascii="仿宋_GB2312" w:hAnsi="仿宋_GB2312" w:eastAsia="仿宋_GB2312" w:cs="仿宋_GB2312"/>
                <w:snapToGrid w:val="0"/>
                <w:sz w:val="24"/>
                <w:szCs w:val="24"/>
              </w:rPr>
            </w:pPr>
          </w:p>
        </w:tc>
        <w:tc>
          <w:tcPr>
            <w:tcW w:w="3428" w:type="dxa"/>
            <w:gridSpan w:val="4"/>
            <w:vAlign w:val="center"/>
          </w:tcPr>
          <w:p w14:paraId="6F4C5480">
            <w:pPr>
              <w:rPr>
                <w:rFonts w:hint="eastAsia" w:ascii="仿宋_GB2312" w:hAnsi="仿宋_GB2312" w:eastAsia="仿宋_GB2312" w:cs="仿宋_GB2312"/>
                <w:snapToGrid w:val="0"/>
                <w:sz w:val="24"/>
                <w:szCs w:val="24"/>
              </w:rPr>
            </w:pPr>
          </w:p>
        </w:tc>
        <w:tc>
          <w:tcPr>
            <w:tcW w:w="1257" w:type="dxa"/>
            <w:vAlign w:val="center"/>
          </w:tcPr>
          <w:p w14:paraId="18C645CE">
            <w:pPr>
              <w:rPr>
                <w:rFonts w:hint="eastAsia" w:ascii="仿宋_GB2312" w:hAnsi="仿宋_GB2312" w:eastAsia="仿宋_GB2312" w:cs="仿宋_GB2312"/>
                <w:snapToGrid w:val="0"/>
                <w:sz w:val="24"/>
                <w:szCs w:val="24"/>
              </w:rPr>
            </w:pPr>
          </w:p>
        </w:tc>
        <w:tc>
          <w:tcPr>
            <w:tcW w:w="2938" w:type="dxa"/>
            <w:gridSpan w:val="2"/>
            <w:vAlign w:val="center"/>
          </w:tcPr>
          <w:p w14:paraId="0F4670E0">
            <w:pPr>
              <w:rPr>
                <w:rFonts w:hint="eastAsia" w:ascii="仿宋_GB2312" w:hAnsi="仿宋_GB2312" w:eastAsia="仿宋_GB2312" w:cs="仿宋_GB2312"/>
                <w:snapToGrid w:val="0"/>
                <w:sz w:val="24"/>
                <w:szCs w:val="24"/>
              </w:rPr>
            </w:pPr>
          </w:p>
        </w:tc>
      </w:tr>
      <w:tr w14:paraId="13C47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14:paraId="36B6D82F">
            <w:pPr>
              <w:rPr>
                <w:rFonts w:hint="eastAsia" w:ascii="仿宋_GB2312" w:hAnsi="仿宋_GB2312" w:eastAsia="仿宋_GB2312" w:cs="仿宋_GB2312"/>
                <w:snapToGrid w:val="0"/>
                <w:sz w:val="24"/>
                <w:szCs w:val="24"/>
              </w:rPr>
            </w:pPr>
          </w:p>
        </w:tc>
        <w:tc>
          <w:tcPr>
            <w:tcW w:w="3428" w:type="dxa"/>
            <w:gridSpan w:val="4"/>
            <w:vAlign w:val="center"/>
          </w:tcPr>
          <w:p w14:paraId="0D25023D">
            <w:pPr>
              <w:rPr>
                <w:rFonts w:hint="eastAsia" w:ascii="仿宋_GB2312" w:hAnsi="仿宋_GB2312" w:eastAsia="仿宋_GB2312" w:cs="仿宋_GB2312"/>
                <w:snapToGrid w:val="0"/>
                <w:sz w:val="24"/>
                <w:szCs w:val="24"/>
              </w:rPr>
            </w:pPr>
          </w:p>
        </w:tc>
        <w:tc>
          <w:tcPr>
            <w:tcW w:w="1257" w:type="dxa"/>
            <w:vAlign w:val="center"/>
          </w:tcPr>
          <w:p w14:paraId="564C615A">
            <w:pPr>
              <w:rPr>
                <w:rFonts w:hint="eastAsia" w:ascii="仿宋_GB2312" w:hAnsi="仿宋_GB2312" w:eastAsia="仿宋_GB2312" w:cs="仿宋_GB2312"/>
                <w:snapToGrid w:val="0"/>
                <w:sz w:val="24"/>
                <w:szCs w:val="24"/>
              </w:rPr>
            </w:pPr>
          </w:p>
        </w:tc>
        <w:tc>
          <w:tcPr>
            <w:tcW w:w="2938" w:type="dxa"/>
            <w:gridSpan w:val="2"/>
            <w:vAlign w:val="center"/>
          </w:tcPr>
          <w:p w14:paraId="5E6C33FF">
            <w:pPr>
              <w:rPr>
                <w:rFonts w:hint="eastAsia" w:ascii="仿宋_GB2312" w:hAnsi="仿宋_GB2312" w:eastAsia="仿宋_GB2312" w:cs="仿宋_GB2312"/>
                <w:snapToGrid w:val="0"/>
                <w:sz w:val="24"/>
                <w:szCs w:val="24"/>
              </w:rPr>
            </w:pPr>
          </w:p>
        </w:tc>
      </w:tr>
      <w:tr w14:paraId="492B3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584" w:type="dxa"/>
            <w:gridSpan w:val="2"/>
            <w:vAlign w:val="center"/>
          </w:tcPr>
          <w:p w14:paraId="21D230FA">
            <w:pPr>
              <w:rPr>
                <w:rFonts w:hint="eastAsia" w:ascii="仿宋_GB2312" w:hAnsi="仿宋_GB2312" w:eastAsia="仿宋_GB2312" w:cs="仿宋_GB2312"/>
                <w:snapToGrid w:val="0"/>
                <w:sz w:val="24"/>
                <w:szCs w:val="24"/>
              </w:rPr>
            </w:pPr>
          </w:p>
        </w:tc>
        <w:tc>
          <w:tcPr>
            <w:tcW w:w="3428" w:type="dxa"/>
            <w:gridSpan w:val="4"/>
            <w:vAlign w:val="center"/>
          </w:tcPr>
          <w:p w14:paraId="22698AFC">
            <w:pPr>
              <w:rPr>
                <w:rFonts w:hint="eastAsia" w:ascii="仿宋_GB2312" w:hAnsi="仿宋_GB2312" w:eastAsia="仿宋_GB2312" w:cs="仿宋_GB2312"/>
                <w:snapToGrid w:val="0"/>
                <w:sz w:val="24"/>
                <w:szCs w:val="24"/>
              </w:rPr>
            </w:pPr>
          </w:p>
        </w:tc>
        <w:tc>
          <w:tcPr>
            <w:tcW w:w="1257" w:type="dxa"/>
            <w:vAlign w:val="center"/>
          </w:tcPr>
          <w:p w14:paraId="05EBD73C">
            <w:pPr>
              <w:rPr>
                <w:rFonts w:hint="eastAsia" w:ascii="仿宋_GB2312" w:hAnsi="仿宋_GB2312" w:eastAsia="仿宋_GB2312" w:cs="仿宋_GB2312"/>
                <w:snapToGrid w:val="0"/>
                <w:sz w:val="24"/>
                <w:szCs w:val="24"/>
              </w:rPr>
            </w:pPr>
          </w:p>
        </w:tc>
        <w:tc>
          <w:tcPr>
            <w:tcW w:w="2938" w:type="dxa"/>
            <w:gridSpan w:val="2"/>
            <w:vAlign w:val="center"/>
          </w:tcPr>
          <w:p w14:paraId="75E5510D">
            <w:pPr>
              <w:rPr>
                <w:rFonts w:hint="eastAsia" w:ascii="仿宋_GB2312" w:hAnsi="仿宋_GB2312" w:eastAsia="仿宋_GB2312" w:cs="仿宋_GB2312"/>
                <w:snapToGrid w:val="0"/>
                <w:sz w:val="24"/>
                <w:szCs w:val="24"/>
              </w:rPr>
            </w:pPr>
          </w:p>
        </w:tc>
      </w:tr>
      <w:tr w14:paraId="47334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2" w:hRule="atLeast"/>
        </w:trPr>
        <w:tc>
          <w:tcPr>
            <w:tcW w:w="1584" w:type="dxa"/>
            <w:gridSpan w:val="2"/>
            <w:vAlign w:val="center"/>
          </w:tcPr>
          <w:p w14:paraId="184AC58C">
            <w:pPr>
              <w:rPr>
                <w:rFonts w:hint="eastAsia" w:ascii="仿宋_GB2312" w:hAnsi="仿宋_GB2312" w:eastAsia="仿宋_GB2312" w:cs="仿宋_GB2312"/>
                <w:snapToGrid w:val="0"/>
                <w:sz w:val="24"/>
                <w:szCs w:val="24"/>
              </w:rPr>
            </w:pPr>
          </w:p>
        </w:tc>
        <w:tc>
          <w:tcPr>
            <w:tcW w:w="3428" w:type="dxa"/>
            <w:gridSpan w:val="4"/>
            <w:vAlign w:val="center"/>
          </w:tcPr>
          <w:p w14:paraId="2DAABDAB">
            <w:pPr>
              <w:rPr>
                <w:rFonts w:hint="eastAsia" w:ascii="仿宋_GB2312" w:hAnsi="仿宋_GB2312" w:eastAsia="仿宋_GB2312" w:cs="仿宋_GB2312"/>
                <w:snapToGrid w:val="0"/>
                <w:sz w:val="24"/>
                <w:szCs w:val="24"/>
              </w:rPr>
            </w:pPr>
          </w:p>
        </w:tc>
        <w:tc>
          <w:tcPr>
            <w:tcW w:w="1257" w:type="dxa"/>
            <w:vAlign w:val="center"/>
          </w:tcPr>
          <w:p w14:paraId="649BE53A">
            <w:pPr>
              <w:rPr>
                <w:rFonts w:hint="eastAsia" w:ascii="仿宋_GB2312" w:hAnsi="仿宋_GB2312" w:eastAsia="仿宋_GB2312" w:cs="仿宋_GB2312"/>
                <w:snapToGrid w:val="0"/>
                <w:sz w:val="24"/>
                <w:szCs w:val="24"/>
              </w:rPr>
            </w:pPr>
          </w:p>
        </w:tc>
        <w:tc>
          <w:tcPr>
            <w:tcW w:w="2938" w:type="dxa"/>
            <w:gridSpan w:val="2"/>
            <w:vAlign w:val="center"/>
          </w:tcPr>
          <w:p w14:paraId="2DBDF80B">
            <w:pPr>
              <w:rPr>
                <w:rFonts w:hint="eastAsia" w:ascii="仿宋_GB2312" w:hAnsi="仿宋_GB2312" w:eastAsia="仿宋_GB2312" w:cs="仿宋_GB2312"/>
                <w:snapToGrid w:val="0"/>
                <w:sz w:val="24"/>
                <w:szCs w:val="24"/>
              </w:rPr>
            </w:pPr>
          </w:p>
        </w:tc>
      </w:tr>
      <w:tr w14:paraId="3C441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trPr>
        <w:tc>
          <w:tcPr>
            <w:tcW w:w="1584" w:type="dxa"/>
            <w:gridSpan w:val="2"/>
            <w:vAlign w:val="center"/>
          </w:tcPr>
          <w:p w14:paraId="19400377">
            <w:pPr>
              <w:rPr>
                <w:rFonts w:hint="eastAsia" w:ascii="仿宋_GB2312" w:hAnsi="仿宋_GB2312" w:eastAsia="仿宋_GB2312" w:cs="仿宋_GB2312"/>
                <w:snapToGrid w:val="0"/>
                <w:sz w:val="24"/>
                <w:szCs w:val="24"/>
              </w:rPr>
            </w:pPr>
          </w:p>
        </w:tc>
        <w:tc>
          <w:tcPr>
            <w:tcW w:w="3428" w:type="dxa"/>
            <w:gridSpan w:val="4"/>
            <w:vAlign w:val="center"/>
          </w:tcPr>
          <w:p w14:paraId="247B5AE3">
            <w:pPr>
              <w:rPr>
                <w:rFonts w:hint="eastAsia" w:ascii="仿宋_GB2312" w:hAnsi="仿宋_GB2312" w:eastAsia="仿宋_GB2312" w:cs="仿宋_GB2312"/>
                <w:snapToGrid w:val="0"/>
                <w:sz w:val="24"/>
                <w:szCs w:val="24"/>
              </w:rPr>
            </w:pPr>
          </w:p>
        </w:tc>
        <w:tc>
          <w:tcPr>
            <w:tcW w:w="1257" w:type="dxa"/>
            <w:vAlign w:val="center"/>
          </w:tcPr>
          <w:p w14:paraId="57BA1E56">
            <w:pPr>
              <w:rPr>
                <w:rFonts w:hint="eastAsia" w:ascii="仿宋_GB2312" w:hAnsi="仿宋_GB2312" w:eastAsia="仿宋_GB2312" w:cs="仿宋_GB2312"/>
                <w:snapToGrid w:val="0"/>
                <w:sz w:val="24"/>
                <w:szCs w:val="24"/>
              </w:rPr>
            </w:pPr>
          </w:p>
        </w:tc>
        <w:tc>
          <w:tcPr>
            <w:tcW w:w="2938" w:type="dxa"/>
            <w:gridSpan w:val="2"/>
            <w:vAlign w:val="center"/>
          </w:tcPr>
          <w:p w14:paraId="4DAB2E7D">
            <w:pPr>
              <w:rPr>
                <w:rFonts w:hint="eastAsia" w:ascii="仿宋_GB2312" w:hAnsi="仿宋_GB2312" w:eastAsia="仿宋_GB2312" w:cs="仿宋_GB2312"/>
                <w:snapToGrid w:val="0"/>
                <w:sz w:val="24"/>
                <w:szCs w:val="24"/>
              </w:rPr>
            </w:pPr>
          </w:p>
        </w:tc>
      </w:tr>
      <w:tr w14:paraId="74981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1584" w:type="dxa"/>
            <w:gridSpan w:val="2"/>
            <w:vAlign w:val="center"/>
          </w:tcPr>
          <w:p w14:paraId="4FBE23BB">
            <w:pPr>
              <w:rPr>
                <w:rFonts w:hint="eastAsia" w:ascii="仿宋_GB2312" w:hAnsi="仿宋_GB2312" w:eastAsia="仿宋_GB2312" w:cs="仿宋_GB2312"/>
                <w:snapToGrid w:val="0"/>
                <w:sz w:val="24"/>
                <w:szCs w:val="24"/>
              </w:rPr>
            </w:pPr>
          </w:p>
        </w:tc>
        <w:tc>
          <w:tcPr>
            <w:tcW w:w="3428" w:type="dxa"/>
            <w:gridSpan w:val="4"/>
            <w:vAlign w:val="center"/>
          </w:tcPr>
          <w:p w14:paraId="55BBA45F">
            <w:pPr>
              <w:rPr>
                <w:rFonts w:hint="eastAsia" w:ascii="仿宋_GB2312" w:hAnsi="仿宋_GB2312" w:eastAsia="仿宋_GB2312" w:cs="仿宋_GB2312"/>
                <w:snapToGrid w:val="0"/>
                <w:sz w:val="24"/>
                <w:szCs w:val="24"/>
              </w:rPr>
            </w:pPr>
          </w:p>
        </w:tc>
        <w:tc>
          <w:tcPr>
            <w:tcW w:w="1257" w:type="dxa"/>
            <w:vAlign w:val="center"/>
          </w:tcPr>
          <w:p w14:paraId="495EAB2D">
            <w:pPr>
              <w:rPr>
                <w:rFonts w:hint="eastAsia" w:ascii="仿宋_GB2312" w:hAnsi="仿宋_GB2312" w:eastAsia="仿宋_GB2312" w:cs="仿宋_GB2312"/>
                <w:snapToGrid w:val="0"/>
                <w:sz w:val="24"/>
                <w:szCs w:val="24"/>
              </w:rPr>
            </w:pPr>
          </w:p>
        </w:tc>
        <w:tc>
          <w:tcPr>
            <w:tcW w:w="2938" w:type="dxa"/>
            <w:gridSpan w:val="2"/>
            <w:vAlign w:val="center"/>
          </w:tcPr>
          <w:p w14:paraId="78D56A8C">
            <w:pPr>
              <w:rPr>
                <w:rFonts w:hint="eastAsia" w:ascii="仿宋_GB2312" w:hAnsi="仿宋_GB2312" w:eastAsia="仿宋_GB2312" w:cs="仿宋_GB2312"/>
                <w:snapToGrid w:val="0"/>
                <w:sz w:val="24"/>
                <w:szCs w:val="24"/>
              </w:rPr>
            </w:pPr>
          </w:p>
        </w:tc>
      </w:tr>
      <w:tr w14:paraId="32AAB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1" w:hRule="atLeast"/>
        </w:trPr>
        <w:tc>
          <w:tcPr>
            <w:tcW w:w="1584" w:type="dxa"/>
            <w:gridSpan w:val="2"/>
            <w:vAlign w:val="center"/>
          </w:tcPr>
          <w:p w14:paraId="1E91D01E">
            <w:pPr>
              <w:rPr>
                <w:rFonts w:hint="eastAsia" w:ascii="仿宋_GB2312" w:hAnsi="仿宋_GB2312" w:eastAsia="仿宋_GB2312" w:cs="仿宋_GB2312"/>
                <w:snapToGrid w:val="0"/>
                <w:sz w:val="24"/>
                <w:szCs w:val="24"/>
              </w:rPr>
            </w:pPr>
          </w:p>
        </w:tc>
        <w:tc>
          <w:tcPr>
            <w:tcW w:w="3428" w:type="dxa"/>
            <w:gridSpan w:val="4"/>
            <w:vAlign w:val="center"/>
          </w:tcPr>
          <w:p w14:paraId="3F690D9B">
            <w:pPr>
              <w:rPr>
                <w:rFonts w:hint="eastAsia" w:ascii="仿宋_GB2312" w:hAnsi="仿宋_GB2312" w:eastAsia="仿宋_GB2312" w:cs="仿宋_GB2312"/>
                <w:snapToGrid w:val="0"/>
                <w:sz w:val="24"/>
                <w:szCs w:val="24"/>
              </w:rPr>
            </w:pPr>
          </w:p>
        </w:tc>
        <w:tc>
          <w:tcPr>
            <w:tcW w:w="1257" w:type="dxa"/>
            <w:vAlign w:val="center"/>
          </w:tcPr>
          <w:p w14:paraId="366EEF10">
            <w:pPr>
              <w:rPr>
                <w:rFonts w:hint="eastAsia" w:ascii="仿宋_GB2312" w:hAnsi="仿宋_GB2312" w:eastAsia="仿宋_GB2312" w:cs="仿宋_GB2312"/>
                <w:snapToGrid w:val="0"/>
                <w:sz w:val="24"/>
                <w:szCs w:val="24"/>
              </w:rPr>
            </w:pPr>
          </w:p>
        </w:tc>
        <w:tc>
          <w:tcPr>
            <w:tcW w:w="2938" w:type="dxa"/>
            <w:gridSpan w:val="2"/>
            <w:vAlign w:val="center"/>
          </w:tcPr>
          <w:p w14:paraId="61D62DAC">
            <w:pPr>
              <w:rPr>
                <w:rFonts w:hint="eastAsia" w:ascii="仿宋_GB2312" w:hAnsi="仿宋_GB2312" w:eastAsia="仿宋_GB2312" w:cs="仿宋_GB2312"/>
                <w:snapToGrid w:val="0"/>
                <w:sz w:val="24"/>
                <w:szCs w:val="24"/>
              </w:rPr>
            </w:pPr>
          </w:p>
        </w:tc>
      </w:tr>
    </w:tbl>
    <w:p w14:paraId="18C88519">
      <w:pPr>
        <w:rPr>
          <w:rFonts w:ascii="Times New Roman" w:hAnsi="Times New Roman" w:cs="Times New Roman"/>
          <w:snapToGrid w:val="0"/>
        </w:rPr>
      </w:pPr>
      <w:r>
        <w:rPr>
          <w:rFonts w:hint="eastAsia" w:ascii="仿宋_GB2312" w:hAnsi="仿宋_GB2312" w:eastAsia="仿宋_GB2312" w:cs="仿宋_GB2312"/>
          <w:snapToGrid w:val="0"/>
          <w:sz w:val="32"/>
          <w:szCs w:val="32"/>
        </w:rPr>
        <w:t>注：供应商应根据供应商须知前附表第3.5(6)项的要求在本表后附相关证明材料。</w:t>
      </w:r>
    </w:p>
    <w:p w14:paraId="7220A519">
      <w:pPr>
        <w:jc w:val="left"/>
        <w:rPr>
          <w:rFonts w:hint="eastAsia" w:ascii="仿宋_GB2312" w:hAnsi="仿宋_GB2312" w:eastAsia="仿宋_GB2312" w:cs="仿宋_GB2312"/>
          <w:b/>
          <w:bCs/>
          <w:sz w:val="32"/>
          <w:szCs w:val="32"/>
        </w:rPr>
      </w:pPr>
      <w:bookmarkStart w:id="445" w:name="扫描0066"/>
      <w:bookmarkEnd w:id="445"/>
      <w:r>
        <w:rPr>
          <w:rFonts w:hint="eastAsia" w:ascii="仿宋_GB2312" w:hAnsi="仿宋_GB2312" w:eastAsia="仿宋_GB2312" w:cs="仿宋_GB2312"/>
          <w:b/>
          <w:bCs/>
          <w:sz w:val="32"/>
          <w:szCs w:val="32"/>
        </w:rPr>
        <w:t>（六）设备参数</w:t>
      </w:r>
    </w:p>
    <w:p w14:paraId="625FA41F">
      <w:pPr>
        <w:rPr>
          <w:rFonts w:ascii="Times New Roman" w:hAnsi="Times New Roman" w:cs="Times New Roman"/>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835"/>
        <w:gridCol w:w="980"/>
        <w:gridCol w:w="818"/>
        <w:gridCol w:w="980"/>
        <w:gridCol w:w="899"/>
        <w:gridCol w:w="1025"/>
        <w:gridCol w:w="856"/>
        <w:gridCol w:w="815"/>
      </w:tblGrid>
      <w:tr w14:paraId="2C3E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774" w:type="dxa"/>
            <w:vAlign w:val="center"/>
          </w:tcPr>
          <w:p w14:paraId="50A053B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985" w:type="dxa"/>
            <w:vAlign w:val="center"/>
          </w:tcPr>
          <w:p w14:paraId="385FB75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仪器/设备名称</w:t>
            </w:r>
          </w:p>
        </w:tc>
        <w:tc>
          <w:tcPr>
            <w:tcW w:w="1037" w:type="dxa"/>
            <w:vAlign w:val="center"/>
          </w:tcPr>
          <w:p w14:paraId="6C5F3D8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型号</w:t>
            </w:r>
          </w:p>
          <w:p w14:paraId="06FC2AA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规格</w:t>
            </w:r>
          </w:p>
        </w:tc>
        <w:tc>
          <w:tcPr>
            <w:tcW w:w="857" w:type="dxa"/>
            <w:vAlign w:val="center"/>
          </w:tcPr>
          <w:p w14:paraId="034050E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数量</w:t>
            </w:r>
          </w:p>
        </w:tc>
        <w:tc>
          <w:tcPr>
            <w:tcW w:w="1037" w:type="dxa"/>
            <w:vAlign w:val="center"/>
          </w:tcPr>
          <w:p w14:paraId="145E6AE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国别</w:t>
            </w:r>
          </w:p>
          <w:p w14:paraId="6E6EC6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产地</w:t>
            </w:r>
          </w:p>
        </w:tc>
        <w:tc>
          <w:tcPr>
            <w:tcW w:w="947" w:type="dxa"/>
            <w:vAlign w:val="center"/>
          </w:tcPr>
          <w:p w14:paraId="71CDA1D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制造</w:t>
            </w:r>
          </w:p>
          <w:p w14:paraId="0311FCA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年份</w:t>
            </w:r>
          </w:p>
        </w:tc>
        <w:tc>
          <w:tcPr>
            <w:tcW w:w="1087" w:type="dxa"/>
            <w:vAlign w:val="center"/>
          </w:tcPr>
          <w:p w14:paraId="2805FB1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使用</w:t>
            </w:r>
          </w:p>
          <w:p w14:paraId="472B66E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情况</w:t>
            </w:r>
          </w:p>
        </w:tc>
        <w:tc>
          <w:tcPr>
            <w:tcW w:w="900" w:type="dxa"/>
            <w:vAlign w:val="center"/>
          </w:tcPr>
          <w:p w14:paraId="65BAB80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用途</w:t>
            </w:r>
          </w:p>
        </w:tc>
        <w:tc>
          <w:tcPr>
            <w:tcW w:w="854" w:type="dxa"/>
            <w:vAlign w:val="center"/>
          </w:tcPr>
          <w:p w14:paraId="2FE7591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r>
      <w:tr w14:paraId="3670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6B29FF1A">
            <w:pPr>
              <w:rPr>
                <w:rFonts w:hint="eastAsia" w:ascii="仿宋_GB2312" w:hAnsi="仿宋_GB2312" w:eastAsia="仿宋_GB2312" w:cs="仿宋_GB2312"/>
                <w:sz w:val="24"/>
                <w:szCs w:val="24"/>
              </w:rPr>
            </w:pPr>
          </w:p>
        </w:tc>
        <w:tc>
          <w:tcPr>
            <w:tcW w:w="1985" w:type="dxa"/>
          </w:tcPr>
          <w:p w14:paraId="6D6A0DD0">
            <w:pPr>
              <w:rPr>
                <w:rFonts w:hint="eastAsia" w:ascii="仿宋_GB2312" w:hAnsi="仿宋_GB2312" w:eastAsia="仿宋_GB2312" w:cs="仿宋_GB2312"/>
                <w:sz w:val="24"/>
                <w:szCs w:val="24"/>
              </w:rPr>
            </w:pPr>
          </w:p>
        </w:tc>
        <w:tc>
          <w:tcPr>
            <w:tcW w:w="1037" w:type="dxa"/>
          </w:tcPr>
          <w:p w14:paraId="4789C1EE">
            <w:pPr>
              <w:rPr>
                <w:rFonts w:hint="eastAsia" w:ascii="仿宋_GB2312" w:hAnsi="仿宋_GB2312" w:eastAsia="仿宋_GB2312" w:cs="仿宋_GB2312"/>
                <w:sz w:val="24"/>
                <w:szCs w:val="24"/>
              </w:rPr>
            </w:pPr>
          </w:p>
        </w:tc>
        <w:tc>
          <w:tcPr>
            <w:tcW w:w="857" w:type="dxa"/>
          </w:tcPr>
          <w:p w14:paraId="45FDC0A7">
            <w:pPr>
              <w:rPr>
                <w:rFonts w:hint="eastAsia" w:ascii="仿宋_GB2312" w:hAnsi="仿宋_GB2312" w:eastAsia="仿宋_GB2312" w:cs="仿宋_GB2312"/>
                <w:sz w:val="24"/>
                <w:szCs w:val="24"/>
              </w:rPr>
            </w:pPr>
          </w:p>
        </w:tc>
        <w:tc>
          <w:tcPr>
            <w:tcW w:w="1037" w:type="dxa"/>
          </w:tcPr>
          <w:p w14:paraId="7CF319E2">
            <w:pPr>
              <w:rPr>
                <w:rFonts w:hint="eastAsia" w:ascii="仿宋_GB2312" w:hAnsi="仿宋_GB2312" w:eastAsia="仿宋_GB2312" w:cs="仿宋_GB2312"/>
                <w:sz w:val="24"/>
                <w:szCs w:val="24"/>
              </w:rPr>
            </w:pPr>
          </w:p>
        </w:tc>
        <w:tc>
          <w:tcPr>
            <w:tcW w:w="947" w:type="dxa"/>
          </w:tcPr>
          <w:p w14:paraId="04FDAB91">
            <w:pPr>
              <w:rPr>
                <w:rFonts w:hint="eastAsia" w:ascii="仿宋_GB2312" w:hAnsi="仿宋_GB2312" w:eastAsia="仿宋_GB2312" w:cs="仿宋_GB2312"/>
                <w:sz w:val="24"/>
                <w:szCs w:val="24"/>
              </w:rPr>
            </w:pPr>
          </w:p>
        </w:tc>
        <w:tc>
          <w:tcPr>
            <w:tcW w:w="1087" w:type="dxa"/>
          </w:tcPr>
          <w:p w14:paraId="1DA6BCF6">
            <w:pPr>
              <w:rPr>
                <w:rFonts w:hint="eastAsia" w:ascii="仿宋_GB2312" w:hAnsi="仿宋_GB2312" w:eastAsia="仿宋_GB2312" w:cs="仿宋_GB2312"/>
                <w:sz w:val="24"/>
                <w:szCs w:val="24"/>
              </w:rPr>
            </w:pPr>
          </w:p>
        </w:tc>
        <w:tc>
          <w:tcPr>
            <w:tcW w:w="900" w:type="dxa"/>
          </w:tcPr>
          <w:p w14:paraId="1B817EF3">
            <w:pPr>
              <w:rPr>
                <w:rFonts w:hint="eastAsia" w:ascii="仿宋_GB2312" w:hAnsi="仿宋_GB2312" w:eastAsia="仿宋_GB2312" w:cs="仿宋_GB2312"/>
                <w:sz w:val="24"/>
                <w:szCs w:val="24"/>
              </w:rPr>
            </w:pPr>
          </w:p>
        </w:tc>
        <w:tc>
          <w:tcPr>
            <w:tcW w:w="854" w:type="dxa"/>
          </w:tcPr>
          <w:p w14:paraId="58D2E6CE">
            <w:pPr>
              <w:rPr>
                <w:rFonts w:hint="eastAsia" w:ascii="仿宋_GB2312" w:hAnsi="仿宋_GB2312" w:eastAsia="仿宋_GB2312" w:cs="仿宋_GB2312"/>
                <w:sz w:val="24"/>
                <w:szCs w:val="24"/>
              </w:rPr>
            </w:pPr>
          </w:p>
        </w:tc>
      </w:tr>
      <w:tr w14:paraId="1A99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6455315C">
            <w:pPr>
              <w:rPr>
                <w:rFonts w:hint="eastAsia" w:ascii="仿宋_GB2312" w:hAnsi="仿宋_GB2312" w:eastAsia="仿宋_GB2312" w:cs="仿宋_GB2312"/>
                <w:sz w:val="24"/>
                <w:szCs w:val="24"/>
              </w:rPr>
            </w:pPr>
          </w:p>
        </w:tc>
        <w:tc>
          <w:tcPr>
            <w:tcW w:w="1985" w:type="dxa"/>
          </w:tcPr>
          <w:p w14:paraId="494472E9">
            <w:pPr>
              <w:rPr>
                <w:rFonts w:hint="eastAsia" w:ascii="仿宋_GB2312" w:hAnsi="仿宋_GB2312" w:eastAsia="仿宋_GB2312" w:cs="仿宋_GB2312"/>
                <w:sz w:val="24"/>
                <w:szCs w:val="24"/>
              </w:rPr>
            </w:pPr>
          </w:p>
        </w:tc>
        <w:tc>
          <w:tcPr>
            <w:tcW w:w="1037" w:type="dxa"/>
          </w:tcPr>
          <w:p w14:paraId="7B906D94">
            <w:pPr>
              <w:rPr>
                <w:rFonts w:hint="eastAsia" w:ascii="仿宋_GB2312" w:hAnsi="仿宋_GB2312" w:eastAsia="仿宋_GB2312" w:cs="仿宋_GB2312"/>
                <w:sz w:val="24"/>
                <w:szCs w:val="24"/>
              </w:rPr>
            </w:pPr>
          </w:p>
        </w:tc>
        <w:tc>
          <w:tcPr>
            <w:tcW w:w="857" w:type="dxa"/>
          </w:tcPr>
          <w:p w14:paraId="2C462FF0">
            <w:pPr>
              <w:rPr>
                <w:rFonts w:hint="eastAsia" w:ascii="仿宋_GB2312" w:hAnsi="仿宋_GB2312" w:eastAsia="仿宋_GB2312" w:cs="仿宋_GB2312"/>
                <w:sz w:val="24"/>
                <w:szCs w:val="24"/>
              </w:rPr>
            </w:pPr>
          </w:p>
        </w:tc>
        <w:tc>
          <w:tcPr>
            <w:tcW w:w="1037" w:type="dxa"/>
          </w:tcPr>
          <w:p w14:paraId="569AB151">
            <w:pPr>
              <w:rPr>
                <w:rFonts w:hint="eastAsia" w:ascii="仿宋_GB2312" w:hAnsi="仿宋_GB2312" w:eastAsia="仿宋_GB2312" w:cs="仿宋_GB2312"/>
                <w:sz w:val="24"/>
                <w:szCs w:val="24"/>
              </w:rPr>
            </w:pPr>
          </w:p>
        </w:tc>
        <w:tc>
          <w:tcPr>
            <w:tcW w:w="947" w:type="dxa"/>
          </w:tcPr>
          <w:p w14:paraId="7C74F660">
            <w:pPr>
              <w:rPr>
                <w:rFonts w:hint="eastAsia" w:ascii="仿宋_GB2312" w:hAnsi="仿宋_GB2312" w:eastAsia="仿宋_GB2312" w:cs="仿宋_GB2312"/>
                <w:sz w:val="24"/>
                <w:szCs w:val="24"/>
              </w:rPr>
            </w:pPr>
          </w:p>
        </w:tc>
        <w:tc>
          <w:tcPr>
            <w:tcW w:w="1087" w:type="dxa"/>
          </w:tcPr>
          <w:p w14:paraId="4CFB3CFF">
            <w:pPr>
              <w:rPr>
                <w:rFonts w:hint="eastAsia" w:ascii="仿宋_GB2312" w:hAnsi="仿宋_GB2312" w:eastAsia="仿宋_GB2312" w:cs="仿宋_GB2312"/>
                <w:sz w:val="24"/>
                <w:szCs w:val="24"/>
              </w:rPr>
            </w:pPr>
          </w:p>
        </w:tc>
        <w:tc>
          <w:tcPr>
            <w:tcW w:w="900" w:type="dxa"/>
          </w:tcPr>
          <w:p w14:paraId="18CF018B">
            <w:pPr>
              <w:rPr>
                <w:rFonts w:hint="eastAsia" w:ascii="仿宋_GB2312" w:hAnsi="仿宋_GB2312" w:eastAsia="仿宋_GB2312" w:cs="仿宋_GB2312"/>
                <w:sz w:val="24"/>
                <w:szCs w:val="24"/>
              </w:rPr>
            </w:pPr>
          </w:p>
        </w:tc>
        <w:tc>
          <w:tcPr>
            <w:tcW w:w="854" w:type="dxa"/>
          </w:tcPr>
          <w:p w14:paraId="2232A9EA">
            <w:pPr>
              <w:rPr>
                <w:rFonts w:hint="eastAsia" w:ascii="仿宋_GB2312" w:hAnsi="仿宋_GB2312" w:eastAsia="仿宋_GB2312" w:cs="仿宋_GB2312"/>
                <w:sz w:val="24"/>
                <w:szCs w:val="24"/>
              </w:rPr>
            </w:pPr>
          </w:p>
        </w:tc>
      </w:tr>
      <w:tr w14:paraId="1E86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3C67A0A4">
            <w:pPr>
              <w:rPr>
                <w:rFonts w:hint="eastAsia" w:ascii="仿宋_GB2312" w:hAnsi="仿宋_GB2312" w:eastAsia="仿宋_GB2312" w:cs="仿宋_GB2312"/>
                <w:sz w:val="24"/>
                <w:szCs w:val="24"/>
              </w:rPr>
            </w:pPr>
          </w:p>
        </w:tc>
        <w:tc>
          <w:tcPr>
            <w:tcW w:w="1985" w:type="dxa"/>
          </w:tcPr>
          <w:p w14:paraId="69168FD0">
            <w:pPr>
              <w:rPr>
                <w:rFonts w:hint="eastAsia" w:ascii="仿宋_GB2312" w:hAnsi="仿宋_GB2312" w:eastAsia="仿宋_GB2312" w:cs="仿宋_GB2312"/>
                <w:sz w:val="24"/>
                <w:szCs w:val="24"/>
              </w:rPr>
            </w:pPr>
          </w:p>
        </w:tc>
        <w:tc>
          <w:tcPr>
            <w:tcW w:w="1037" w:type="dxa"/>
          </w:tcPr>
          <w:p w14:paraId="596ED638">
            <w:pPr>
              <w:rPr>
                <w:rFonts w:hint="eastAsia" w:ascii="仿宋_GB2312" w:hAnsi="仿宋_GB2312" w:eastAsia="仿宋_GB2312" w:cs="仿宋_GB2312"/>
                <w:sz w:val="24"/>
                <w:szCs w:val="24"/>
              </w:rPr>
            </w:pPr>
          </w:p>
        </w:tc>
        <w:tc>
          <w:tcPr>
            <w:tcW w:w="857" w:type="dxa"/>
          </w:tcPr>
          <w:p w14:paraId="134165C4">
            <w:pPr>
              <w:rPr>
                <w:rFonts w:hint="eastAsia" w:ascii="仿宋_GB2312" w:hAnsi="仿宋_GB2312" w:eastAsia="仿宋_GB2312" w:cs="仿宋_GB2312"/>
                <w:sz w:val="24"/>
                <w:szCs w:val="24"/>
              </w:rPr>
            </w:pPr>
          </w:p>
        </w:tc>
        <w:tc>
          <w:tcPr>
            <w:tcW w:w="1037" w:type="dxa"/>
          </w:tcPr>
          <w:p w14:paraId="1E52122E">
            <w:pPr>
              <w:rPr>
                <w:rFonts w:hint="eastAsia" w:ascii="仿宋_GB2312" w:hAnsi="仿宋_GB2312" w:eastAsia="仿宋_GB2312" w:cs="仿宋_GB2312"/>
                <w:sz w:val="24"/>
                <w:szCs w:val="24"/>
              </w:rPr>
            </w:pPr>
          </w:p>
        </w:tc>
        <w:tc>
          <w:tcPr>
            <w:tcW w:w="947" w:type="dxa"/>
          </w:tcPr>
          <w:p w14:paraId="229C2E7A">
            <w:pPr>
              <w:rPr>
                <w:rFonts w:hint="eastAsia" w:ascii="仿宋_GB2312" w:hAnsi="仿宋_GB2312" w:eastAsia="仿宋_GB2312" w:cs="仿宋_GB2312"/>
                <w:sz w:val="24"/>
                <w:szCs w:val="24"/>
              </w:rPr>
            </w:pPr>
          </w:p>
        </w:tc>
        <w:tc>
          <w:tcPr>
            <w:tcW w:w="1087" w:type="dxa"/>
          </w:tcPr>
          <w:p w14:paraId="38CA3B4C">
            <w:pPr>
              <w:rPr>
                <w:rFonts w:hint="eastAsia" w:ascii="仿宋_GB2312" w:hAnsi="仿宋_GB2312" w:eastAsia="仿宋_GB2312" w:cs="仿宋_GB2312"/>
                <w:sz w:val="24"/>
                <w:szCs w:val="24"/>
              </w:rPr>
            </w:pPr>
          </w:p>
        </w:tc>
        <w:tc>
          <w:tcPr>
            <w:tcW w:w="900" w:type="dxa"/>
          </w:tcPr>
          <w:p w14:paraId="65C7CFC8">
            <w:pPr>
              <w:rPr>
                <w:rFonts w:hint="eastAsia" w:ascii="仿宋_GB2312" w:hAnsi="仿宋_GB2312" w:eastAsia="仿宋_GB2312" w:cs="仿宋_GB2312"/>
                <w:sz w:val="24"/>
                <w:szCs w:val="24"/>
              </w:rPr>
            </w:pPr>
          </w:p>
        </w:tc>
        <w:tc>
          <w:tcPr>
            <w:tcW w:w="854" w:type="dxa"/>
          </w:tcPr>
          <w:p w14:paraId="7599D524">
            <w:pPr>
              <w:rPr>
                <w:rFonts w:hint="eastAsia" w:ascii="仿宋_GB2312" w:hAnsi="仿宋_GB2312" w:eastAsia="仿宋_GB2312" w:cs="仿宋_GB2312"/>
                <w:sz w:val="24"/>
                <w:szCs w:val="24"/>
              </w:rPr>
            </w:pPr>
          </w:p>
        </w:tc>
      </w:tr>
      <w:tr w14:paraId="7CA9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72EFD1B8">
            <w:pPr>
              <w:rPr>
                <w:rFonts w:hint="eastAsia" w:ascii="仿宋_GB2312" w:hAnsi="仿宋_GB2312" w:eastAsia="仿宋_GB2312" w:cs="仿宋_GB2312"/>
                <w:sz w:val="24"/>
                <w:szCs w:val="24"/>
              </w:rPr>
            </w:pPr>
          </w:p>
        </w:tc>
        <w:tc>
          <w:tcPr>
            <w:tcW w:w="1985" w:type="dxa"/>
          </w:tcPr>
          <w:p w14:paraId="7796E95C">
            <w:pPr>
              <w:rPr>
                <w:rFonts w:hint="eastAsia" w:ascii="仿宋_GB2312" w:hAnsi="仿宋_GB2312" w:eastAsia="仿宋_GB2312" w:cs="仿宋_GB2312"/>
                <w:sz w:val="24"/>
                <w:szCs w:val="24"/>
              </w:rPr>
            </w:pPr>
          </w:p>
        </w:tc>
        <w:tc>
          <w:tcPr>
            <w:tcW w:w="1037" w:type="dxa"/>
          </w:tcPr>
          <w:p w14:paraId="4BF966A9">
            <w:pPr>
              <w:rPr>
                <w:rFonts w:hint="eastAsia" w:ascii="仿宋_GB2312" w:hAnsi="仿宋_GB2312" w:eastAsia="仿宋_GB2312" w:cs="仿宋_GB2312"/>
                <w:sz w:val="24"/>
                <w:szCs w:val="24"/>
              </w:rPr>
            </w:pPr>
          </w:p>
        </w:tc>
        <w:tc>
          <w:tcPr>
            <w:tcW w:w="857" w:type="dxa"/>
          </w:tcPr>
          <w:p w14:paraId="41BE446A">
            <w:pPr>
              <w:rPr>
                <w:rFonts w:hint="eastAsia" w:ascii="仿宋_GB2312" w:hAnsi="仿宋_GB2312" w:eastAsia="仿宋_GB2312" w:cs="仿宋_GB2312"/>
                <w:sz w:val="24"/>
                <w:szCs w:val="24"/>
              </w:rPr>
            </w:pPr>
          </w:p>
        </w:tc>
        <w:tc>
          <w:tcPr>
            <w:tcW w:w="1037" w:type="dxa"/>
          </w:tcPr>
          <w:p w14:paraId="18E70F52">
            <w:pPr>
              <w:rPr>
                <w:rFonts w:hint="eastAsia" w:ascii="仿宋_GB2312" w:hAnsi="仿宋_GB2312" w:eastAsia="仿宋_GB2312" w:cs="仿宋_GB2312"/>
                <w:sz w:val="24"/>
                <w:szCs w:val="24"/>
              </w:rPr>
            </w:pPr>
          </w:p>
        </w:tc>
        <w:tc>
          <w:tcPr>
            <w:tcW w:w="947" w:type="dxa"/>
          </w:tcPr>
          <w:p w14:paraId="4E9B32D3">
            <w:pPr>
              <w:rPr>
                <w:rFonts w:hint="eastAsia" w:ascii="仿宋_GB2312" w:hAnsi="仿宋_GB2312" w:eastAsia="仿宋_GB2312" w:cs="仿宋_GB2312"/>
                <w:sz w:val="24"/>
                <w:szCs w:val="24"/>
              </w:rPr>
            </w:pPr>
          </w:p>
        </w:tc>
        <w:tc>
          <w:tcPr>
            <w:tcW w:w="1087" w:type="dxa"/>
          </w:tcPr>
          <w:p w14:paraId="6D124018">
            <w:pPr>
              <w:rPr>
                <w:rFonts w:hint="eastAsia" w:ascii="仿宋_GB2312" w:hAnsi="仿宋_GB2312" w:eastAsia="仿宋_GB2312" w:cs="仿宋_GB2312"/>
                <w:sz w:val="24"/>
                <w:szCs w:val="24"/>
              </w:rPr>
            </w:pPr>
          </w:p>
        </w:tc>
        <w:tc>
          <w:tcPr>
            <w:tcW w:w="900" w:type="dxa"/>
          </w:tcPr>
          <w:p w14:paraId="4892E8CC">
            <w:pPr>
              <w:rPr>
                <w:rFonts w:hint="eastAsia" w:ascii="仿宋_GB2312" w:hAnsi="仿宋_GB2312" w:eastAsia="仿宋_GB2312" w:cs="仿宋_GB2312"/>
                <w:sz w:val="24"/>
                <w:szCs w:val="24"/>
              </w:rPr>
            </w:pPr>
          </w:p>
        </w:tc>
        <w:tc>
          <w:tcPr>
            <w:tcW w:w="854" w:type="dxa"/>
          </w:tcPr>
          <w:p w14:paraId="078438D5">
            <w:pPr>
              <w:rPr>
                <w:rFonts w:hint="eastAsia" w:ascii="仿宋_GB2312" w:hAnsi="仿宋_GB2312" w:eastAsia="仿宋_GB2312" w:cs="仿宋_GB2312"/>
                <w:sz w:val="24"/>
                <w:szCs w:val="24"/>
              </w:rPr>
            </w:pPr>
          </w:p>
        </w:tc>
      </w:tr>
      <w:tr w14:paraId="5450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567934F9">
            <w:pPr>
              <w:rPr>
                <w:rFonts w:hint="eastAsia" w:ascii="仿宋_GB2312" w:hAnsi="仿宋_GB2312" w:eastAsia="仿宋_GB2312" w:cs="仿宋_GB2312"/>
                <w:sz w:val="24"/>
                <w:szCs w:val="24"/>
              </w:rPr>
            </w:pPr>
          </w:p>
        </w:tc>
        <w:tc>
          <w:tcPr>
            <w:tcW w:w="1985" w:type="dxa"/>
          </w:tcPr>
          <w:p w14:paraId="5B18B5AA">
            <w:pPr>
              <w:rPr>
                <w:rFonts w:hint="eastAsia" w:ascii="仿宋_GB2312" w:hAnsi="仿宋_GB2312" w:eastAsia="仿宋_GB2312" w:cs="仿宋_GB2312"/>
                <w:sz w:val="24"/>
                <w:szCs w:val="24"/>
              </w:rPr>
            </w:pPr>
          </w:p>
        </w:tc>
        <w:tc>
          <w:tcPr>
            <w:tcW w:w="1037" w:type="dxa"/>
          </w:tcPr>
          <w:p w14:paraId="4A3C8156">
            <w:pPr>
              <w:rPr>
                <w:rFonts w:hint="eastAsia" w:ascii="仿宋_GB2312" w:hAnsi="仿宋_GB2312" w:eastAsia="仿宋_GB2312" w:cs="仿宋_GB2312"/>
                <w:sz w:val="24"/>
                <w:szCs w:val="24"/>
              </w:rPr>
            </w:pPr>
          </w:p>
        </w:tc>
        <w:tc>
          <w:tcPr>
            <w:tcW w:w="857" w:type="dxa"/>
          </w:tcPr>
          <w:p w14:paraId="17C166F0">
            <w:pPr>
              <w:rPr>
                <w:rFonts w:hint="eastAsia" w:ascii="仿宋_GB2312" w:hAnsi="仿宋_GB2312" w:eastAsia="仿宋_GB2312" w:cs="仿宋_GB2312"/>
                <w:sz w:val="24"/>
                <w:szCs w:val="24"/>
              </w:rPr>
            </w:pPr>
          </w:p>
        </w:tc>
        <w:tc>
          <w:tcPr>
            <w:tcW w:w="1037" w:type="dxa"/>
          </w:tcPr>
          <w:p w14:paraId="46D5D619">
            <w:pPr>
              <w:rPr>
                <w:rFonts w:hint="eastAsia" w:ascii="仿宋_GB2312" w:hAnsi="仿宋_GB2312" w:eastAsia="仿宋_GB2312" w:cs="仿宋_GB2312"/>
                <w:sz w:val="24"/>
                <w:szCs w:val="24"/>
              </w:rPr>
            </w:pPr>
          </w:p>
        </w:tc>
        <w:tc>
          <w:tcPr>
            <w:tcW w:w="947" w:type="dxa"/>
          </w:tcPr>
          <w:p w14:paraId="4DEAC7FE">
            <w:pPr>
              <w:rPr>
                <w:rFonts w:hint="eastAsia" w:ascii="仿宋_GB2312" w:hAnsi="仿宋_GB2312" w:eastAsia="仿宋_GB2312" w:cs="仿宋_GB2312"/>
                <w:sz w:val="24"/>
                <w:szCs w:val="24"/>
              </w:rPr>
            </w:pPr>
          </w:p>
        </w:tc>
        <w:tc>
          <w:tcPr>
            <w:tcW w:w="1087" w:type="dxa"/>
          </w:tcPr>
          <w:p w14:paraId="19ADE751">
            <w:pPr>
              <w:rPr>
                <w:rFonts w:hint="eastAsia" w:ascii="仿宋_GB2312" w:hAnsi="仿宋_GB2312" w:eastAsia="仿宋_GB2312" w:cs="仿宋_GB2312"/>
                <w:sz w:val="24"/>
                <w:szCs w:val="24"/>
              </w:rPr>
            </w:pPr>
          </w:p>
        </w:tc>
        <w:tc>
          <w:tcPr>
            <w:tcW w:w="900" w:type="dxa"/>
          </w:tcPr>
          <w:p w14:paraId="631FF165">
            <w:pPr>
              <w:rPr>
                <w:rFonts w:hint="eastAsia" w:ascii="仿宋_GB2312" w:hAnsi="仿宋_GB2312" w:eastAsia="仿宋_GB2312" w:cs="仿宋_GB2312"/>
                <w:sz w:val="24"/>
                <w:szCs w:val="24"/>
              </w:rPr>
            </w:pPr>
          </w:p>
        </w:tc>
        <w:tc>
          <w:tcPr>
            <w:tcW w:w="854" w:type="dxa"/>
          </w:tcPr>
          <w:p w14:paraId="5F5EEC90">
            <w:pPr>
              <w:rPr>
                <w:rFonts w:hint="eastAsia" w:ascii="仿宋_GB2312" w:hAnsi="仿宋_GB2312" w:eastAsia="仿宋_GB2312" w:cs="仿宋_GB2312"/>
                <w:sz w:val="24"/>
                <w:szCs w:val="24"/>
              </w:rPr>
            </w:pPr>
          </w:p>
        </w:tc>
      </w:tr>
      <w:tr w14:paraId="68F4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6A812B56">
            <w:pPr>
              <w:rPr>
                <w:rFonts w:hint="eastAsia" w:ascii="仿宋_GB2312" w:hAnsi="仿宋_GB2312" w:eastAsia="仿宋_GB2312" w:cs="仿宋_GB2312"/>
                <w:sz w:val="24"/>
                <w:szCs w:val="24"/>
              </w:rPr>
            </w:pPr>
          </w:p>
        </w:tc>
        <w:tc>
          <w:tcPr>
            <w:tcW w:w="1985" w:type="dxa"/>
          </w:tcPr>
          <w:p w14:paraId="0A4DD373">
            <w:pPr>
              <w:rPr>
                <w:rFonts w:hint="eastAsia" w:ascii="仿宋_GB2312" w:hAnsi="仿宋_GB2312" w:eastAsia="仿宋_GB2312" w:cs="仿宋_GB2312"/>
                <w:sz w:val="24"/>
                <w:szCs w:val="24"/>
              </w:rPr>
            </w:pPr>
          </w:p>
        </w:tc>
        <w:tc>
          <w:tcPr>
            <w:tcW w:w="1037" w:type="dxa"/>
          </w:tcPr>
          <w:p w14:paraId="43E6FA16">
            <w:pPr>
              <w:rPr>
                <w:rFonts w:hint="eastAsia" w:ascii="仿宋_GB2312" w:hAnsi="仿宋_GB2312" w:eastAsia="仿宋_GB2312" w:cs="仿宋_GB2312"/>
                <w:sz w:val="24"/>
                <w:szCs w:val="24"/>
              </w:rPr>
            </w:pPr>
          </w:p>
        </w:tc>
        <w:tc>
          <w:tcPr>
            <w:tcW w:w="857" w:type="dxa"/>
          </w:tcPr>
          <w:p w14:paraId="17F645E8">
            <w:pPr>
              <w:rPr>
                <w:rFonts w:hint="eastAsia" w:ascii="仿宋_GB2312" w:hAnsi="仿宋_GB2312" w:eastAsia="仿宋_GB2312" w:cs="仿宋_GB2312"/>
                <w:sz w:val="24"/>
                <w:szCs w:val="24"/>
              </w:rPr>
            </w:pPr>
          </w:p>
        </w:tc>
        <w:tc>
          <w:tcPr>
            <w:tcW w:w="1037" w:type="dxa"/>
          </w:tcPr>
          <w:p w14:paraId="59431297">
            <w:pPr>
              <w:rPr>
                <w:rFonts w:hint="eastAsia" w:ascii="仿宋_GB2312" w:hAnsi="仿宋_GB2312" w:eastAsia="仿宋_GB2312" w:cs="仿宋_GB2312"/>
                <w:sz w:val="24"/>
                <w:szCs w:val="24"/>
              </w:rPr>
            </w:pPr>
          </w:p>
        </w:tc>
        <w:tc>
          <w:tcPr>
            <w:tcW w:w="947" w:type="dxa"/>
          </w:tcPr>
          <w:p w14:paraId="6629C529">
            <w:pPr>
              <w:rPr>
                <w:rFonts w:hint="eastAsia" w:ascii="仿宋_GB2312" w:hAnsi="仿宋_GB2312" w:eastAsia="仿宋_GB2312" w:cs="仿宋_GB2312"/>
                <w:sz w:val="24"/>
                <w:szCs w:val="24"/>
              </w:rPr>
            </w:pPr>
          </w:p>
        </w:tc>
        <w:tc>
          <w:tcPr>
            <w:tcW w:w="1087" w:type="dxa"/>
          </w:tcPr>
          <w:p w14:paraId="60985E01">
            <w:pPr>
              <w:rPr>
                <w:rFonts w:hint="eastAsia" w:ascii="仿宋_GB2312" w:hAnsi="仿宋_GB2312" w:eastAsia="仿宋_GB2312" w:cs="仿宋_GB2312"/>
                <w:sz w:val="24"/>
                <w:szCs w:val="24"/>
              </w:rPr>
            </w:pPr>
          </w:p>
        </w:tc>
        <w:tc>
          <w:tcPr>
            <w:tcW w:w="900" w:type="dxa"/>
          </w:tcPr>
          <w:p w14:paraId="44297277">
            <w:pPr>
              <w:rPr>
                <w:rFonts w:hint="eastAsia" w:ascii="仿宋_GB2312" w:hAnsi="仿宋_GB2312" w:eastAsia="仿宋_GB2312" w:cs="仿宋_GB2312"/>
                <w:sz w:val="24"/>
                <w:szCs w:val="24"/>
              </w:rPr>
            </w:pPr>
          </w:p>
        </w:tc>
        <w:tc>
          <w:tcPr>
            <w:tcW w:w="854" w:type="dxa"/>
          </w:tcPr>
          <w:p w14:paraId="6079B6DD">
            <w:pPr>
              <w:rPr>
                <w:rFonts w:hint="eastAsia" w:ascii="仿宋_GB2312" w:hAnsi="仿宋_GB2312" w:eastAsia="仿宋_GB2312" w:cs="仿宋_GB2312"/>
                <w:sz w:val="24"/>
                <w:szCs w:val="24"/>
              </w:rPr>
            </w:pPr>
          </w:p>
        </w:tc>
      </w:tr>
      <w:tr w14:paraId="7B81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08DBB3ED">
            <w:pPr>
              <w:rPr>
                <w:rFonts w:hint="eastAsia" w:ascii="仿宋_GB2312" w:hAnsi="仿宋_GB2312" w:eastAsia="仿宋_GB2312" w:cs="仿宋_GB2312"/>
                <w:sz w:val="24"/>
                <w:szCs w:val="24"/>
              </w:rPr>
            </w:pPr>
          </w:p>
        </w:tc>
        <w:tc>
          <w:tcPr>
            <w:tcW w:w="1985" w:type="dxa"/>
          </w:tcPr>
          <w:p w14:paraId="09C15DA0">
            <w:pPr>
              <w:rPr>
                <w:rFonts w:hint="eastAsia" w:ascii="仿宋_GB2312" w:hAnsi="仿宋_GB2312" w:eastAsia="仿宋_GB2312" w:cs="仿宋_GB2312"/>
                <w:sz w:val="24"/>
                <w:szCs w:val="24"/>
              </w:rPr>
            </w:pPr>
          </w:p>
        </w:tc>
        <w:tc>
          <w:tcPr>
            <w:tcW w:w="1037" w:type="dxa"/>
          </w:tcPr>
          <w:p w14:paraId="69A71A71">
            <w:pPr>
              <w:rPr>
                <w:rFonts w:hint="eastAsia" w:ascii="仿宋_GB2312" w:hAnsi="仿宋_GB2312" w:eastAsia="仿宋_GB2312" w:cs="仿宋_GB2312"/>
                <w:sz w:val="24"/>
                <w:szCs w:val="24"/>
              </w:rPr>
            </w:pPr>
          </w:p>
        </w:tc>
        <w:tc>
          <w:tcPr>
            <w:tcW w:w="857" w:type="dxa"/>
          </w:tcPr>
          <w:p w14:paraId="09BDBBD0">
            <w:pPr>
              <w:rPr>
                <w:rFonts w:hint="eastAsia" w:ascii="仿宋_GB2312" w:hAnsi="仿宋_GB2312" w:eastAsia="仿宋_GB2312" w:cs="仿宋_GB2312"/>
                <w:sz w:val="24"/>
                <w:szCs w:val="24"/>
              </w:rPr>
            </w:pPr>
          </w:p>
        </w:tc>
        <w:tc>
          <w:tcPr>
            <w:tcW w:w="1037" w:type="dxa"/>
          </w:tcPr>
          <w:p w14:paraId="66964439">
            <w:pPr>
              <w:rPr>
                <w:rFonts w:hint="eastAsia" w:ascii="仿宋_GB2312" w:hAnsi="仿宋_GB2312" w:eastAsia="仿宋_GB2312" w:cs="仿宋_GB2312"/>
                <w:sz w:val="24"/>
                <w:szCs w:val="24"/>
              </w:rPr>
            </w:pPr>
          </w:p>
        </w:tc>
        <w:tc>
          <w:tcPr>
            <w:tcW w:w="947" w:type="dxa"/>
          </w:tcPr>
          <w:p w14:paraId="10BDC54B">
            <w:pPr>
              <w:rPr>
                <w:rFonts w:hint="eastAsia" w:ascii="仿宋_GB2312" w:hAnsi="仿宋_GB2312" w:eastAsia="仿宋_GB2312" w:cs="仿宋_GB2312"/>
                <w:sz w:val="24"/>
                <w:szCs w:val="24"/>
              </w:rPr>
            </w:pPr>
          </w:p>
        </w:tc>
        <w:tc>
          <w:tcPr>
            <w:tcW w:w="1087" w:type="dxa"/>
          </w:tcPr>
          <w:p w14:paraId="77BB18C8">
            <w:pPr>
              <w:rPr>
                <w:rFonts w:hint="eastAsia" w:ascii="仿宋_GB2312" w:hAnsi="仿宋_GB2312" w:eastAsia="仿宋_GB2312" w:cs="仿宋_GB2312"/>
                <w:sz w:val="24"/>
                <w:szCs w:val="24"/>
              </w:rPr>
            </w:pPr>
          </w:p>
        </w:tc>
        <w:tc>
          <w:tcPr>
            <w:tcW w:w="900" w:type="dxa"/>
          </w:tcPr>
          <w:p w14:paraId="5DB75D06">
            <w:pPr>
              <w:rPr>
                <w:rFonts w:hint="eastAsia" w:ascii="仿宋_GB2312" w:hAnsi="仿宋_GB2312" w:eastAsia="仿宋_GB2312" w:cs="仿宋_GB2312"/>
                <w:sz w:val="24"/>
                <w:szCs w:val="24"/>
              </w:rPr>
            </w:pPr>
          </w:p>
        </w:tc>
        <w:tc>
          <w:tcPr>
            <w:tcW w:w="854" w:type="dxa"/>
          </w:tcPr>
          <w:p w14:paraId="466EC276">
            <w:pPr>
              <w:rPr>
                <w:rFonts w:hint="eastAsia" w:ascii="仿宋_GB2312" w:hAnsi="仿宋_GB2312" w:eastAsia="仿宋_GB2312" w:cs="仿宋_GB2312"/>
                <w:sz w:val="24"/>
                <w:szCs w:val="24"/>
              </w:rPr>
            </w:pPr>
          </w:p>
        </w:tc>
      </w:tr>
      <w:tr w14:paraId="7DD2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11B81701">
            <w:pPr>
              <w:rPr>
                <w:rFonts w:hint="eastAsia" w:ascii="仿宋_GB2312" w:hAnsi="仿宋_GB2312" w:eastAsia="仿宋_GB2312" w:cs="仿宋_GB2312"/>
                <w:sz w:val="24"/>
                <w:szCs w:val="24"/>
              </w:rPr>
            </w:pPr>
          </w:p>
        </w:tc>
        <w:tc>
          <w:tcPr>
            <w:tcW w:w="1985" w:type="dxa"/>
          </w:tcPr>
          <w:p w14:paraId="3226594D">
            <w:pPr>
              <w:rPr>
                <w:rFonts w:hint="eastAsia" w:ascii="仿宋_GB2312" w:hAnsi="仿宋_GB2312" w:eastAsia="仿宋_GB2312" w:cs="仿宋_GB2312"/>
                <w:sz w:val="24"/>
                <w:szCs w:val="24"/>
              </w:rPr>
            </w:pPr>
          </w:p>
        </w:tc>
        <w:tc>
          <w:tcPr>
            <w:tcW w:w="1037" w:type="dxa"/>
          </w:tcPr>
          <w:p w14:paraId="349A2CD8">
            <w:pPr>
              <w:rPr>
                <w:rFonts w:hint="eastAsia" w:ascii="仿宋_GB2312" w:hAnsi="仿宋_GB2312" w:eastAsia="仿宋_GB2312" w:cs="仿宋_GB2312"/>
                <w:sz w:val="24"/>
                <w:szCs w:val="24"/>
              </w:rPr>
            </w:pPr>
          </w:p>
        </w:tc>
        <w:tc>
          <w:tcPr>
            <w:tcW w:w="857" w:type="dxa"/>
          </w:tcPr>
          <w:p w14:paraId="1CF9CD51">
            <w:pPr>
              <w:rPr>
                <w:rFonts w:hint="eastAsia" w:ascii="仿宋_GB2312" w:hAnsi="仿宋_GB2312" w:eastAsia="仿宋_GB2312" w:cs="仿宋_GB2312"/>
                <w:sz w:val="24"/>
                <w:szCs w:val="24"/>
              </w:rPr>
            </w:pPr>
          </w:p>
        </w:tc>
        <w:tc>
          <w:tcPr>
            <w:tcW w:w="1037" w:type="dxa"/>
          </w:tcPr>
          <w:p w14:paraId="39D6AE77">
            <w:pPr>
              <w:rPr>
                <w:rFonts w:hint="eastAsia" w:ascii="仿宋_GB2312" w:hAnsi="仿宋_GB2312" w:eastAsia="仿宋_GB2312" w:cs="仿宋_GB2312"/>
                <w:sz w:val="24"/>
                <w:szCs w:val="24"/>
              </w:rPr>
            </w:pPr>
          </w:p>
        </w:tc>
        <w:tc>
          <w:tcPr>
            <w:tcW w:w="947" w:type="dxa"/>
          </w:tcPr>
          <w:p w14:paraId="24018138">
            <w:pPr>
              <w:rPr>
                <w:rFonts w:hint="eastAsia" w:ascii="仿宋_GB2312" w:hAnsi="仿宋_GB2312" w:eastAsia="仿宋_GB2312" w:cs="仿宋_GB2312"/>
                <w:sz w:val="24"/>
                <w:szCs w:val="24"/>
              </w:rPr>
            </w:pPr>
          </w:p>
        </w:tc>
        <w:tc>
          <w:tcPr>
            <w:tcW w:w="1087" w:type="dxa"/>
          </w:tcPr>
          <w:p w14:paraId="40A50FAB">
            <w:pPr>
              <w:rPr>
                <w:rFonts w:hint="eastAsia" w:ascii="仿宋_GB2312" w:hAnsi="仿宋_GB2312" w:eastAsia="仿宋_GB2312" w:cs="仿宋_GB2312"/>
                <w:sz w:val="24"/>
                <w:szCs w:val="24"/>
              </w:rPr>
            </w:pPr>
          </w:p>
        </w:tc>
        <w:tc>
          <w:tcPr>
            <w:tcW w:w="900" w:type="dxa"/>
          </w:tcPr>
          <w:p w14:paraId="744234A6">
            <w:pPr>
              <w:rPr>
                <w:rFonts w:hint="eastAsia" w:ascii="仿宋_GB2312" w:hAnsi="仿宋_GB2312" w:eastAsia="仿宋_GB2312" w:cs="仿宋_GB2312"/>
                <w:sz w:val="24"/>
                <w:szCs w:val="24"/>
              </w:rPr>
            </w:pPr>
          </w:p>
        </w:tc>
        <w:tc>
          <w:tcPr>
            <w:tcW w:w="854" w:type="dxa"/>
          </w:tcPr>
          <w:p w14:paraId="73A3D8FA">
            <w:pPr>
              <w:rPr>
                <w:rFonts w:hint="eastAsia" w:ascii="仿宋_GB2312" w:hAnsi="仿宋_GB2312" w:eastAsia="仿宋_GB2312" w:cs="仿宋_GB2312"/>
                <w:sz w:val="24"/>
                <w:szCs w:val="24"/>
              </w:rPr>
            </w:pPr>
          </w:p>
        </w:tc>
      </w:tr>
      <w:tr w14:paraId="215B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6A798201">
            <w:pPr>
              <w:rPr>
                <w:rFonts w:hint="eastAsia" w:ascii="仿宋_GB2312" w:hAnsi="仿宋_GB2312" w:eastAsia="仿宋_GB2312" w:cs="仿宋_GB2312"/>
                <w:sz w:val="24"/>
                <w:szCs w:val="24"/>
              </w:rPr>
            </w:pPr>
          </w:p>
        </w:tc>
        <w:tc>
          <w:tcPr>
            <w:tcW w:w="1985" w:type="dxa"/>
          </w:tcPr>
          <w:p w14:paraId="62C5B9F9">
            <w:pPr>
              <w:rPr>
                <w:rFonts w:hint="eastAsia" w:ascii="仿宋_GB2312" w:hAnsi="仿宋_GB2312" w:eastAsia="仿宋_GB2312" w:cs="仿宋_GB2312"/>
                <w:sz w:val="24"/>
                <w:szCs w:val="24"/>
              </w:rPr>
            </w:pPr>
          </w:p>
        </w:tc>
        <w:tc>
          <w:tcPr>
            <w:tcW w:w="1037" w:type="dxa"/>
          </w:tcPr>
          <w:p w14:paraId="4ABA535D">
            <w:pPr>
              <w:rPr>
                <w:rFonts w:hint="eastAsia" w:ascii="仿宋_GB2312" w:hAnsi="仿宋_GB2312" w:eastAsia="仿宋_GB2312" w:cs="仿宋_GB2312"/>
                <w:sz w:val="24"/>
                <w:szCs w:val="24"/>
              </w:rPr>
            </w:pPr>
          </w:p>
        </w:tc>
        <w:tc>
          <w:tcPr>
            <w:tcW w:w="857" w:type="dxa"/>
          </w:tcPr>
          <w:p w14:paraId="1B0E3D00">
            <w:pPr>
              <w:rPr>
                <w:rFonts w:hint="eastAsia" w:ascii="仿宋_GB2312" w:hAnsi="仿宋_GB2312" w:eastAsia="仿宋_GB2312" w:cs="仿宋_GB2312"/>
                <w:sz w:val="24"/>
                <w:szCs w:val="24"/>
              </w:rPr>
            </w:pPr>
          </w:p>
        </w:tc>
        <w:tc>
          <w:tcPr>
            <w:tcW w:w="1037" w:type="dxa"/>
          </w:tcPr>
          <w:p w14:paraId="37C22564">
            <w:pPr>
              <w:rPr>
                <w:rFonts w:hint="eastAsia" w:ascii="仿宋_GB2312" w:hAnsi="仿宋_GB2312" w:eastAsia="仿宋_GB2312" w:cs="仿宋_GB2312"/>
                <w:sz w:val="24"/>
                <w:szCs w:val="24"/>
              </w:rPr>
            </w:pPr>
          </w:p>
        </w:tc>
        <w:tc>
          <w:tcPr>
            <w:tcW w:w="947" w:type="dxa"/>
          </w:tcPr>
          <w:p w14:paraId="1BB791AC">
            <w:pPr>
              <w:rPr>
                <w:rFonts w:hint="eastAsia" w:ascii="仿宋_GB2312" w:hAnsi="仿宋_GB2312" w:eastAsia="仿宋_GB2312" w:cs="仿宋_GB2312"/>
                <w:sz w:val="24"/>
                <w:szCs w:val="24"/>
              </w:rPr>
            </w:pPr>
          </w:p>
        </w:tc>
        <w:tc>
          <w:tcPr>
            <w:tcW w:w="1087" w:type="dxa"/>
          </w:tcPr>
          <w:p w14:paraId="3AE18B7A">
            <w:pPr>
              <w:rPr>
                <w:rFonts w:hint="eastAsia" w:ascii="仿宋_GB2312" w:hAnsi="仿宋_GB2312" w:eastAsia="仿宋_GB2312" w:cs="仿宋_GB2312"/>
                <w:sz w:val="24"/>
                <w:szCs w:val="24"/>
              </w:rPr>
            </w:pPr>
          </w:p>
        </w:tc>
        <w:tc>
          <w:tcPr>
            <w:tcW w:w="900" w:type="dxa"/>
          </w:tcPr>
          <w:p w14:paraId="62E2212C">
            <w:pPr>
              <w:rPr>
                <w:rFonts w:hint="eastAsia" w:ascii="仿宋_GB2312" w:hAnsi="仿宋_GB2312" w:eastAsia="仿宋_GB2312" w:cs="仿宋_GB2312"/>
                <w:sz w:val="24"/>
                <w:szCs w:val="24"/>
              </w:rPr>
            </w:pPr>
          </w:p>
        </w:tc>
        <w:tc>
          <w:tcPr>
            <w:tcW w:w="854" w:type="dxa"/>
          </w:tcPr>
          <w:p w14:paraId="00050C84">
            <w:pPr>
              <w:rPr>
                <w:rFonts w:hint="eastAsia" w:ascii="仿宋_GB2312" w:hAnsi="仿宋_GB2312" w:eastAsia="仿宋_GB2312" w:cs="仿宋_GB2312"/>
                <w:sz w:val="24"/>
                <w:szCs w:val="24"/>
              </w:rPr>
            </w:pPr>
          </w:p>
        </w:tc>
      </w:tr>
    </w:tbl>
    <w:p w14:paraId="7EBC4CB7">
      <w:pPr>
        <w:rPr>
          <w:rFonts w:ascii="Times New Roman" w:hAnsi="Times New Roman" w:cs="Times New Roman"/>
          <w:snapToGrid w:val="0"/>
        </w:rPr>
      </w:pPr>
    </w:p>
    <w:p w14:paraId="5DFB2C19">
      <w:pPr>
        <w:rPr>
          <w:rFonts w:hint="eastAsia" w:ascii="Times New Roman" w:hAnsi="Times New Roman" w:cs="Times New Roman"/>
          <w:snapToGrid w:val="0"/>
        </w:rPr>
      </w:pPr>
      <w:r>
        <w:rPr>
          <w:rFonts w:ascii="Times New Roman" w:hAnsi="Times New Roman" w:cs="Times New Roman"/>
          <w:snapToGrid w:val="0"/>
        </w:rPr>
        <w:br w:type="page"/>
      </w:r>
    </w:p>
    <w:p w14:paraId="22A8FCA3">
      <w:pPr>
        <w:pStyle w:val="3"/>
        <w:ind w:firstLine="800"/>
        <w:jc w:val="center"/>
        <w:outlineLvl w:val="2"/>
        <w:rPr>
          <w:rFonts w:ascii="黑体" w:hAnsi="黑体" w:eastAsia="黑体" w:cs="Times New Roman"/>
          <w:snapToGrid w:val="0"/>
          <w:color w:val="auto"/>
          <w:sz w:val="32"/>
          <w:szCs w:val="32"/>
        </w:rPr>
      </w:pPr>
      <w:bookmarkStart w:id="446" w:name="_Toc6844"/>
      <w:r>
        <w:rPr>
          <w:rFonts w:ascii="黑体" w:hAnsi="黑体" w:eastAsia="黑体" w:cs="Times New Roman"/>
          <w:snapToGrid w:val="0"/>
          <w:color w:val="auto"/>
          <w:sz w:val="32"/>
          <w:szCs w:val="32"/>
        </w:rPr>
        <w:t>九、响应方案</w:t>
      </w:r>
      <w:bookmarkEnd w:id="446"/>
    </w:p>
    <w:p w14:paraId="60DDBD40">
      <w:pPr>
        <w:rPr>
          <w:rFonts w:ascii="Times New Roman" w:hAnsi="Times New Roman" w:cs="Times New Roman"/>
          <w:snapToGrid w:val="0"/>
        </w:rPr>
      </w:pPr>
    </w:p>
    <w:p w14:paraId="14B25EB0">
      <w:pPr>
        <w:spacing w:after="0"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响应方案一般包括(但不限于)下列内容：</w:t>
      </w:r>
    </w:p>
    <w:p w14:paraId="0779D63B">
      <w:pPr>
        <w:pStyle w:val="14"/>
        <w:jc w:val="both"/>
        <w:rPr>
          <w:rFonts w:ascii="Times New Roman" w:hAnsi="Times New Roman" w:cs="Times New Roman"/>
          <w:snapToGrid w:val="0"/>
        </w:rPr>
      </w:pPr>
      <w:r>
        <w:rPr>
          <w:rFonts w:ascii="Times New Roman" w:hAnsi="Times New Roman" w:cs="Times New Roman"/>
          <w:snapToGrid w:val="0"/>
        </w:rPr>
        <w:t>（1）对项目的理解；</w:t>
      </w:r>
    </w:p>
    <w:p w14:paraId="33FB3B13">
      <w:pPr>
        <w:pStyle w:val="14"/>
        <w:jc w:val="both"/>
        <w:rPr>
          <w:rFonts w:ascii="Times New Roman" w:hAnsi="Times New Roman" w:cs="Times New Roman"/>
          <w:snapToGrid w:val="0"/>
        </w:rPr>
      </w:pPr>
      <w:r>
        <w:rPr>
          <w:rFonts w:ascii="Times New Roman" w:hAnsi="Times New Roman" w:cs="Times New Roman"/>
          <w:snapToGrid w:val="0"/>
        </w:rPr>
        <w:t>（2）服务范围及内容；</w:t>
      </w:r>
    </w:p>
    <w:p w14:paraId="0026DB47">
      <w:pPr>
        <w:pStyle w:val="14"/>
        <w:jc w:val="both"/>
        <w:rPr>
          <w:rFonts w:ascii="Times New Roman" w:hAnsi="Times New Roman" w:cs="Times New Roman"/>
          <w:snapToGrid w:val="0"/>
        </w:rPr>
      </w:pPr>
      <w:r>
        <w:rPr>
          <w:rFonts w:ascii="Times New Roman" w:hAnsi="Times New Roman" w:cs="Times New Roman"/>
          <w:snapToGrid w:val="0"/>
        </w:rPr>
        <w:t>（3）服务工作的依据、工作目标；</w:t>
      </w:r>
    </w:p>
    <w:p w14:paraId="31111F78">
      <w:pPr>
        <w:pStyle w:val="14"/>
        <w:jc w:val="both"/>
        <w:rPr>
          <w:rFonts w:ascii="Times New Roman" w:hAnsi="Times New Roman" w:cs="Times New Roman"/>
          <w:snapToGrid w:val="0"/>
        </w:rPr>
      </w:pPr>
      <w:r>
        <w:rPr>
          <w:rFonts w:ascii="Times New Roman" w:hAnsi="Times New Roman" w:cs="Times New Roman"/>
          <w:snapToGrid w:val="0"/>
        </w:rPr>
        <w:t>（4）服务机构设置(框图)、岗位职责；</w:t>
      </w:r>
    </w:p>
    <w:p w14:paraId="4A52175C">
      <w:pPr>
        <w:pStyle w:val="14"/>
        <w:jc w:val="both"/>
        <w:rPr>
          <w:rFonts w:ascii="Times New Roman" w:hAnsi="Times New Roman" w:cs="Times New Roman"/>
          <w:snapToGrid w:val="0"/>
        </w:rPr>
      </w:pPr>
      <w:r>
        <w:rPr>
          <w:rFonts w:ascii="Times New Roman" w:hAnsi="Times New Roman" w:cs="Times New Roman"/>
          <w:snapToGrid w:val="0"/>
        </w:rPr>
        <w:t>（5）拟投入本项目的服务人员及主要人员简历；</w:t>
      </w:r>
    </w:p>
    <w:p w14:paraId="246AE192">
      <w:pPr>
        <w:pStyle w:val="14"/>
        <w:jc w:val="both"/>
        <w:rPr>
          <w:rFonts w:ascii="Times New Roman" w:hAnsi="Times New Roman" w:cs="Times New Roman"/>
          <w:snapToGrid w:val="0"/>
        </w:rPr>
      </w:pPr>
      <w:r>
        <w:rPr>
          <w:rFonts w:ascii="Times New Roman" w:hAnsi="Times New Roman" w:cs="Times New Roman"/>
          <w:snapToGrid w:val="0"/>
        </w:rPr>
        <w:t>（6）拟分包计划及情况说明；</w:t>
      </w:r>
    </w:p>
    <w:p w14:paraId="586E4471">
      <w:pPr>
        <w:pStyle w:val="14"/>
        <w:jc w:val="both"/>
        <w:rPr>
          <w:rFonts w:ascii="Times New Roman" w:hAnsi="Times New Roman" w:cs="Times New Roman"/>
          <w:snapToGrid w:val="0"/>
        </w:rPr>
      </w:pPr>
      <w:r>
        <w:rPr>
          <w:rFonts w:ascii="Times New Roman" w:hAnsi="Times New Roman" w:cs="Times New Roman"/>
          <w:snapToGrid w:val="0"/>
        </w:rPr>
        <w:t>（7）服务质量、进度、保密等保证措施；</w:t>
      </w:r>
    </w:p>
    <w:p w14:paraId="087852A2">
      <w:pPr>
        <w:pStyle w:val="14"/>
        <w:jc w:val="both"/>
        <w:rPr>
          <w:rFonts w:ascii="Times New Roman" w:hAnsi="Times New Roman" w:cs="Times New Roman"/>
          <w:snapToGrid w:val="0"/>
        </w:rPr>
      </w:pPr>
      <w:r>
        <w:rPr>
          <w:rFonts w:ascii="Times New Roman" w:hAnsi="Times New Roman" w:cs="Times New Roman"/>
          <w:snapToGrid w:val="0"/>
        </w:rPr>
        <w:t>（8）服务工作重点、难点分析；</w:t>
      </w:r>
    </w:p>
    <w:p w14:paraId="46A1C133">
      <w:pPr>
        <w:pStyle w:val="14"/>
        <w:jc w:val="both"/>
        <w:rPr>
          <w:rFonts w:ascii="Times New Roman" w:hAnsi="Times New Roman" w:cs="Times New Roman"/>
          <w:snapToGrid w:val="0"/>
        </w:rPr>
      </w:pPr>
      <w:r>
        <w:rPr>
          <w:rFonts w:ascii="Times New Roman" w:hAnsi="Times New Roman" w:cs="Times New Roman"/>
          <w:snapToGrid w:val="0"/>
        </w:rPr>
        <w:t>（9）对本项目的合理化建议。</w:t>
      </w:r>
    </w:p>
    <w:p w14:paraId="0073F244">
      <w:pPr>
        <w:rPr>
          <w:rFonts w:ascii="Times New Roman" w:hAnsi="Times New Roman" w:eastAsia="仿宋_GB2312" w:cs="Times New Roman"/>
          <w:snapToGrid w:val="0"/>
          <w:sz w:val="32"/>
          <w:szCs w:val="32"/>
        </w:rPr>
      </w:pPr>
      <w:bookmarkStart w:id="447" w:name="扫描0069"/>
      <w:bookmarkEnd w:id="447"/>
      <w:r>
        <w:rPr>
          <w:rFonts w:ascii="Times New Roman" w:hAnsi="Times New Roman" w:eastAsia="仿宋_GB2312" w:cs="Times New Roman"/>
          <w:snapToGrid w:val="0"/>
          <w:sz w:val="32"/>
          <w:szCs w:val="32"/>
        </w:rPr>
        <w:br w:type="page"/>
      </w:r>
    </w:p>
    <w:p w14:paraId="42AF2F16">
      <w:pPr>
        <w:rPr>
          <w:rFonts w:ascii="Times New Roman" w:hAnsi="Times New Roman" w:cs="Times New Roman"/>
          <w:snapToGrid w:val="0"/>
        </w:rPr>
      </w:pPr>
    </w:p>
    <w:p w14:paraId="3ECB4435">
      <w:pPr>
        <w:autoSpaceDE w:val="0"/>
        <w:autoSpaceDN w:val="0"/>
        <w:adjustRightInd w:val="0"/>
        <w:jc w:val="center"/>
        <w:rPr>
          <w:rFonts w:ascii="Times" w:hAnsi="Times" w:eastAsia="黑体" w:cs="宋体"/>
          <w:color w:val="000000"/>
          <w:kern w:val="0"/>
          <w:sz w:val="36"/>
          <w:szCs w:val="32"/>
        </w:rPr>
      </w:pPr>
      <w:bookmarkStart w:id="448" w:name="_bookmark23"/>
      <w:bookmarkEnd w:id="448"/>
      <w:bookmarkStart w:id="449" w:name="_Toc12247"/>
      <w:r>
        <w:rPr>
          <w:rFonts w:ascii="黑体" w:hAnsi="黑体" w:eastAsia="黑体" w:cs="Times New Roman"/>
          <w:snapToGrid w:val="0"/>
          <w:color w:val="000000" w:themeColor="text1"/>
          <w:sz w:val="32"/>
          <w:szCs w:val="32"/>
        </w:rPr>
        <w:t>十、</w:t>
      </w:r>
      <w:bookmarkEnd w:id="449"/>
      <w:r>
        <w:rPr>
          <w:rFonts w:hint="eastAsia" w:ascii="Times" w:hAnsi="Times" w:eastAsia="黑体" w:cs="宋体"/>
          <w:color w:val="000000"/>
          <w:kern w:val="0"/>
          <w:sz w:val="36"/>
          <w:szCs w:val="32"/>
        </w:rPr>
        <w:t>中粮糖业廉洁承诺书</w:t>
      </w:r>
    </w:p>
    <w:p w14:paraId="48DE5CFE">
      <w:pPr>
        <w:autoSpaceDE w:val="0"/>
        <w:autoSpaceDN w:val="0"/>
        <w:adjustRightInd w:val="0"/>
        <w:ind w:firstLine="720" w:firstLineChars="200"/>
        <w:jc w:val="center"/>
        <w:rPr>
          <w:rFonts w:ascii="Times" w:hAnsi="Times" w:eastAsia="黑体" w:cs="宋体"/>
          <w:color w:val="000000"/>
          <w:kern w:val="0"/>
          <w:sz w:val="36"/>
          <w:szCs w:val="32"/>
        </w:rPr>
      </w:pPr>
    </w:p>
    <w:p w14:paraId="197BE60B">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中粮糖业及下属分子公司</w:t>
      </w:r>
      <w:r>
        <w:rPr>
          <w:rFonts w:hint="eastAsia" w:ascii="Times" w:hAnsi="Times" w:eastAsia="仿宋_GB2312" w:cs="宋体"/>
          <w:color w:val="000000"/>
          <w:kern w:val="0"/>
          <w:sz w:val="32"/>
          <w:szCs w:val="32"/>
        </w:rPr>
        <w:t>：</w:t>
      </w:r>
    </w:p>
    <w:p w14:paraId="321A17B1">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为积极配合贵公司进行的项目采购与招投标工作，有效遏制不公平竞争和违规违纪问题的发生，确保采购与招投标工作的公平、公正、公开，我们特向贵公司承诺如下事项：</w:t>
      </w:r>
    </w:p>
    <w:p w14:paraId="7905A8B6">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1、自觉遵守国家法律法规及中粮糖业有关廉政建设制度。</w:t>
      </w:r>
    </w:p>
    <w:p w14:paraId="31180E9C">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2、不使用不正当手段妨碍、排挤其它投标单位或串通投标。</w:t>
      </w:r>
    </w:p>
    <w:p w14:paraId="7EF83A79">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3、按照采购文件规定的方式进行投标，不隐瞒本单位投标资质的真实情况，投标资质符合规定；保证不会以其他人名义投标或者以其他方式弄虚作假，骗取中标。</w:t>
      </w:r>
    </w:p>
    <w:p w14:paraId="40164DAC">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4、不将主体、关键性工作进行分包（包括贴牌生产、转包等）。</w:t>
      </w:r>
    </w:p>
    <w:p w14:paraId="12DF9719">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5、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14:paraId="6A2E658B">
      <w:pPr>
        <w:autoSpaceDE w:val="0"/>
        <w:autoSpaceDN w:val="0"/>
        <w:adjustRightInd w:val="0"/>
        <w:ind w:firstLine="640" w:firstLineChars="200"/>
        <w:rPr>
          <w:rFonts w:ascii="Times" w:hAnsi="Times" w:eastAsia="仿宋_GB2312" w:cs="宋体"/>
          <w:color w:val="000000" w:themeColor="text1"/>
          <w:kern w:val="0"/>
          <w:sz w:val="32"/>
          <w:szCs w:val="32"/>
        </w:rPr>
      </w:pPr>
      <w:r>
        <w:rPr>
          <w:rFonts w:hint="eastAsia" w:ascii="Times" w:hAnsi="Times" w:eastAsia="仿宋_GB2312" w:cs="宋体"/>
          <w:color w:val="000000" w:themeColor="text1"/>
          <w:kern w:val="0"/>
          <w:sz w:val="32"/>
          <w:szCs w:val="32"/>
        </w:rPr>
        <w:t>6、</w:t>
      </w:r>
      <w:r>
        <w:rPr>
          <w:rFonts w:hint="eastAsia"/>
          <w:color w:val="000000" w:themeColor="text1"/>
        </w:rPr>
        <w:t xml:space="preserve"> </w:t>
      </w:r>
      <w:r>
        <w:rPr>
          <w:rFonts w:hint="eastAsia" w:ascii="Times" w:hAnsi="Times" w:eastAsia="仿宋_GB2312" w:cs="宋体"/>
          <w:color w:val="000000" w:themeColor="text1"/>
          <w:kern w:val="0"/>
          <w:sz w:val="32"/>
          <w:szCs w:val="32"/>
        </w:rPr>
        <w:t>不向贵公司涉及采购与招投标的部门及个人支付好处费、介绍费；也不为其购置或提供通讯工具、交通工具、电脑等。</w:t>
      </w:r>
    </w:p>
    <w:p w14:paraId="03BBA9ED">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themeColor="text1"/>
          <w:kern w:val="0"/>
          <w:sz w:val="32"/>
          <w:szCs w:val="32"/>
        </w:rPr>
        <w:t>7</w:t>
      </w:r>
      <w:r>
        <w:rPr>
          <w:rFonts w:ascii="Times" w:hAnsi="Times" w:eastAsia="仿宋_GB2312" w:cs="宋体"/>
          <w:color w:val="000000" w:themeColor="text1"/>
          <w:kern w:val="0"/>
          <w:sz w:val="32"/>
          <w:szCs w:val="32"/>
        </w:rPr>
        <w:t>、</w:t>
      </w:r>
      <w:r>
        <w:rPr>
          <w:rFonts w:hint="eastAsia" w:ascii="Times" w:hAnsi="Times" w:eastAsia="仿宋_GB2312" w:cs="宋体"/>
          <w:color w:val="000000" w:themeColor="text1"/>
          <w:kern w:val="0"/>
          <w:sz w:val="32"/>
          <w:szCs w:val="32"/>
        </w:rPr>
        <w:t>经查实的有参与串通行为的投标人，其中标无效，列入供应商黑名单，并依据中粮糖业采购制度相关规定对投标人处中标项目金额的千分之五以上千分之十以下的保证金扣除。</w:t>
      </w:r>
    </w:p>
    <w:p w14:paraId="3EEC6EDA">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8</w:t>
      </w:r>
      <w:r>
        <w:rPr>
          <w:rFonts w:hint="eastAsia" w:ascii="Times" w:hAnsi="Times" w:eastAsia="仿宋_GB2312" w:cs="宋体"/>
          <w:color w:val="000000"/>
          <w:kern w:val="0"/>
          <w:sz w:val="32"/>
          <w:szCs w:val="32"/>
        </w:rPr>
        <w:t>、一旦发现相关人员在招标过程中有索要财物等不廉洁行为，坚决予以抵制，并及时向贵公司纪委办公室举报。</w:t>
      </w:r>
    </w:p>
    <w:p w14:paraId="50643467">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9</w:t>
      </w:r>
      <w:r>
        <w:rPr>
          <w:rFonts w:hint="eastAsia" w:ascii="Times" w:hAnsi="Times" w:eastAsia="仿宋_GB2312" w:cs="宋体"/>
          <w:color w:val="000000"/>
          <w:kern w:val="0"/>
          <w:sz w:val="32"/>
          <w:szCs w:val="32"/>
        </w:rPr>
        <w:t>、我方自愿将本承诺书作为投标文件及合同的附件，具有同等的法律效力。</w:t>
      </w:r>
    </w:p>
    <w:p w14:paraId="135E5C40">
      <w:pPr>
        <w:autoSpaceDE w:val="0"/>
        <w:autoSpaceDN w:val="0"/>
        <w:adjustRightInd w:val="0"/>
        <w:ind w:firstLine="640" w:firstLineChars="200"/>
        <w:rPr>
          <w:rFonts w:ascii="Times" w:hAnsi="Times" w:eastAsia="仿宋_GB2312" w:cs="宋体"/>
          <w:color w:val="000000"/>
          <w:kern w:val="0"/>
          <w:sz w:val="32"/>
          <w:szCs w:val="32"/>
        </w:rPr>
      </w:pPr>
      <w:r>
        <w:rPr>
          <w:rFonts w:ascii="Times" w:hAnsi="Times" w:eastAsia="仿宋_GB2312" w:cs="宋体"/>
          <w:color w:val="000000"/>
          <w:kern w:val="0"/>
          <w:sz w:val="32"/>
          <w:szCs w:val="32"/>
        </w:rPr>
        <w:t>10</w:t>
      </w:r>
      <w:r>
        <w:rPr>
          <w:rFonts w:hint="eastAsia" w:ascii="Times" w:hAnsi="Times" w:eastAsia="仿宋_GB2312" w:cs="宋体"/>
          <w:color w:val="000000"/>
          <w:kern w:val="0"/>
          <w:sz w:val="32"/>
          <w:szCs w:val="32"/>
        </w:rPr>
        <w:t>、若违反上述承诺或违反有关法律法规及贵公司有关规定，我方自愿永久放弃参与贵公司的所有业务往来，并承担贵公司制度规定的一切法律责任。</w:t>
      </w:r>
    </w:p>
    <w:p w14:paraId="414C5870">
      <w:pPr>
        <w:autoSpaceDE w:val="0"/>
        <w:autoSpaceDN w:val="0"/>
        <w:adjustRightInd w:val="0"/>
        <w:ind w:firstLine="640" w:firstLineChars="200"/>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1</w:t>
      </w:r>
      <w:r>
        <w:rPr>
          <w:rFonts w:ascii="Times" w:hAnsi="Times" w:eastAsia="仿宋_GB2312" w:cs="宋体"/>
          <w:color w:val="000000"/>
          <w:kern w:val="0"/>
          <w:sz w:val="32"/>
          <w:szCs w:val="32"/>
        </w:rPr>
        <w:t>1</w:t>
      </w:r>
      <w:r>
        <w:rPr>
          <w:rFonts w:hint="eastAsia" w:ascii="Times" w:hAnsi="Times" w:eastAsia="仿宋_GB2312" w:cs="宋体"/>
          <w:color w:val="000000"/>
          <w:kern w:val="0"/>
          <w:sz w:val="32"/>
          <w:szCs w:val="32"/>
        </w:rPr>
        <w:t>、本承诺书自签署之日起生效。</w:t>
      </w:r>
    </w:p>
    <w:p w14:paraId="687481CF">
      <w:pPr>
        <w:autoSpaceDE w:val="0"/>
        <w:autoSpaceDN w:val="0"/>
        <w:adjustRightInd w:val="0"/>
        <w:ind w:firstLine="640" w:firstLineChars="200"/>
        <w:rPr>
          <w:rFonts w:ascii="Times" w:hAnsi="Times" w:eastAsia="仿宋_GB2312" w:cs="宋体"/>
          <w:color w:val="000000"/>
          <w:kern w:val="0"/>
          <w:sz w:val="32"/>
          <w:szCs w:val="32"/>
        </w:rPr>
      </w:pPr>
    </w:p>
    <w:p w14:paraId="31DC66C9">
      <w:pPr>
        <w:autoSpaceDE w:val="0"/>
        <w:autoSpaceDN w:val="0"/>
        <w:adjustRightInd w:val="0"/>
        <w:ind w:firstLine="640" w:firstLineChars="200"/>
        <w:rPr>
          <w:rFonts w:ascii="Times" w:hAnsi="Times" w:eastAsia="仿宋_GB2312" w:cs="宋体"/>
          <w:color w:val="000000"/>
          <w:kern w:val="0"/>
          <w:sz w:val="32"/>
          <w:szCs w:val="32"/>
        </w:rPr>
      </w:pPr>
    </w:p>
    <w:p w14:paraId="3DE730F9">
      <w:pPr>
        <w:autoSpaceDE w:val="0"/>
        <w:autoSpaceDN w:val="0"/>
        <w:adjustRightInd w:val="0"/>
        <w:ind w:left="3570" w:leftChars="1700"/>
        <w:jc w:val="left"/>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投标单位（公章）：</w:t>
      </w:r>
    </w:p>
    <w:p w14:paraId="7B5477DF">
      <w:pPr>
        <w:autoSpaceDE w:val="0"/>
        <w:autoSpaceDN w:val="0"/>
        <w:adjustRightInd w:val="0"/>
        <w:ind w:left="3570" w:leftChars="1700"/>
        <w:jc w:val="left"/>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法定代表人或授权代理人（签名）：</w:t>
      </w:r>
    </w:p>
    <w:p w14:paraId="7ED1FB0C">
      <w:pPr>
        <w:autoSpaceDE w:val="0"/>
        <w:autoSpaceDN w:val="0"/>
        <w:adjustRightInd w:val="0"/>
        <w:ind w:left="3570" w:leftChars="1700"/>
        <w:jc w:val="left"/>
        <w:rPr>
          <w:rFonts w:ascii="Times" w:hAnsi="Times" w:eastAsia="仿宋_GB2312" w:cs="宋体"/>
          <w:color w:val="000000"/>
          <w:kern w:val="0"/>
          <w:sz w:val="32"/>
          <w:szCs w:val="32"/>
        </w:rPr>
      </w:pPr>
      <w:r>
        <w:rPr>
          <w:rFonts w:hint="eastAsia" w:ascii="Times" w:hAnsi="Times" w:eastAsia="仿宋_GB2312" w:cs="宋体"/>
          <w:color w:val="000000"/>
          <w:kern w:val="0"/>
          <w:sz w:val="32"/>
          <w:szCs w:val="32"/>
        </w:rPr>
        <w:t xml:space="preserve">日期： </w:t>
      </w:r>
      <w:r>
        <w:rPr>
          <w:rFonts w:ascii="Times" w:hAnsi="Times" w:eastAsia="仿宋_GB2312" w:cs="宋体"/>
          <w:color w:val="000000"/>
          <w:kern w:val="0"/>
          <w:sz w:val="32"/>
          <w:szCs w:val="32"/>
        </w:rPr>
        <w:t xml:space="preserve">   </w:t>
      </w:r>
      <w:r>
        <w:rPr>
          <w:rFonts w:hint="eastAsia" w:ascii="Times" w:hAnsi="Times" w:eastAsia="仿宋_GB2312" w:cs="宋体"/>
          <w:color w:val="000000"/>
          <w:kern w:val="0"/>
          <w:sz w:val="32"/>
          <w:szCs w:val="32"/>
        </w:rPr>
        <w:t xml:space="preserve">年 </w:t>
      </w:r>
      <w:r>
        <w:rPr>
          <w:rFonts w:ascii="Times" w:hAnsi="Times" w:eastAsia="仿宋_GB2312" w:cs="宋体"/>
          <w:color w:val="000000"/>
          <w:kern w:val="0"/>
          <w:sz w:val="32"/>
          <w:szCs w:val="32"/>
        </w:rPr>
        <w:t xml:space="preserve"> </w:t>
      </w:r>
      <w:r>
        <w:rPr>
          <w:rFonts w:hint="eastAsia" w:ascii="Times" w:hAnsi="Times" w:eastAsia="仿宋_GB2312" w:cs="宋体"/>
          <w:color w:val="000000"/>
          <w:kern w:val="0"/>
          <w:sz w:val="32"/>
          <w:szCs w:val="32"/>
        </w:rPr>
        <w:t xml:space="preserve">月 </w:t>
      </w:r>
      <w:r>
        <w:rPr>
          <w:rFonts w:ascii="Times" w:hAnsi="Times" w:eastAsia="仿宋_GB2312" w:cs="宋体"/>
          <w:color w:val="000000"/>
          <w:kern w:val="0"/>
          <w:sz w:val="32"/>
          <w:szCs w:val="32"/>
        </w:rPr>
        <w:t xml:space="preserve"> </w:t>
      </w:r>
      <w:r>
        <w:rPr>
          <w:rFonts w:hint="eastAsia" w:ascii="Times" w:hAnsi="Times" w:eastAsia="仿宋_GB2312" w:cs="宋体"/>
          <w:color w:val="000000"/>
          <w:kern w:val="0"/>
          <w:sz w:val="32"/>
          <w:szCs w:val="32"/>
        </w:rPr>
        <w:t>日</w:t>
      </w:r>
    </w:p>
    <w:p w14:paraId="67E1ADC8">
      <w:pPr>
        <w:spacing w:after="0" w:line="560" w:lineRule="exact"/>
        <w:ind w:firstLine="640" w:firstLineChars="200"/>
        <w:jc w:val="both"/>
        <w:rPr>
          <w:rFonts w:ascii="Times New Roman" w:hAnsi="Times New Roman" w:eastAsia="仿宋_GB2312" w:cs="Times New Roman"/>
          <w:sz w:val="32"/>
          <w:szCs w:val="32"/>
        </w:rPr>
      </w:pPr>
    </w:p>
    <w:p w14:paraId="653E89FD">
      <w:pPr>
        <w:spacing w:after="0" w:line="560" w:lineRule="exact"/>
        <w:ind w:firstLine="200"/>
        <w:jc w:val="center"/>
        <w:outlineLvl w:val="2"/>
        <w:rPr>
          <w:rFonts w:ascii="黑体" w:hAnsi="黑体" w:eastAsia="黑体" w:cs="Times New Roman"/>
          <w:snapToGrid w:val="0"/>
          <w:sz w:val="32"/>
          <w:szCs w:val="32"/>
        </w:rPr>
      </w:pPr>
      <w:bookmarkStart w:id="450" w:name="_Toc16298"/>
    </w:p>
    <w:p w14:paraId="11E73649">
      <w:pPr>
        <w:spacing w:after="0" w:line="560" w:lineRule="exact"/>
        <w:ind w:firstLine="200"/>
        <w:jc w:val="center"/>
        <w:outlineLvl w:val="2"/>
        <w:rPr>
          <w:rFonts w:ascii="黑体" w:hAnsi="黑体" w:eastAsia="黑体" w:cs="Times New Roman"/>
          <w:snapToGrid w:val="0"/>
          <w:sz w:val="32"/>
          <w:szCs w:val="32"/>
        </w:rPr>
      </w:pPr>
    </w:p>
    <w:p w14:paraId="4AE22B5C">
      <w:pPr>
        <w:spacing w:after="0" w:line="560" w:lineRule="exact"/>
        <w:ind w:firstLine="200"/>
        <w:jc w:val="center"/>
        <w:outlineLvl w:val="2"/>
        <w:rPr>
          <w:rFonts w:ascii="黑体" w:hAnsi="黑体" w:eastAsia="黑体" w:cs="Times New Roman"/>
          <w:snapToGrid w:val="0"/>
          <w:sz w:val="32"/>
          <w:szCs w:val="32"/>
        </w:rPr>
      </w:pPr>
    </w:p>
    <w:p w14:paraId="6830CB96">
      <w:pPr>
        <w:spacing w:after="0" w:line="560" w:lineRule="exact"/>
        <w:ind w:firstLine="200"/>
        <w:jc w:val="center"/>
        <w:outlineLvl w:val="2"/>
        <w:rPr>
          <w:rFonts w:ascii="黑体" w:hAnsi="黑体" w:eastAsia="黑体" w:cs="Times New Roman"/>
          <w:snapToGrid w:val="0"/>
          <w:sz w:val="32"/>
          <w:szCs w:val="32"/>
        </w:rPr>
      </w:pPr>
    </w:p>
    <w:p w14:paraId="3E16E75C">
      <w:pPr>
        <w:spacing w:after="0" w:line="560" w:lineRule="exact"/>
        <w:ind w:firstLine="200"/>
        <w:jc w:val="center"/>
        <w:outlineLvl w:val="2"/>
        <w:rPr>
          <w:rFonts w:ascii="黑体" w:hAnsi="黑体" w:eastAsia="黑体" w:cs="Times New Roman"/>
          <w:snapToGrid w:val="0"/>
          <w:sz w:val="32"/>
          <w:szCs w:val="32"/>
        </w:rPr>
      </w:pPr>
    </w:p>
    <w:p w14:paraId="3E19D841">
      <w:pPr>
        <w:spacing w:after="0" w:line="560" w:lineRule="exact"/>
        <w:ind w:firstLine="200"/>
        <w:jc w:val="center"/>
        <w:outlineLvl w:val="2"/>
        <w:rPr>
          <w:rFonts w:ascii="黑体" w:hAnsi="黑体" w:eastAsia="黑体" w:cs="Times New Roman"/>
          <w:snapToGrid w:val="0"/>
          <w:sz w:val="32"/>
          <w:szCs w:val="32"/>
        </w:rPr>
      </w:pPr>
    </w:p>
    <w:p w14:paraId="09167DAB">
      <w:pPr>
        <w:spacing w:after="0" w:line="560" w:lineRule="exact"/>
        <w:ind w:firstLine="200"/>
        <w:jc w:val="center"/>
        <w:outlineLvl w:val="2"/>
        <w:rPr>
          <w:rFonts w:ascii="黑体" w:hAnsi="黑体" w:eastAsia="黑体" w:cs="Times New Roman"/>
          <w:snapToGrid w:val="0"/>
          <w:sz w:val="32"/>
          <w:szCs w:val="32"/>
        </w:rPr>
      </w:pPr>
    </w:p>
    <w:p w14:paraId="3F6989D8">
      <w:pPr>
        <w:spacing w:after="0" w:line="560" w:lineRule="exact"/>
        <w:ind w:firstLine="200"/>
        <w:jc w:val="center"/>
        <w:outlineLvl w:val="2"/>
        <w:rPr>
          <w:rFonts w:ascii="黑体" w:hAnsi="黑体" w:eastAsia="黑体" w:cs="Times New Roman"/>
          <w:snapToGrid w:val="0"/>
          <w:sz w:val="32"/>
          <w:szCs w:val="32"/>
        </w:rPr>
      </w:pPr>
    </w:p>
    <w:p w14:paraId="0A8081B8">
      <w:pPr>
        <w:spacing w:after="0" w:line="560" w:lineRule="exact"/>
        <w:ind w:firstLine="200"/>
        <w:jc w:val="center"/>
        <w:outlineLvl w:val="2"/>
        <w:rPr>
          <w:rFonts w:ascii="黑体" w:hAnsi="黑体" w:eastAsia="黑体" w:cs="Times New Roman"/>
          <w:snapToGrid w:val="0"/>
          <w:sz w:val="32"/>
          <w:szCs w:val="32"/>
        </w:rPr>
      </w:pPr>
    </w:p>
    <w:p w14:paraId="66DCA8AE">
      <w:pPr>
        <w:spacing w:after="0" w:line="560" w:lineRule="exact"/>
        <w:ind w:firstLine="200"/>
        <w:jc w:val="center"/>
        <w:outlineLvl w:val="2"/>
        <w:rPr>
          <w:rFonts w:ascii="黑体" w:hAnsi="黑体" w:eastAsia="黑体" w:cs="Times New Roman"/>
          <w:snapToGrid w:val="0"/>
          <w:sz w:val="32"/>
          <w:szCs w:val="32"/>
        </w:rPr>
      </w:pPr>
    </w:p>
    <w:p w14:paraId="61BA4EEA">
      <w:pPr>
        <w:spacing w:after="0" w:line="560" w:lineRule="exact"/>
        <w:ind w:firstLine="200"/>
        <w:jc w:val="center"/>
        <w:outlineLvl w:val="2"/>
        <w:rPr>
          <w:rFonts w:ascii="黑体" w:hAnsi="黑体" w:eastAsia="黑体" w:cs="Times New Roman"/>
          <w:snapToGrid w:val="0"/>
          <w:sz w:val="32"/>
          <w:szCs w:val="32"/>
        </w:rPr>
      </w:pPr>
      <w:r>
        <w:rPr>
          <w:rFonts w:ascii="黑体" w:hAnsi="黑体" w:eastAsia="黑体" w:cs="Times New Roman"/>
          <w:snapToGrid w:val="0"/>
          <w:sz w:val="32"/>
          <w:szCs w:val="32"/>
        </w:rPr>
        <w:t>十一、保密承诺书</w:t>
      </w:r>
      <w:bookmarkEnd w:id="450"/>
    </w:p>
    <w:p w14:paraId="315056CE">
      <w:pPr>
        <w:rPr>
          <w:rFonts w:ascii="Times New Roman" w:hAnsi="Times New Roman" w:cs="Times New Roman"/>
        </w:rPr>
      </w:pPr>
    </w:p>
    <w:p w14:paraId="7BE9E16A">
      <w:pPr>
        <w:pStyle w:val="14"/>
        <w:ind w:firstLine="0" w:firstLineChars="0"/>
        <w:rPr>
          <w:rFonts w:ascii="Times New Roman" w:hAnsi="Times New Roman" w:cs="Times New Roman"/>
        </w:rPr>
      </w:pPr>
      <w:r>
        <w:rPr>
          <w:rFonts w:ascii="Times New Roman" w:hAnsi="Times New Roman" w:cs="Times New Roman"/>
        </w:rPr>
        <w:t>中粮梁河糖业有限公司：</w:t>
      </w:r>
    </w:p>
    <w:p w14:paraId="551AC121">
      <w:pPr>
        <w:pStyle w:val="14"/>
        <w:jc w:val="both"/>
        <w:rPr>
          <w:rFonts w:ascii="Times New Roman" w:hAnsi="Times New Roman" w:cs="Times New Roman"/>
        </w:rPr>
      </w:pPr>
      <w:r>
        <w:rPr>
          <w:rFonts w:ascii="Times New Roman" w:hAnsi="Times New Roman" w:cs="Times New Roman"/>
        </w:rPr>
        <w:t>鉴于我方自愿参加</w:t>
      </w:r>
      <w:r>
        <w:rPr>
          <w:rFonts w:hint="eastAsia" w:ascii="Times New Roman" w:hAnsi="Times New Roman" w:eastAsia="仿宋_GB2312" w:cs="Times New Roman"/>
          <w:sz w:val="32"/>
          <w:szCs w:val="32"/>
          <w:u w:val="single"/>
          <w:lang w:val="en-US" w:eastAsia="zh-CN"/>
        </w:rPr>
        <w:t>中粮梁河糖业公司设备购置及土建项目-</w:t>
      </w:r>
      <w:r>
        <w:rPr>
          <w:rFonts w:ascii="Times New Roman" w:hAnsi="Times New Roman" w:cs="Times New Roman"/>
          <w:u w:val="single"/>
        </w:rPr>
        <w:t>梁河糖业2024年勐养动力车间35t/h锅炉修理项目</w:t>
      </w:r>
      <w:r>
        <w:rPr>
          <w:rFonts w:ascii="Times New Roman" w:hAnsi="Times New Roman" w:cs="Times New Roman"/>
        </w:rPr>
        <w:t>采购活动，我方现就有关保密义务事项作出如下承诺：</w:t>
      </w:r>
    </w:p>
    <w:p w14:paraId="7A6A2168">
      <w:pPr>
        <w:pStyle w:val="14"/>
        <w:jc w:val="both"/>
        <w:rPr>
          <w:rFonts w:ascii="Times New Roman" w:hAnsi="Times New Roman" w:cs="Times New Roman"/>
        </w:rPr>
      </w:pPr>
      <w:r>
        <w:rPr>
          <w:rFonts w:ascii="Times New Roman" w:hAnsi="Times New Roman" w:cs="Times New Roman"/>
        </w:rPr>
        <w:t>1.我方保证，未经采购人书面同意,不得向社会公众或第三方通过任何途径出示、披露敏感信息以及本项目的工作成果，亦不得对敏感信息、各阶段工作成果和最终工作成果进行传播和销售，并且保证只为执行本项目之目的使用敏感信息和各阶段工作成果和最终工作成果。</w:t>
      </w:r>
    </w:p>
    <w:p w14:paraId="66FF25EB">
      <w:pPr>
        <w:pStyle w:val="14"/>
        <w:jc w:val="both"/>
        <w:rPr>
          <w:rFonts w:ascii="Times New Roman" w:hAnsi="Times New Roman" w:cs="Times New Roman"/>
        </w:rPr>
      </w:pPr>
      <w:r>
        <w:rPr>
          <w:rFonts w:ascii="Times New Roman" w:hAnsi="Times New Roman" w:cs="Times New Roman"/>
        </w:rPr>
        <w:t>2.我方保证，如为本合同目的确实需要向第三方披露对方的敏感信息，需事先得到采购人的书面许可，并与该第三方签订保密合同。</w:t>
      </w:r>
    </w:p>
    <w:p w14:paraId="6A19D61A">
      <w:pPr>
        <w:pStyle w:val="14"/>
        <w:jc w:val="both"/>
        <w:rPr>
          <w:rFonts w:ascii="Times New Roman" w:hAnsi="Times New Roman" w:cs="Times New Roman"/>
        </w:rPr>
      </w:pPr>
      <w:r>
        <w:rPr>
          <w:rFonts w:ascii="Times New Roman" w:hAnsi="Times New Roman" w:cs="Times New Roman"/>
        </w:rPr>
        <w:t>3.我方保证，只能将采购人的相关敏感信息提供给予本合同工作直接相关的员工，提供范围及程度仅限于可使该员工完成本项工作，并应约束其员工遵守保密义务。</w:t>
      </w:r>
    </w:p>
    <w:p w14:paraId="4EEF7A5F">
      <w:pPr>
        <w:pStyle w:val="14"/>
        <w:jc w:val="both"/>
        <w:rPr>
          <w:rFonts w:ascii="Times New Roman" w:hAnsi="Times New Roman" w:cs="Times New Roman"/>
        </w:rPr>
      </w:pPr>
      <w:r>
        <w:rPr>
          <w:rFonts w:ascii="Times New Roman" w:hAnsi="Times New Roman" w:cs="Times New Roman"/>
        </w:rPr>
        <w:t>4.我方保证，在双方合作关系结束后，我方有义务按照采购人的要求将敏感信息及其载体返还给采购人或者按照采购人的要求予以销毁，不得再以任何形式使用敏感信息。</w:t>
      </w:r>
    </w:p>
    <w:p w14:paraId="3A35BDBD">
      <w:pPr>
        <w:pStyle w:val="14"/>
        <w:jc w:val="both"/>
        <w:rPr>
          <w:rFonts w:ascii="Times New Roman" w:hAnsi="Times New Roman" w:cs="Times New Roman"/>
        </w:rPr>
      </w:pPr>
      <w:r>
        <w:rPr>
          <w:rFonts w:ascii="Times New Roman" w:hAnsi="Times New Roman" w:cs="Times New Roman"/>
        </w:rPr>
        <w:t>5.我方同意采取任何必要的，以及采购人要求的合理措施，保护采购人提供的敏感信息。</w:t>
      </w:r>
    </w:p>
    <w:p w14:paraId="7EADA9CF">
      <w:pPr>
        <w:pStyle w:val="14"/>
        <w:jc w:val="both"/>
        <w:rPr>
          <w:rFonts w:ascii="Times New Roman" w:hAnsi="Times New Roman" w:cs="Times New Roman"/>
        </w:rPr>
      </w:pPr>
      <w:r>
        <w:rPr>
          <w:rFonts w:ascii="Times New Roman" w:hAnsi="Times New Roman" w:cs="Times New Roman"/>
        </w:rPr>
        <w:t>6.如发生任何敏感信息泄漏事件，包括但不限于因我方原因导致的泄漏事件或者因第三方非法获取和使用而造成的泄漏事件，我方均应立即通知采购人，并采取有效措施防止泄密进一步扩大。</w:t>
      </w:r>
    </w:p>
    <w:p w14:paraId="05D61A37">
      <w:pPr>
        <w:pStyle w:val="14"/>
        <w:jc w:val="both"/>
        <w:rPr>
          <w:rFonts w:ascii="Times New Roman" w:hAnsi="Times New Roman" w:cs="Times New Roman"/>
        </w:rPr>
      </w:pPr>
      <w:r>
        <w:rPr>
          <w:rFonts w:ascii="Times New Roman" w:hAnsi="Times New Roman" w:cs="Times New Roman"/>
        </w:rPr>
        <w:t>特此承诺。</w:t>
      </w:r>
    </w:p>
    <w:p w14:paraId="1626F44C">
      <w:pPr>
        <w:pStyle w:val="14"/>
        <w:jc w:val="both"/>
        <w:rPr>
          <w:rFonts w:ascii="Times New Roman" w:hAnsi="Times New Roman" w:cs="Times New Roman"/>
        </w:rPr>
      </w:pPr>
    </w:p>
    <w:p w14:paraId="14EF44CB">
      <w:pPr>
        <w:ind w:firstLine="4480" w:firstLineChars="14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供应商（盖单位公章）：                     </w:t>
      </w:r>
    </w:p>
    <w:p w14:paraId="6D1B6CBC">
      <w:pPr>
        <w:ind w:firstLine="2880" w:firstLineChars="900"/>
        <w:rPr>
          <w:rFonts w:ascii="Times New Roman" w:hAnsi="Times New Roman" w:eastAsia="仿宋_GB2312" w:cs="Times New Roman"/>
          <w:sz w:val="32"/>
          <w:szCs w:val="32"/>
        </w:rPr>
      </w:pPr>
      <w:r>
        <w:rPr>
          <w:rFonts w:ascii="Times New Roman" w:hAnsi="Times New Roman" w:eastAsia="仿宋_GB2312" w:cs="Times New Roman"/>
          <w:sz w:val="32"/>
          <w:szCs w:val="32"/>
        </w:rPr>
        <w:t>法定代表人或授权代理人（签名）：</w:t>
      </w:r>
      <w:r>
        <w:rPr>
          <w:rFonts w:ascii="Times New Roman" w:hAnsi="Times New Roman" w:eastAsia="仿宋_GB2312" w:cs="Times New Roman"/>
          <w:sz w:val="32"/>
          <w:szCs w:val="32"/>
          <w:u w:val="single"/>
        </w:rPr>
        <w:t xml:space="preserve">                    </w:t>
      </w:r>
    </w:p>
    <w:p w14:paraId="67D5EA2D">
      <w:pPr>
        <w:ind w:firstLine="4480" w:firstLineChars="1400"/>
        <w:rPr>
          <w:rFonts w:ascii="Times New Roman" w:hAnsi="Times New Roman" w:eastAsia="仿宋_GB2312" w:cs="Times New Roman"/>
          <w:sz w:val="32"/>
          <w:szCs w:val="32"/>
        </w:rPr>
      </w:pPr>
      <w:r>
        <w:rPr>
          <w:rFonts w:ascii="Times New Roman" w:hAnsi="Times New Roman" w:eastAsia="仿宋_GB2312" w:cs="Times New Roman"/>
          <w:sz w:val="32"/>
          <w:szCs w:val="32"/>
        </w:rPr>
        <w:t>日期：       年     月       日</w:t>
      </w:r>
    </w:p>
    <w:p w14:paraId="732074AF">
      <w:pPr>
        <w:pStyle w:val="14"/>
        <w:rPr>
          <w:rFonts w:ascii="Times New Roman" w:hAnsi="Times New Roman" w:cs="Times New Roman"/>
          <w:snapToGrid w:val="0"/>
        </w:rPr>
      </w:pPr>
    </w:p>
    <w:p w14:paraId="716B9410">
      <w:pPr>
        <w:rPr>
          <w:rFonts w:ascii="Times New Roman" w:hAnsi="Times New Roman" w:cs="Times New Roman"/>
        </w:rPr>
      </w:pPr>
    </w:p>
    <w:p w14:paraId="53F614FB">
      <w:pPr>
        <w:rPr>
          <w:rFonts w:ascii="Times New Roman" w:hAnsi="Times New Roman" w:cs="Times New Roman"/>
        </w:rPr>
      </w:pPr>
    </w:p>
    <w:p w14:paraId="4594ACBB">
      <w:pPr>
        <w:rPr>
          <w:rFonts w:ascii="Times New Roman" w:hAnsi="Times New Roman" w:cs="Times New Roman"/>
        </w:rPr>
      </w:pPr>
    </w:p>
    <w:sectPr>
      <w:pgSz w:w="11910" w:h="16840"/>
      <w:pgMar w:top="2098" w:right="1588" w:bottom="1440" w:left="1588" w:header="720" w:footer="720"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795C2FF-3840-4B08-8E7E-8FE9A1A3EDA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A7F379F-B969-4157-98F6-987442D48C2F}"/>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C21FF9E4-4D5B-4F4F-923B-531AC027752B}"/>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auto"/>
    <w:pitch w:val="default"/>
    <w:sig w:usb0="00000001" w:usb1="080E0000" w:usb2="00000000" w:usb3="00000000" w:csb0="00040000" w:csb1="00000000"/>
    <w:embedRegular r:id="rId4" w:fontKey="{573CC2A1-4F9B-4B93-8DF2-431189A4E9AB}"/>
  </w:font>
  <w:font w:name="Wingdings 2">
    <w:panose1 w:val="05020102010507070707"/>
    <w:charset w:val="02"/>
    <w:family w:val="roman"/>
    <w:pitch w:val="default"/>
    <w:sig w:usb0="00000000" w:usb1="00000000" w:usb2="00000000" w:usb3="00000000" w:csb0="80000000" w:csb1="00000000"/>
    <w:embedRegular r:id="rId5" w:fontKey="{E84550DD-BF56-4BC6-A565-948E3141AF0A}"/>
  </w:font>
  <w:font w:name="Segoe UI Symbol">
    <w:panose1 w:val="020B0502040204020203"/>
    <w:charset w:val="00"/>
    <w:family w:val="swiss"/>
    <w:pitch w:val="default"/>
    <w:sig w:usb0="800001E3" w:usb1="1200FFEF" w:usb2="00040000" w:usb3="04000000" w:csb0="00000001" w:csb1="40000000"/>
    <w:embedRegular r:id="rId6" w:fontKey="{9EF8FDD2-4F74-4A85-9424-108DE8F511DC}"/>
  </w:font>
  <w:font w:name="仿宋">
    <w:panose1 w:val="02010609060101010101"/>
    <w:charset w:val="86"/>
    <w:family w:val="modern"/>
    <w:pitch w:val="default"/>
    <w:sig w:usb0="800002BF" w:usb1="38CF7CFA" w:usb2="00000016" w:usb3="00000000" w:csb0="00040001" w:csb1="00000000"/>
    <w:embedRegular r:id="rId7" w:fontKey="{59FF5A82-0550-4F9A-A823-7116FFFB4FB1}"/>
  </w:font>
  <w:font w:name="方正小标宋简体">
    <w:altName w:val="方正舒体"/>
    <w:panose1 w:val="02010601030101010101"/>
    <w:charset w:val="86"/>
    <w:family w:val="auto"/>
    <w:pitch w:val="default"/>
    <w:sig w:usb0="00000000" w:usb1="00000000" w:usb2="00000010" w:usb3="00000000" w:csb0="00040000" w:csb1="00000000"/>
    <w:embedRegular r:id="rId8" w:fontKey="{BEA8DC98-9473-426C-AB43-123A48B1E334}"/>
  </w:font>
  <w:font w:name="楷体_GB2312">
    <w:panose1 w:val="02010609030101010101"/>
    <w:charset w:val="86"/>
    <w:family w:val="modern"/>
    <w:pitch w:val="default"/>
    <w:sig w:usb0="00000001" w:usb1="080E0000" w:usb2="00000000" w:usb3="00000000" w:csb0="00040000" w:csb1="00000000"/>
    <w:embedRegular r:id="rId9" w:fontKey="{8A665257-9A76-4832-981C-9FA25B633B5E}"/>
  </w:font>
  <w:font w:name="Times">
    <w:altName w:val="Times New Roman"/>
    <w:panose1 w:val="02020603050405020304"/>
    <w:charset w:val="00"/>
    <w:family w:val="roman"/>
    <w:pitch w:val="default"/>
    <w:sig w:usb0="00000000" w:usb1="00000000" w:usb2="00000009" w:usb3="00000000" w:csb0="000001FF" w:csb1="00000000"/>
    <w:embedRegular r:id="rId10" w:fontKey="{DF071E78-7078-4BAE-82E1-A8046E73E717}"/>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BE806">
    <w:pPr>
      <w:jc w:val="center"/>
    </w:pPr>
    <w:r>
      <w:rPr>
        <w:sz w:val="22"/>
      </w:rPr>
      <w:pict>
        <v:shape id="文本框 4" o:spid="_x0000_s2050"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v:imagedata o:title=""/>
          <o:lock v:ext="edit" aspectratio="f"/>
          <v:textbox inset="0mm,0mm,0mm,0mm" style="mso-fit-shape-to-text:t;">
            <w:txbxContent>
              <w:p w14:paraId="5839C84A">
                <w:pPr>
                  <w:pStyle w:val="2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153</w:t>
                </w:r>
                <w:r>
                  <w:fldChar w:fldCharType="end"/>
                </w:r>
                <w:r>
                  <w:t xml:space="preserve"> 页</w:t>
                </w:r>
              </w:p>
            </w:txbxContent>
          </v:textbox>
        </v:shape>
      </w:pict>
    </w:r>
  </w:p>
  <w:p w14:paraId="48BC90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237F3">
    <w:pPr>
      <w:pStyle w:val="21"/>
    </w:pPr>
    <w:r>
      <w:rPr>
        <w:sz w:val="18"/>
      </w:rPr>
      <w:pict>
        <v:shape id="文本框 7"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path/>
          <v:fill on="f" focussize="0,0"/>
          <v:stroke on="f" weight="0.5pt"/>
          <v:imagedata o:title=""/>
          <o:lock v:ext="edit" aspectratio="f"/>
          <v:textbox inset="0mm,0mm,0mm,0mm" style="mso-fit-shape-to-text:t;">
            <w:txbxContent>
              <w:p w14:paraId="0AA59714">
                <w:pPr>
                  <w:pStyle w:val="2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153</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62FD7">
    <w:pPr>
      <w:jc w:val="center"/>
      <w:rPr>
        <w:rFonts w:hint="eastAsia" w:ascii="仿宋_GB2312" w:eastAsia="仿宋_GB2312"/>
      </w:rPr>
    </w:pPr>
    <w:r>
      <w:rPr>
        <w:rFonts w:hint="eastAsia" w:ascii="仿宋_GB2312" w:eastAsia="仿宋_GB2312"/>
      </w:rPr>
      <w:t xml:space="preserve">第 </w:t>
    </w:r>
    <w:r>
      <w:rPr>
        <w:rFonts w:hint="eastAsia" w:ascii="仿宋_GB2312" w:eastAsia="仿宋_GB2312"/>
      </w:rPr>
      <w:fldChar w:fldCharType="begin"/>
    </w:r>
    <w:r>
      <w:rPr>
        <w:rFonts w:hint="eastAsia" w:ascii="仿宋_GB2312" w:eastAsia="仿宋_GB2312"/>
      </w:rPr>
      <w:instrText xml:space="preserve"> PAGE  \* MERGEFORMAT </w:instrText>
    </w:r>
    <w:r>
      <w:rPr>
        <w:rFonts w:hint="eastAsia" w:ascii="仿宋_GB2312" w:eastAsia="仿宋_GB2312"/>
      </w:rPr>
      <w:fldChar w:fldCharType="separate"/>
    </w:r>
    <w:r>
      <w:rPr>
        <w:rFonts w:ascii="仿宋_GB2312" w:eastAsia="仿宋_GB2312"/>
      </w:rPr>
      <w:t>130</w:t>
    </w:r>
    <w:r>
      <w:rPr>
        <w:rFonts w:hint="eastAsia" w:ascii="仿宋_GB2312" w:eastAsia="仿宋_GB2312"/>
      </w:rPr>
      <w:fldChar w:fldCharType="end"/>
    </w:r>
    <w:r>
      <w:rPr>
        <w:rFonts w:hint="eastAsia" w:ascii="仿宋_GB2312" w:eastAsia="仿宋_GB2312"/>
      </w:rPr>
      <w:t xml:space="preserve"> 页 共 </w:t>
    </w:r>
    <w:r>
      <w:rPr>
        <w:rFonts w:hint="eastAsia" w:ascii="仿宋_GB2312" w:eastAsia="仿宋_GB2312"/>
      </w:rPr>
      <w:fldChar w:fldCharType="begin"/>
    </w:r>
    <w:r>
      <w:rPr>
        <w:rFonts w:hint="eastAsia" w:ascii="仿宋_GB2312" w:eastAsia="仿宋_GB2312"/>
      </w:rPr>
      <w:instrText xml:space="preserve"> NUMPAGES  \* MERGEFORMAT </w:instrText>
    </w:r>
    <w:r>
      <w:rPr>
        <w:rFonts w:hint="eastAsia" w:ascii="仿宋_GB2312" w:eastAsia="仿宋_GB2312"/>
      </w:rPr>
      <w:fldChar w:fldCharType="separate"/>
    </w:r>
    <w:r>
      <w:rPr>
        <w:rFonts w:ascii="仿宋_GB2312" w:eastAsia="仿宋_GB2312"/>
      </w:rPr>
      <w:t>131</w:t>
    </w:r>
    <w:r>
      <w:rPr>
        <w:rFonts w:hint="eastAsia" w:ascii="仿宋_GB2312" w:eastAsia="仿宋_GB2312"/>
      </w:rPr>
      <w:fldChar w:fldCharType="end"/>
    </w:r>
    <w:r>
      <w:rPr>
        <w:rFonts w:hint="eastAsia" w:ascii="仿宋_GB2312" w:eastAsia="仿宋_GB2312"/>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4" w:lineRule="auto"/>
      </w:pPr>
      <w:r>
        <w:separator/>
      </w:r>
    </w:p>
  </w:footnote>
  <w:footnote w:type="continuationSeparator" w:id="1">
    <w:p>
      <w:pPr>
        <w:spacing w:before="0" w:after="0" w:line="26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4DF5D">
    <w:pPr>
      <w:pStyle w:val="2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documentProtection w:enforcement="0"/>
  <w:defaultTabStop w:val="719"/>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2"/>
  </w:compat>
  <w:docVars>
    <w:docVar w:name="commondata" w:val="eyJoZGlkIjoiYjQ4MjMxMTBiMmNmMjU5MzFlNjA0MDhiMjBlNDBiMDEifQ=="/>
  </w:docVars>
  <w:rsids>
    <w:rsidRoot w:val="002C7206"/>
    <w:rsid w:val="00000E4D"/>
    <w:rsid w:val="000013DE"/>
    <w:rsid w:val="00001947"/>
    <w:rsid w:val="00003885"/>
    <w:rsid w:val="00004BB1"/>
    <w:rsid w:val="00007EE5"/>
    <w:rsid w:val="00011702"/>
    <w:rsid w:val="000121FE"/>
    <w:rsid w:val="0001589B"/>
    <w:rsid w:val="00016834"/>
    <w:rsid w:val="00016CFE"/>
    <w:rsid w:val="00017E70"/>
    <w:rsid w:val="00020806"/>
    <w:rsid w:val="00020A31"/>
    <w:rsid w:val="00022439"/>
    <w:rsid w:val="0002380B"/>
    <w:rsid w:val="00024320"/>
    <w:rsid w:val="00026DC7"/>
    <w:rsid w:val="00031CBC"/>
    <w:rsid w:val="00033E28"/>
    <w:rsid w:val="00034645"/>
    <w:rsid w:val="00040D24"/>
    <w:rsid w:val="00041B76"/>
    <w:rsid w:val="0004493B"/>
    <w:rsid w:val="00045CE3"/>
    <w:rsid w:val="00050E3A"/>
    <w:rsid w:val="000519EC"/>
    <w:rsid w:val="00053D78"/>
    <w:rsid w:val="00053E5E"/>
    <w:rsid w:val="0005574F"/>
    <w:rsid w:val="0005758F"/>
    <w:rsid w:val="00061944"/>
    <w:rsid w:val="000624CB"/>
    <w:rsid w:val="000664E3"/>
    <w:rsid w:val="00066AA6"/>
    <w:rsid w:val="000706BB"/>
    <w:rsid w:val="00070E65"/>
    <w:rsid w:val="0007363B"/>
    <w:rsid w:val="000737D0"/>
    <w:rsid w:val="00073A9F"/>
    <w:rsid w:val="00076B2C"/>
    <w:rsid w:val="00076B9D"/>
    <w:rsid w:val="000770B9"/>
    <w:rsid w:val="00081B4E"/>
    <w:rsid w:val="00081BF4"/>
    <w:rsid w:val="000859D9"/>
    <w:rsid w:val="0009117D"/>
    <w:rsid w:val="000916CA"/>
    <w:rsid w:val="000935AD"/>
    <w:rsid w:val="000A02EE"/>
    <w:rsid w:val="000A1A35"/>
    <w:rsid w:val="000A4347"/>
    <w:rsid w:val="000A4B84"/>
    <w:rsid w:val="000A4F29"/>
    <w:rsid w:val="000A5465"/>
    <w:rsid w:val="000B3049"/>
    <w:rsid w:val="000B452D"/>
    <w:rsid w:val="000B491F"/>
    <w:rsid w:val="000B50F1"/>
    <w:rsid w:val="000B55DF"/>
    <w:rsid w:val="000B64D1"/>
    <w:rsid w:val="000C1B43"/>
    <w:rsid w:val="000C2F78"/>
    <w:rsid w:val="000C3659"/>
    <w:rsid w:val="000C4C9E"/>
    <w:rsid w:val="000C4E1B"/>
    <w:rsid w:val="000C551E"/>
    <w:rsid w:val="000C658F"/>
    <w:rsid w:val="000C7E42"/>
    <w:rsid w:val="000D0206"/>
    <w:rsid w:val="000E3759"/>
    <w:rsid w:val="000E47A6"/>
    <w:rsid w:val="000E53D3"/>
    <w:rsid w:val="000E5B9E"/>
    <w:rsid w:val="000E5FAD"/>
    <w:rsid w:val="000E69FA"/>
    <w:rsid w:val="001004AC"/>
    <w:rsid w:val="001005E6"/>
    <w:rsid w:val="00102F77"/>
    <w:rsid w:val="001030B3"/>
    <w:rsid w:val="00105A40"/>
    <w:rsid w:val="001109D5"/>
    <w:rsid w:val="00111574"/>
    <w:rsid w:val="00113E12"/>
    <w:rsid w:val="00122831"/>
    <w:rsid w:val="00122966"/>
    <w:rsid w:val="00122A92"/>
    <w:rsid w:val="00122E55"/>
    <w:rsid w:val="00123466"/>
    <w:rsid w:val="00126730"/>
    <w:rsid w:val="00126B38"/>
    <w:rsid w:val="0012772B"/>
    <w:rsid w:val="00130025"/>
    <w:rsid w:val="00136484"/>
    <w:rsid w:val="001364E8"/>
    <w:rsid w:val="00136542"/>
    <w:rsid w:val="00141A54"/>
    <w:rsid w:val="00143C76"/>
    <w:rsid w:val="0014608E"/>
    <w:rsid w:val="00146506"/>
    <w:rsid w:val="00150147"/>
    <w:rsid w:val="001505A9"/>
    <w:rsid w:val="001507D4"/>
    <w:rsid w:val="001531C4"/>
    <w:rsid w:val="00154C09"/>
    <w:rsid w:val="00156522"/>
    <w:rsid w:val="00156E44"/>
    <w:rsid w:val="001578A4"/>
    <w:rsid w:val="00160EDC"/>
    <w:rsid w:val="0016373E"/>
    <w:rsid w:val="00166460"/>
    <w:rsid w:val="001706E4"/>
    <w:rsid w:val="001706E7"/>
    <w:rsid w:val="001750E1"/>
    <w:rsid w:val="00175DB1"/>
    <w:rsid w:val="00176C0F"/>
    <w:rsid w:val="00181B2A"/>
    <w:rsid w:val="00182476"/>
    <w:rsid w:val="00186438"/>
    <w:rsid w:val="0019061E"/>
    <w:rsid w:val="00192D03"/>
    <w:rsid w:val="00192D8A"/>
    <w:rsid w:val="001949E5"/>
    <w:rsid w:val="001A0A45"/>
    <w:rsid w:val="001A62E8"/>
    <w:rsid w:val="001A6A39"/>
    <w:rsid w:val="001A6BDC"/>
    <w:rsid w:val="001A6C47"/>
    <w:rsid w:val="001A6F9D"/>
    <w:rsid w:val="001B15D2"/>
    <w:rsid w:val="001B2810"/>
    <w:rsid w:val="001B2985"/>
    <w:rsid w:val="001B2B23"/>
    <w:rsid w:val="001B34C3"/>
    <w:rsid w:val="001B3F7B"/>
    <w:rsid w:val="001B4724"/>
    <w:rsid w:val="001C24D5"/>
    <w:rsid w:val="001C3B1D"/>
    <w:rsid w:val="001C5CD7"/>
    <w:rsid w:val="001D2189"/>
    <w:rsid w:val="001D38C5"/>
    <w:rsid w:val="001D4406"/>
    <w:rsid w:val="001E130B"/>
    <w:rsid w:val="001E23A1"/>
    <w:rsid w:val="001E3F9A"/>
    <w:rsid w:val="001E440C"/>
    <w:rsid w:val="001E5559"/>
    <w:rsid w:val="001F1CA8"/>
    <w:rsid w:val="001F4938"/>
    <w:rsid w:val="001F4AF3"/>
    <w:rsid w:val="001F5881"/>
    <w:rsid w:val="001F5CCB"/>
    <w:rsid w:val="001F70A4"/>
    <w:rsid w:val="001F7584"/>
    <w:rsid w:val="0020131D"/>
    <w:rsid w:val="002044F5"/>
    <w:rsid w:val="0020469C"/>
    <w:rsid w:val="00207295"/>
    <w:rsid w:val="0021088C"/>
    <w:rsid w:val="0021158F"/>
    <w:rsid w:val="00213F30"/>
    <w:rsid w:val="00214C24"/>
    <w:rsid w:val="0021562D"/>
    <w:rsid w:val="00215E70"/>
    <w:rsid w:val="0021651D"/>
    <w:rsid w:val="00223077"/>
    <w:rsid w:val="002329F5"/>
    <w:rsid w:val="002351A0"/>
    <w:rsid w:val="0023520C"/>
    <w:rsid w:val="0023589E"/>
    <w:rsid w:val="00237C09"/>
    <w:rsid w:val="00237CC7"/>
    <w:rsid w:val="00243904"/>
    <w:rsid w:val="002449D9"/>
    <w:rsid w:val="002461DC"/>
    <w:rsid w:val="002523C8"/>
    <w:rsid w:val="00252A89"/>
    <w:rsid w:val="00252FF0"/>
    <w:rsid w:val="002534C3"/>
    <w:rsid w:val="00254E16"/>
    <w:rsid w:val="00256232"/>
    <w:rsid w:val="00260C92"/>
    <w:rsid w:val="00265830"/>
    <w:rsid w:val="00265C36"/>
    <w:rsid w:val="00266DA4"/>
    <w:rsid w:val="002670BC"/>
    <w:rsid w:val="00271678"/>
    <w:rsid w:val="00272882"/>
    <w:rsid w:val="00273013"/>
    <w:rsid w:val="00273F34"/>
    <w:rsid w:val="00275DEF"/>
    <w:rsid w:val="00276DE1"/>
    <w:rsid w:val="00277D66"/>
    <w:rsid w:val="00282E49"/>
    <w:rsid w:val="0028365D"/>
    <w:rsid w:val="00284977"/>
    <w:rsid w:val="00290D95"/>
    <w:rsid w:val="00294024"/>
    <w:rsid w:val="00295375"/>
    <w:rsid w:val="0029574E"/>
    <w:rsid w:val="0029648A"/>
    <w:rsid w:val="002A0DDA"/>
    <w:rsid w:val="002A2022"/>
    <w:rsid w:val="002A26D4"/>
    <w:rsid w:val="002A3149"/>
    <w:rsid w:val="002A38E7"/>
    <w:rsid w:val="002A437C"/>
    <w:rsid w:val="002B460B"/>
    <w:rsid w:val="002B560A"/>
    <w:rsid w:val="002B5991"/>
    <w:rsid w:val="002B7043"/>
    <w:rsid w:val="002B713B"/>
    <w:rsid w:val="002B737A"/>
    <w:rsid w:val="002C0B93"/>
    <w:rsid w:val="002C1D70"/>
    <w:rsid w:val="002C1E62"/>
    <w:rsid w:val="002C2897"/>
    <w:rsid w:val="002C55E7"/>
    <w:rsid w:val="002C7206"/>
    <w:rsid w:val="002D10FC"/>
    <w:rsid w:val="002D3BA9"/>
    <w:rsid w:val="002E0E43"/>
    <w:rsid w:val="002E36D8"/>
    <w:rsid w:val="002E464E"/>
    <w:rsid w:val="002E57B9"/>
    <w:rsid w:val="002E602B"/>
    <w:rsid w:val="002E6C6D"/>
    <w:rsid w:val="002F597C"/>
    <w:rsid w:val="002F6432"/>
    <w:rsid w:val="002F7009"/>
    <w:rsid w:val="002F73E2"/>
    <w:rsid w:val="002F7CCB"/>
    <w:rsid w:val="003006DA"/>
    <w:rsid w:val="00301854"/>
    <w:rsid w:val="00304A93"/>
    <w:rsid w:val="00320E74"/>
    <w:rsid w:val="00321B3D"/>
    <w:rsid w:val="00323324"/>
    <w:rsid w:val="00323D3A"/>
    <w:rsid w:val="00324281"/>
    <w:rsid w:val="00325A39"/>
    <w:rsid w:val="003305F7"/>
    <w:rsid w:val="003308E4"/>
    <w:rsid w:val="00330C80"/>
    <w:rsid w:val="00333C87"/>
    <w:rsid w:val="003343F8"/>
    <w:rsid w:val="00335473"/>
    <w:rsid w:val="00340689"/>
    <w:rsid w:val="0034134F"/>
    <w:rsid w:val="00341C86"/>
    <w:rsid w:val="003445B5"/>
    <w:rsid w:val="00344B03"/>
    <w:rsid w:val="003511BB"/>
    <w:rsid w:val="0035231A"/>
    <w:rsid w:val="00354686"/>
    <w:rsid w:val="00354E85"/>
    <w:rsid w:val="00360C5B"/>
    <w:rsid w:val="003610BC"/>
    <w:rsid w:val="003639C5"/>
    <w:rsid w:val="00364EB6"/>
    <w:rsid w:val="00367830"/>
    <w:rsid w:val="00370607"/>
    <w:rsid w:val="003716AB"/>
    <w:rsid w:val="003731B1"/>
    <w:rsid w:val="00374323"/>
    <w:rsid w:val="003761F5"/>
    <w:rsid w:val="00376F45"/>
    <w:rsid w:val="00377BD7"/>
    <w:rsid w:val="0038370E"/>
    <w:rsid w:val="00384B2A"/>
    <w:rsid w:val="00385DD5"/>
    <w:rsid w:val="003932F6"/>
    <w:rsid w:val="00394409"/>
    <w:rsid w:val="003945E8"/>
    <w:rsid w:val="003966C6"/>
    <w:rsid w:val="00397BD9"/>
    <w:rsid w:val="003A1E82"/>
    <w:rsid w:val="003A2290"/>
    <w:rsid w:val="003A436D"/>
    <w:rsid w:val="003A5086"/>
    <w:rsid w:val="003A5A45"/>
    <w:rsid w:val="003A5C9C"/>
    <w:rsid w:val="003A7732"/>
    <w:rsid w:val="003A79DC"/>
    <w:rsid w:val="003B1D00"/>
    <w:rsid w:val="003B2A07"/>
    <w:rsid w:val="003B3B4B"/>
    <w:rsid w:val="003B4700"/>
    <w:rsid w:val="003B54FD"/>
    <w:rsid w:val="003B59A9"/>
    <w:rsid w:val="003C06EE"/>
    <w:rsid w:val="003C6038"/>
    <w:rsid w:val="003C76EC"/>
    <w:rsid w:val="003D32C1"/>
    <w:rsid w:val="003D443F"/>
    <w:rsid w:val="003D720A"/>
    <w:rsid w:val="003D7563"/>
    <w:rsid w:val="003E0463"/>
    <w:rsid w:val="003E04A7"/>
    <w:rsid w:val="003E37C2"/>
    <w:rsid w:val="003E41F7"/>
    <w:rsid w:val="003E4994"/>
    <w:rsid w:val="003E5FE9"/>
    <w:rsid w:val="003E6D2D"/>
    <w:rsid w:val="003F02FD"/>
    <w:rsid w:val="003F2EF6"/>
    <w:rsid w:val="003F4725"/>
    <w:rsid w:val="003F5658"/>
    <w:rsid w:val="00401562"/>
    <w:rsid w:val="0040537D"/>
    <w:rsid w:val="00405A81"/>
    <w:rsid w:val="00406500"/>
    <w:rsid w:val="00411E42"/>
    <w:rsid w:val="0041244E"/>
    <w:rsid w:val="0041255C"/>
    <w:rsid w:val="00414F8D"/>
    <w:rsid w:val="00415EB5"/>
    <w:rsid w:val="004167F9"/>
    <w:rsid w:val="00417EF4"/>
    <w:rsid w:val="004208A3"/>
    <w:rsid w:val="00422318"/>
    <w:rsid w:val="004248ED"/>
    <w:rsid w:val="00433A6F"/>
    <w:rsid w:val="00441D9E"/>
    <w:rsid w:val="004425BE"/>
    <w:rsid w:val="00443BEC"/>
    <w:rsid w:val="00445FC5"/>
    <w:rsid w:val="004477E5"/>
    <w:rsid w:val="00450641"/>
    <w:rsid w:val="0045595D"/>
    <w:rsid w:val="00456684"/>
    <w:rsid w:val="004569FD"/>
    <w:rsid w:val="004653A3"/>
    <w:rsid w:val="00465D1F"/>
    <w:rsid w:val="004673AE"/>
    <w:rsid w:val="00470CAE"/>
    <w:rsid w:val="00471B62"/>
    <w:rsid w:val="004727BD"/>
    <w:rsid w:val="004728B1"/>
    <w:rsid w:val="00475288"/>
    <w:rsid w:val="00476EF2"/>
    <w:rsid w:val="00482EF1"/>
    <w:rsid w:val="004864A0"/>
    <w:rsid w:val="00487D44"/>
    <w:rsid w:val="00490F32"/>
    <w:rsid w:val="004932E5"/>
    <w:rsid w:val="004947CB"/>
    <w:rsid w:val="004A0EE5"/>
    <w:rsid w:val="004A56BE"/>
    <w:rsid w:val="004A790C"/>
    <w:rsid w:val="004A7B92"/>
    <w:rsid w:val="004B088B"/>
    <w:rsid w:val="004B10CB"/>
    <w:rsid w:val="004B1440"/>
    <w:rsid w:val="004B2331"/>
    <w:rsid w:val="004B2C9B"/>
    <w:rsid w:val="004B36F6"/>
    <w:rsid w:val="004B414B"/>
    <w:rsid w:val="004C01A7"/>
    <w:rsid w:val="004C06BC"/>
    <w:rsid w:val="004C0955"/>
    <w:rsid w:val="004C0FCF"/>
    <w:rsid w:val="004C20C9"/>
    <w:rsid w:val="004C2CFC"/>
    <w:rsid w:val="004C38F4"/>
    <w:rsid w:val="004C4331"/>
    <w:rsid w:val="004C7580"/>
    <w:rsid w:val="004D00C0"/>
    <w:rsid w:val="004D0CD6"/>
    <w:rsid w:val="004D478F"/>
    <w:rsid w:val="004D651F"/>
    <w:rsid w:val="004D69FA"/>
    <w:rsid w:val="004E0DFA"/>
    <w:rsid w:val="004E5403"/>
    <w:rsid w:val="004E5DDB"/>
    <w:rsid w:val="004E6C49"/>
    <w:rsid w:val="004F168B"/>
    <w:rsid w:val="004F4006"/>
    <w:rsid w:val="004F56DD"/>
    <w:rsid w:val="00504CAC"/>
    <w:rsid w:val="005058A3"/>
    <w:rsid w:val="005109CB"/>
    <w:rsid w:val="00510A59"/>
    <w:rsid w:val="005141A9"/>
    <w:rsid w:val="00517223"/>
    <w:rsid w:val="0052239C"/>
    <w:rsid w:val="00526B92"/>
    <w:rsid w:val="00533A92"/>
    <w:rsid w:val="00535E65"/>
    <w:rsid w:val="00536233"/>
    <w:rsid w:val="00537526"/>
    <w:rsid w:val="00541D3D"/>
    <w:rsid w:val="005447EE"/>
    <w:rsid w:val="00545B90"/>
    <w:rsid w:val="0055227E"/>
    <w:rsid w:val="005648A7"/>
    <w:rsid w:val="00564A4E"/>
    <w:rsid w:val="00566940"/>
    <w:rsid w:val="005672EE"/>
    <w:rsid w:val="0057063A"/>
    <w:rsid w:val="0057381A"/>
    <w:rsid w:val="00576774"/>
    <w:rsid w:val="00583F46"/>
    <w:rsid w:val="005859F4"/>
    <w:rsid w:val="00585E4E"/>
    <w:rsid w:val="00591E5F"/>
    <w:rsid w:val="005A1E12"/>
    <w:rsid w:val="005A2B78"/>
    <w:rsid w:val="005A3228"/>
    <w:rsid w:val="005A5602"/>
    <w:rsid w:val="005A5858"/>
    <w:rsid w:val="005B0972"/>
    <w:rsid w:val="005B13A3"/>
    <w:rsid w:val="005B1FF2"/>
    <w:rsid w:val="005B40D0"/>
    <w:rsid w:val="005B5882"/>
    <w:rsid w:val="005C077D"/>
    <w:rsid w:val="005C0A16"/>
    <w:rsid w:val="005C0DC8"/>
    <w:rsid w:val="005C3076"/>
    <w:rsid w:val="005C3E7A"/>
    <w:rsid w:val="005C43C1"/>
    <w:rsid w:val="005C49DC"/>
    <w:rsid w:val="005C5866"/>
    <w:rsid w:val="005C666D"/>
    <w:rsid w:val="005D2333"/>
    <w:rsid w:val="005D359D"/>
    <w:rsid w:val="005D4D01"/>
    <w:rsid w:val="005D5033"/>
    <w:rsid w:val="005D7D33"/>
    <w:rsid w:val="005E0042"/>
    <w:rsid w:val="005E1DA2"/>
    <w:rsid w:val="005E2887"/>
    <w:rsid w:val="005E3C3C"/>
    <w:rsid w:val="005E7B09"/>
    <w:rsid w:val="005F0C6C"/>
    <w:rsid w:val="005F2887"/>
    <w:rsid w:val="005F7DB9"/>
    <w:rsid w:val="0060033E"/>
    <w:rsid w:val="006007B0"/>
    <w:rsid w:val="00600B02"/>
    <w:rsid w:val="006019E8"/>
    <w:rsid w:val="00602A5E"/>
    <w:rsid w:val="006031E0"/>
    <w:rsid w:val="00603B7D"/>
    <w:rsid w:val="00603E4A"/>
    <w:rsid w:val="00606639"/>
    <w:rsid w:val="00610809"/>
    <w:rsid w:val="006139C6"/>
    <w:rsid w:val="0061428F"/>
    <w:rsid w:val="00614386"/>
    <w:rsid w:val="0062056F"/>
    <w:rsid w:val="0062075A"/>
    <w:rsid w:val="00622E26"/>
    <w:rsid w:val="00624194"/>
    <w:rsid w:val="00627225"/>
    <w:rsid w:val="00630BBC"/>
    <w:rsid w:val="006322CA"/>
    <w:rsid w:val="0063249A"/>
    <w:rsid w:val="006328D3"/>
    <w:rsid w:val="00633ED1"/>
    <w:rsid w:val="00634508"/>
    <w:rsid w:val="00641FDC"/>
    <w:rsid w:val="006420A4"/>
    <w:rsid w:val="00643D57"/>
    <w:rsid w:val="00647BEB"/>
    <w:rsid w:val="00651D0E"/>
    <w:rsid w:val="00655637"/>
    <w:rsid w:val="00656355"/>
    <w:rsid w:val="00656A37"/>
    <w:rsid w:val="00656BDE"/>
    <w:rsid w:val="00656DDE"/>
    <w:rsid w:val="00657963"/>
    <w:rsid w:val="00660043"/>
    <w:rsid w:val="006614E8"/>
    <w:rsid w:val="00664639"/>
    <w:rsid w:val="006732EB"/>
    <w:rsid w:val="00674A1C"/>
    <w:rsid w:val="006753D6"/>
    <w:rsid w:val="0068141D"/>
    <w:rsid w:val="006817F7"/>
    <w:rsid w:val="00685F67"/>
    <w:rsid w:val="00686B37"/>
    <w:rsid w:val="00687067"/>
    <w:rsid w:val="006913D0"/>
    <w:rsid w:val="00692254"/>
    <w:rsid w:val="006927A9"/>
    <w:rsid w:val="00696539"/>
    <w:rsid w:val="006966A4"/>
    <w:rsid w:val="00696C9F"/>
    <w:rsid w:val="006A164C"/>
    <w:rsid w:val="006A3AAC"/>
    <w:rsid w:val="006A54CC"/>
    <w:rsid w:val="006A564E"/>
    <w:rsid w:val="006A6DF2"/>
    <w:rsid w:val="006B2A1D"/>
    <w:rsid w:val="006B58AE"/>
    <w:rsid w:val="006B6213"/>
    <w:rsid w:val="006C03F3"/>
    <w:rsid w:val="006C1351"/>
    <w:rsid w:val="006C137A"/>
    <w:rsid w:val="006C4DA1"/>
    <w:rsid w:val="006D187D"/>
    <w:rsid w:val="006D21F9"/>
    <w:rsid w:val="006D3422"/>
    <w:rsid w:val="006D638E"/>
    <w:rsid w:val="006E0323"/>
    <w:rsid w:val="006E2D63"/>
    <w:rsid w:val="006E4DA0"/>
    <w:rsid w:val="006E4DE2"/>
    <w:rsid w:val="006E732C"/>
    <w:rsid w:val="006F20BD"/>
    <w:rsid w:val="006F5589"/>
    <w:rsid w:val="007048FC"/>
    <w:rsid w:val="007103CB"/>
    <w:rsid w:val="0071164B"/>
    <w:rsid w:val="00713CFA"/>
    <w:rsid w:val="00714C89"/>
    <w:rsid w:val="00715B32"/>
    <w:rsid w:val="00716EC3"/>
    <w:rsid w:val="00721F93"/>
    <w:rsid w:val="00723E22"/>
    <w:rsid w:val="00724169"/>
    <w:rsid w:val="00724D73"/>
    <w:rsid w:val="00724E73"/>
    <w:rsid w:val="00725E94"/>
    <w:rsid w:val="00730719"/>
    <w:rsid w:val="00733AF6"/>
    <w:rsid w:val="00734BA2"/>
    <w:rsid w:val="00734EB7"/>
    <w:rsid w:val="00736230"/>
    <w:rsid w:val="007368F7"/>
    <w:rsid w:val="0074022D"/>
    <w:rsid w:val="00740350"/>
    <w:rsid w:val="00745060"/>
    <w:rsid w:val="00750F10"/>
    <w:rsid w:val="00751014"/>
    <w:rsid w:val="00751D07"/>
    <w:rsid w:val="00753E35"/>
    <w:rsid w:val="0075644E"/>
    <w:rsid w:val="00761595"/>
    <w:rsid w:val="00761B17"/>
    <w:rsid w:val="00761EE6"/>
    <w:rsid w:val="007713CB"/>
    <w:rsid w:val="007749E6"/>
    <w:rsid w:val="00775E67"/>
    <w:rsid w:val="00776247"/>
    <w:rsid w:val="007769DB"/>
    <w:rsid w:val="0078030B"/>
    <w:rsid w:val="00781CAF"/>
    <w:rsid w:val="00786703"/>
    <w:rsid w:val="007872A4"/>
    <w:rsid w:val="00787908"/>
    <w:rsid w:val="007909C1"/>
    <w:rsid w:val="0079185B"/>
    <w:rsid w:val="007929CB"/>
    <w:rsid w:val="00796B3B"/>
    <w:rsid w:val="00797514"/>
    <w:rsid w:val="00797F37"/>
    <w:rsid w:val="007B3D67"/>
    <w:rsid w:val="007B66F4"/>
    <w:rsid w:val="007B69C7"/>
    <w:rsid w:val="007B765D"/>
    <w:rsid w:val="007C10C9"/>
    <w:rsid w:val="007C3BE7"/>
    <w:rsid w:val="007C418F"/>
    <w:rsid w:val="007C5125"/>
    <w:rsid w:val="007C665B"/>
    <w:rsid w:val="007C7A6F"/>
    <w:rsid w:val="007D03A1"/>
    <w:rsid w:val="007D3131"/>
    <w:rsid w:val="007D4F31"/>
    <w:rsid w:val="007D5B1F"/>
    <w:rsid w:val="007D6EA6"/>
    <w:rsid w:val="007D7BFC"/>
    <w:rsid w:val="007E2B76"/>
    <w:rsid w:val="007E57B0"/>
    <w:rsid w:val="007E59D7"/>
    <w:rsid w:val="007E6151"/>
    <w:rsid w:val="007E71DE"/>
    <w:rsid w:val="007E7C53"/>
    <w:rsid w:val="007F3ECE"/>
    <w:rsid w:val="007F558E"/>
    <w:rsid w:val="007F5C98"/>
    <w:rsid w:val="007F5DF7"/>
    <w:rsid w:val="007F6570"/>
    <w:rsid w:val="007F6E5A"/>
    <w:rsid w:val="007F73F5"/>
    <w:rsid w:val="00801AD4"/>
    <w:rsid w:val="00801D07"/>
    <w:rsid w:val="00803008"/>
    <w:rsid w:val="008040AA"/>
    <w:rsid w:val="008041AD"/>
    <w:rsid w:val="008042F9"/>
    <w:rsid w:val="00804FF1"/>
    <w:rsid w:val="008146C3"/>
    <w:rsid w:val="00815966"/>
    <w:rsid w:val="0081691B"/>
    <w:rsid w:val="00816F18"/>
    <w:rsid w:val="0081734E"/>
    <w:rsid w:val="00821B14"/>
    <w:rsid w:val="00825D7F"/>
    <w:rsid w:val="0082711A"/>
    <w:rsid w:val="0083416D"/>
    <w:rsid w:val="008420A9"/>
    <w:rsid w:val="008426B6"/>
    <w:rsid w:val="00844767"/>
    <w:rsid w:val="00846D7B"/>
    <w:rsid w:val="00846E16"/>
    <w:rsid w:val="00847133"/>
    <w:rsid w:val="00847506"/>
    <w:rsid w:val="008512CD"/>
    <w:rsid w:val="00851BF7"/>
    <w:rsid w:val="00852F27"/>
    <w:rsid w:val="00854C9D"/>
    <w:rsid w:val="00855B4A"/>
    <w:rsid w:val="00855CB7"/>
    <w:rsid w:val="00857653"/>
    <w:rsid w:val="00861454"/>
    <w:rsid w:val="00861E5D"/>
    <w:rsid w:val="00862566"/>
    <w:rsid w:val="008629F2"/>
    <w:rsid w:val="008635EB"/>
    <w:rsid w:val="00863B78"/>
    <w:rsid w:val="00865478"/>
    <w:rsid w:val="00866912"/>
    <w:rsid w:val="00866E52"/>
    <w:rsid w:val="00871A20"/>
    <w:rsid w:val="008736F0"/>
    <w:rsid w:val="00873D71"/>
    <w:rsid w:val="00875467"/>
    <w:rsid w:val="00875837"/>
    <w:rsid w:val="00880FC5"/>
    <w:rsid w:val="00881BD3"/>
    <w:rsid w:val="00885BD0"/>
    <w:rsid w:val="00885C16"/>
    <w:rsid w:val="00885D3F"/>
    <w:rsid w:val="00885EC6"/>
    <w:rsid w:val="0088694D"/>
    <w:rsid w:val="008A02DC"/>
    <w:rsid w:val="008A053A"/>
    <w:rsid w:val="008A1688"/>
    <w:rsid w:val="008A4F2A"/>
    <w:rsid w:val="008A5F56"/>
    <w:rsid w:val="008A7F44"/>
    <w:rsid w:val="008B02EE"/>
    <w:rsid w:val="008B168E"/>
    <w:rsid w:val="008B3822"/>
    <w:rsid w:val="008B3B3A"/>
    <w:rsid w:val="008B4E32"/>
    <w:rsid w:val="008B7A99"/>
    <w:rsid w:val="008B7E4A"/>
    <w:rsid w:val="008C0B03"/>
    <w:rsid w:val="008C3BCC"/>
    <w:rsid w:val="008C50D6"/>
    <w:rsid w:val="008C528B"/>
    <w:rsid w:val="008C60CB"/>
    <w:rsid w:val="008C7679"/>
    <w:rsid w:val="008D09B0"/>
    <w:rsid w:val="008D15DC"/>
    <w:rsid w:val="008D3275"/>
    <w:rsid w:val="008D3978"/>
    <w:rsid w:val="008D6B98"/>
    <w:rsid w:val="008E2CC8"/>
    <w:rsid w:val="008E4A0D"/>
    <w:rsid w:val="008F1F09"/>
    <w:rsid w:val="008F358A"/>
    <w:rsid w:val="008F383F"/>
    <w:rsid w:val="008F4C04"/>
    <w:rsid w:val="008F54EE"/>
    <w:rsid w:val="009005F7"/>
    <w:rsid w:val="00903B7A"/>
    <w:rsid w:val="00903E29"/>
    <w:rsid w:val="00905D68"/>
    <w:rsid w:val="00906A56"/>
    <w:rsid w:val="00911560"/>
    <w:rsid w:val="009118B5"/>
    <w:rsid w:val="009137A0"/>
    <w:rsid w:val="00916B7D"/>
    <w:rsid w:val="00920D6F"/>
    <w:rsid w:val="00921090"/>
    <w:rsid w:val="009229C0"/>
    <w:rsid w:val="00922AD5"/>
    <w:rsid w:val="00925903"/>
    <w:rsid w:val="0092668E"/>
    <w:rsid w:val="00927358"/>
    <w:rsid w:val="009303DD"/>
    <w:rsid w:val="009336A5"/>
    <w:rsid w:val="00933F76"/>
    <w:rsid w:val="0093452D"/>
    <w:rsid w:val="00936315"/>
    <w:rsid w:val="00937FFA"/>
    <w:rsid w:val="0094254C"/>
    <w:rsid w:val="009426F6"/>
    <w:rsid w:val="0094464A"/>
    <w:rsid w:val="00944956"/>
    <w:rsid w:val="00947216"/>
    <w:rsid w:val="009504C3"/>
    <w:rsid w:val="00950A0D"/>
    <w:rsid w:val="009528F8"/>
    <w:rsid w:val="009611D8"/>
    <w:rsid w:val="00961748"/>
    <w:rsid w:val="0097004A"/>
    <w:rsid w:val="0097193C"/>
    <w:rsid w:val="0097196D"/>
    <w:rsid w:val="009737F8"/>
    <w:rsid w:val="00976C59"/>
    <w:rsid w:val="0097786E"/>
    <w:rsid w:val="00977E8B"/>
    <w:rsid w:val="00981757"/>
    <w:rsid w:val="00983362"/>
    <w:rsid w:val="009847C1"/>
    <w:rsid w:val="009865E9"/>
    <w:rsid w:val="00986A7A"/>
    <w:rsid w:val="00992600"/>
    <w:rsid w:val="00992649"/>
    <w:rsid w:val="00994C55"/>
    <w:rsid w:val="00994FDA"/>
    <w:rsid w:val="009975C2"/>
    <w:rsid w:val="009A017E"/>
    <w:rsid w:val="009A0A3C"/>
    <w:rsid w:val="009A1437"/>
    <w:rsid w:val="009A53AF"/>
    <w:rsid w:val="009B22A5"/>
    <w:rsid w:val="009B386C"/>
    <w:rsid w:val="009C08AB"/>
    <w:rsid w:val="009C1420"/>
    <w:rsid w:val="009C14C2"/>
    <w:rsid w:val="009C160B"/>
    <w:rsid w:val="009C3A64"/>
    <w:rsid w:val="009C647A"/>
    <w:rsid w:val="009D1621"/>
    <w:rsid w:val="009D6991"/>
    <w:rsid w:val="009D70A4"/>
    <w:rsid w:val="009E0690"/>
    <w:rsid w:val="009E22F5"/>
    <w:rsid w:val="009E6598"/>
    <w:rsid w:val="009E6C77"/>
    <w:rsid w:val="009F0E85"/>
    <w:rsid w:val="009F279C"/>
    <w:rsid w:val="009F2AB0"/>
    <w:rsid w:val="009F4E1B"/>
    <w:rsid w:val="009F6762"/>
    <w:rsid w:val="009F6928"/>
    <w:rsid w:val="009F6DF3"/>
    <w:rsid w:val="009F756A"/>
    <w:rsid w:val="00A017BB"/>
    <w:rsid w:val="00A01B62"/>
    <w:rsid w:val="00A04750"/>
    <w:rsid w:val="00A0528B"/>
    <w:rsid w:val="00A111C7"/>
    <w:rsid w:val="00A12E16"/>
    <w:rsid w:val="00A1435F"/>
    <w:rsid w:val="00A1736C"/>
    <w:rsid w:val="00A20660"/>
    <w:rsid w:val="00A21817"/>
    <w:rsid w:val="00A27AF1"/>
    <w:rsid w:val="00A32BC5"/>
    <w:rsid w:val="00A33FAB"/>
    <w:rsid w:val="00A34AA1"/>
    <w:rsid w:val="00A35E9D"/>
    <w:rsid w:val="00A366AB"/>
    <w:rsid w:val="00A4305D"/>
    <w:rsid w:val="00A436F6"/>
    <w:rsid w:val="00A43827"/>
    <w:rsid w:val="00A43BEF"/>
    <w:rsid w:val="00A44D8D"/>
    <w:rsid w:val="00A475A5"/>
    <w:rsid w:val="00A50E21"/>
    <w:rsid w:val="00A565D2"/>
    <w:rsid w:val="00A659C6"/>
    <w:rsid w:val="00A6707B"/>
    <w:rsid w:val="00A675B1"/>
    <w:rsid w:val="00A70E40"/>
    <w:rsid w:val="00A74604"/>
    <w:rsid w:val="00A75204"/>
    <w:rsid w:val="00A75F63"/>
    <w:rsid w:val="00A76533"/>
    <w:rsid w:val="00A80D57"/>
    <w:rsid w:val="00A8367F"/>
    <w:rsid w:val="00A84626"/>
    <w:rsid w:val="00A862A4"/>
    <w:rsid w:val="00A938A6"/>
    <w:rsid w:val="00A939D4"/>
    <w:rsid w:val="00A95838"/>
    <w:rsid w:val="00A95CD1"/>
    <w:rsid w:val="00AA3532"/>
    <w:rsid w:val="00AA3DDB"/>
    <w:rsid w:val="00AB0564"/>
    <w:rsid w:val="00AB16A1"/>
    <w:rsid w:val="00AB6E52"/>
    <w:rsid w:val="00AC463E"/>
    <w:rsid w:val="00AC585D"/>
    <w:rsid w:val="00AC594C"/>
    <w:rsid w:val="00AC7BB9"/>
    <w:rsid w:val="00AD0D15"/>
    <w:rsid w:val="00AD1350"/>
    <w:rsid w:val="00AD1EC3"/>
    <w:rsid w:val="00AD4D97"/>
    <w:rsid w:val="00AD697A"/>
    <w:rsid w:val="00AD7097"/>
    <w:rsid w:val="00AD75FE"/>
    <w:rsid w:val="00AD7B4F"/>
    <w:rsid w:val="00AF0770"/>
    <w:rsid w:val="00AF276E"/>
    <w:rsid w:val="00AF3138"/>
    <w:rsid w:val="00AF663B"/>
    <w:rsid w:val="00B02627"/>
    <w:rsid w:val="00B02F1F"/>
    <w:rsid w:val="00B03153"/>
    <w:rsid w:val="00B03FBE"/>
    <w:rsid w:val="00B04627"/>
    <w:rsid w:val="00B0569D"/>
    <w:rsid w:val="00B065D4"/>
    <w:rsid w:val="00B07B4B"/>
    <w:rsid w:val="00B10754"/>
    <w:rsid w:val="00B15B9A"/>
    <w:rsid w:val="00B173FD"/>
    <w:rsid w:val="00B20DCE"/>
    <w:rsid w:val="00B210A0"/>
    <w:rsid w:val="00B223B8"/>
    <w:rsid w:val="00B22F73"/>
    <w:rsid w:val="00B23DB0"/>
    <w:rsid w:val="00B26784"/>
    <w:rsid w:val="00B2685D"/>
    <w:rsid w:val="00B26FEF"/>
    <w:rsid w:val="00B27FB7"/>
    <w:rsid w:val="00B328DE"/>
    <w:rsid w:val="00B32D09"/>
    <w:rsid w:val="00B33819"/>
    <w:rsid w:val="00B3443E"/>
    <w:rsid w:val="00B35E96"/>
    <w:rsid w:val="00B37F7B"/>
    <w:rsid w:val="00B41665"/>
    <w:rsid w:val="00B42286"/>
    <w:rsid w:val="00B4474E"/>
    <w:rsid w:val="00B452E6"/>
    <w:rsid w:val="00B5085E"/>
    <w:rsid w:val="00B52603"/>
    <w:rsid w:val="00B52B93"/>
    <w:rsid w:val="00B53202"/>
    <w:rsid w:val="00B55B2A"/>
    <w:rsid w:val="00B57450"/>
    <w:rsid w:val="00B62C84"/>
    <w:rsid w:val="00B7034A"/>
    <w:rsid w:val="00B712A9"/>
    <w:rsid w:val="00B7299C"/>
    <w:rsid w:val="00B73BAD"/>
    <w:rsid w:val="00B759E3"/>
    <w:rsid w:val="00B75D5B"/>
    <w:rsid w:val="00B7668C"/>
    <w:rsid w:val="00B766AE"/>
    <w:rsid w:val="00B76B79"/>
    <w:rsid w:val="00B76B99"/>
    <w:rsid w:val="00B76FC2"/>
    <w:rsid w:val="00B7742E"/>
    <w:rsid w:val="00B83F5B"/>
    <w:rsid w:val="00B8525B"/>
    <w:rsid w:val="00B85560"/>
    <w:rsid w:val="00B937C5"/>
    <w:rsid w:val="00BA01E0"/>
    <w:rsid w:val="00BA321C"/>
    <w:rsid w:val="00BA3249"/>
    <w:rsid w:val="00BB231B"/>
    <w:rsid w:val="00BB235C"/>
    <w:rsid w:val="00BB4781"/>
    <w:rsid w:val="00BB4C92"/>
    <w:rsid w:val="00BB6F83"/>
    <w:rsid w:val="00BB7F6F"/>
    <w:rsid w:val="00BC2B87"/>
    <w:rsid w:val="00BC4C21"/>
    <w:rsid w:val="00BC7876"/>
    <w:rsid w:val="00BD1759"/>
    <w:rsid w:val="00BD3ECE"/>
    <w:rsid w:val="00BD56D5"/>
    <w:rsid w:val="00BE0281"/>
    <w:rsid w:val="00BE10A2"/>
    <w:rsid w:val="00BE2079"/>
    <w:rsid w:val="00BE49B2"/>
    <w:rsid w:val="00BE768C"/>
    <w:rsid w:val="00BE7B5C"/>
    <w:rsid w:val="00BF1144"/>
    <w:rsid w:val="00BF125B"/>
    <w:rsid w:val="00BF3F52"/>
    <w:rsid w:val="00BF621E"/>
    <w:rsid w:val="00C01CFA"/>
    <w:rsid w:val="00C02967"/>
    <w:rsid w:val="00C037A7"/>
    <w:rsid w:val="00C07222"/>
    <w:rsid w:val="00C074A7"/>
    <w:rsid w:val="00C10252"/>
    <w:rsid w:val="00C10C19"/>
    <w:rsid w:val="00C12DF5"/>
    <w:rsid w:val="00C17FB3"/>
    <w:rsid w:val="00C24FE9"/>
    <w:rsid w:val="00C255F5"/>
    <w:rsid w:val="00C300B3"/>
    <w:rsid w:val="00C31193"/>
    <w:rsid w:val="00C3144D"/>
    <w:rsid w:val="00C337B5"/>
    <w:rsid w:val="00C343B5"/>
    <w:rsid w:val="00C350D0"/>
    <w:rsid w:val="00C400E3"/>
    <w:rsid w:val="00C40401"/>
    <w:rsid w:val="00C4100E"/>
    <w:rsid w:val="00C411F7"/>
    <w:rsid w:val="00C43E04"/>
    <w:rsid w:val="00C46732"/>
    <w:rsid w:val="00C472D1"/>
    <w:rsid w:val="00C51457"/>
    <w:rsid w:val="00C515C4"/>
    <w:rsid w:val="00C53568"/>
    <w:rsid w:val="00C5553A"/>
    <w:rsid w:val="00C55B49"/>
    <w:rsid w:val="00C62717"/>
    <w:rsid w:val="00C63530"/>
    <w:rsid w:val="00C64137"/>
    <w:rsid w:val="00C64343"/>
    <w:rsid w:val="00C701A0"/>
    <w:rsid w:val="00C701F2"/>
    <w:rsid w:val="00C713F9"/>
    <w:rsid w:val="00C74D85"/>
    <w:rsid w:val="00C76D62"/>
    <w:rsid w:val="00C77B85"/>
    <w:rsid w:val="00C8196C"/>
    <w:rsid w:val="00C8579E"/>
    <w:rsid w:val="00C85D3A"/>
    <w:rsid w:val="00C86AA1"/>
    <w:rsid w:val="00C91736"/>
    <w:rsid w:val="00C91F49"/>
    <w:rsid w:val="00C94D16"/>
    <w:rsid w:val="00C961F0"/>
    <w:rsid w:val="00CA356D"/>
    <w:rsid w:val="00CA3A5A"/>
    <w:rsid w:val="00CB02B3"/>
    <w:rsid w:val="00CB0C49"/>
    <w:rsid w:val="00CB3195"/>
    <w:rsid w:val="00CB3B63"/>
    <w:rsid w:val="00CB58C9"/>
    <w:rsid w:val="00CB76D4"/>
    <w:rsid w:val="00CC03D2"/>
    <w:rsid w:val="00CC0CFE"/>
    <w:rsid w:val="00CC1F64"/>
    <w:rsid w:val="00CC5D2B"/>
    <w:rsid w:val="00CD2D63"/>
    <w:rsid w:val="00CD321B"/>
    <w:rsid w:val="00CD4E53"/>
    <w:rsid w:val="00CD72D3"/>
    <w:rsid w:val="00CD78F3"/>
    <w:rsid w:val="00CE2CF1"/>
    <w:rsid w:val="00CE3B0C"/>
    <w:rsid w:val="00CE3F3B"/>
    <w:rsid w:val="00CE421D"/>
    <w:rsid w:val="00CE4CD7"/>
    <w:rsid w:val="00CE639E"/>
    <w:rsid w:val="00CE6512"/>
    <w:rsid w:val="00CE6CBA"/>
    <w:rsid w:val="00CF1792"/>
    <w:rsid w:val="00CF3057"/>
    <w:rsid w:val="00CF3B8F"/>
    <w:rsid w:val="00D0045D"/>
    <w:rsid w:val="00D0335F"/>
    <w:rsid w:val="00D049FD"/>
    <w:rsid w:val="00D0579C"/>
    <w:rsid w:val="00D06CCB"/>
    <w:rsid w:val="00D06D56"/>
    <w:rsid w:val="00D116DC"/>
    <w:rsid w:val="00D1262D"/>
    <w:rsid w:val="00D132FA"/>
    <w:rsid w:val="00D162D9"/>
    <w:rsid w:val="00D26634"/>
    <w:rsid w:val="00D30181"/>
    <w:rsid w:val="00D348B7"/>
    <w:rsid w:val="00D35155"/>
    <w:rsid w:val="00D37D1E"/>
    <w:rsid w:val="00D41D36"/>
    <w:rsid w:val="00D41EA6"/>
    <w:rsid w:val="00D43BD9"/>
    <w:rsid w:val="00D44832"/>
    <w:rsid w:val="00D46FB8"/>
    <w:rsid w:val="00D47EB8"/>
    <w:rsid w:val="00D516CB"/>
    <w:rsid w:val="00D5234D"/>
    <w:rsid w:val="00D547B5"/>
    <w:rsid w:val="00D60375"/>
    <w:rsid w:val="00D61BB1"/>
    <w:rsid w:val="00D61CC5"/>
    <w:rsid w:val="00D629BD"/>
    <w:rsid w:val="00D62FEB"/>
    <w:rsid w:val="00D645F9"/>
    <w:rsid w:val="00D6637C"/>
    <w:rsid w:val="00D706B6"/>
    <w:rsid w:val="00D71F67"/>
    <w:rsid w:val="00D763BD"/>
    <w:rsid w:val="00D766E7"/>
    <w:rsid w:val="00D81F5A"/>
    <w:rsid w:val="00D82715"/>
    <w:rsid w:val="00D82864"/>
    <w:rsid w:val="00D82FF7"/>
    <w:rsid w:val="00D83F84"/>
    <w:rsid w:val="00D870B7"/>
    <w:rsid w:val="00D8785D"/>
    <w:rsid w:val="00D90972"/>
    <w:rsid w:val="00D9475C"/>
    <w:rsid w:val="00D965D4"/>
    <w:rsid w:val="00D979CB"/>
    <w:rsid w:val="00DA3CAD"/>
    <w:rsid w:val="00DA41F8"/>
    <w:rsid w:val="00DA4E51"/>
    <w:rsid w:val="00DA5080"/>
    <w:rsid w:val="00DA76B4"/>
    <w:rsid w:val="00DB1B06"/>
    <w:rsid w:val="00DB7FBB"/>
    <w:rsid w:val="00DC4A82"/>
    <w:rsid w:val="00DC4E48"/>
    <w:rsid w:val="00DC53F3"/>
    <w:rsid w:val="00DD3B24"/>
    <w:rsid w:val="00DD79DC"/>
    <w:rsid w:val="00DD7EA5"/>
    <w:rsid w:val="00DE007C"/>
    <w:rsid w:val="00DE19FA"/>
    <w:rsid w:val="00DE2B50"/>
    <w:rsid w:val="00DE306C"/>
    <w:rsid w:val="00DE51AD"/>
    <w:rsid w:val="00DE70A2"/>
    <w:rsid w:val="00DF2F12"/>
    <w:rsid w:val="00DF3877"/>
    <w:rsid w:val="00DF5279"/>
    <w:rsid w:val="00DF5C90"/>
    <w:rsid w:val="00DF65A3"/>
    <w:rsid w:val="00DF7BCB"/>
    <w:rsid w:val="00DF7DED"/>
    <w:rsid w:val="00E01ADC"/>
    <w:rsid w:val="00E0354F"/>
    <w:rsid w:val="00E039DF"/>
    <w:rsid w:val="00E0423A"/>
    <w:rsid w:val="00E0770A"/>
    <w:rsid w:val="00E16D3C"/>
    <w:rsid w:val="00E20CB6"/>
    <w:rsid w:val="00E22FEF"/>
    <w:rsid w:val="00E24F2C"/>
    <w:rsid w:val="00E26B38"/>
    <w:rsid w:val="00E27EBB"/>
    <w:rsid w:val="00E31222"/>
    <w:rsid w:val="00E316FD"/>
    <w:rsid w:val="00E32B76"/>
    <w:rsid w:val="00E331E0"/>
    <w:rsid w:val="00E3447B"/>
    <w:rsid w:val="00E370E6"/>
    <w:rsid w:val="00E37E5F"/>
    <w:rsid w:val="00E41A5F"/>
    <w:rsid w:val="00E42467"/>
    <w:rsid w:val="00E42E05"/>
    <w:rsid w:val="00E46AF0"/>
    <w:rsid w:val="00E46C53"/>
    <w:rsid w:val="00E46DC7"/>
    <w:rsid w:val="00E46E7F"/>
    <w:rsid w:val="00E472D0"/>
    <w:rsid w:val="00E50E08"/>
    <w:rsid w:val="00E50F62"/>
    <w:rsid w:val="00E52C39"/>
    <w:rsid w:val="00E5502D"/>
    <w:rsid w:val="00E55925"/>
    <w:rsid w:val="00E55D47"/>
    <w:rsid w:val="00E574E7"/>
    <w:rsid w:val="00E57B59"/>
    <w:rsid w:val="00E71233"/>
    <w:rsid w:val="00E71DCB"/>
    <w:rsid w:val="00E71E8F"/>
    <w:rsid w:val="00E74060"/>
    <w:rsid w:val="00E7609D"/>
    <w:rsid w:val="00E76FEA"/>
    <w:rsid w:val="00E77F55"/>
    <w:rsid w:val="00E81069"/>
    <w:rsid w:val="00E812C9"/>
    <w:rsid w:val="00E82D2A"/>
    <w:rsid w:val="00E82EED"/>
    <w:rsid w:val="00E84D80"/>
    <w:rsid w:val="00E870AB"/>
    <w:rsid w:val="00E8774A"/>
    <w:rsid w:val="00E87EE8"/>
    <w:rsid w:val="00E904DA"/>
    <w:rsid w:val="00E90F71"/>
    <w:rsid w:val="00EA009A"/>
    <w:rsid w:val="00EA0839"/>
    <w:rsid w:val="00EA085D"/>
    <w:rsid w:val="00EA4DF8"/>
    <w:rsid w:val="00EA5309"/>
    <w:rsid w:val="00EA593D"/>
    <w:rsid w:val="00EA7D62"/>
    <w:rsid w:val="00EB023F"/>
    <w:rsid w:val="00EB1F98"/>
    <w:rsid w:val="00EB7966"/>
    <w:rsid w:val="00EC1274"/>
    <w:rsid w:val="00EC16C4"/>
    <w:rsid w:val="00EC432A"/>
    <w:rsid w:val="00EC4336"/>
    <w:rsid w:val="00EC4B05"/>
    <w:rsid w:val="00EC5A18"/>
    <w:rsid w:val="00EC5D54"/>
    <w:rsid w:val="00ED0561"/>
    <w:rsid w:val="00ED250D"/>
    <w:rsid w:val="00ED2C60"/>
    <w:rsid w:val="00ED3666"/>
    <w:rsid w:val="00ED379E"/>
    <w:rsid w:val="00ED7ECA"/>
    <w:rsid w:val="00EE00BC"/>
    <w:rsid w:val="00EE6783"/>
    <w:rsid w:val="00EF2145"/>
    <w:rsid w:val="00EF302E"/>
    <w:rsid w:val="00EF4B9C"/>
    <w:rsid w:val="00EF5F95"/>
    <w:rsid w:val="00EF6C36"/>
    <w:rsid w:val="00F05942"/>
    <w:rsid w:val="00F072AD"/>
    <w:rsid w:val="00F173FF"/>
    <w:rsid w:val="00F21C7C"/>
    <w:rsid w:val="00F21CE2"/>
    <w:rsid w:val="00F22CA4"/>
    <w:rsid w:val="00F26C30"/>
    <w:rsid w:val="00F271B8"/>
    <w:rsid w:val="00F27501"/>
    <w:rsid w:val="00F30D2C"/>
    <w:rsid w:val="00F32CDB"/>
    <w:rsid w:val="00F33291"/>
    <w:rsid w:val="00F35C1E"/>
    <w:rsid w:val="00F37036"/>
    <w:rsid w:val="00F424FB"/>
    <w:rsid w:val="00F429D8"/>
    <w:rsid w:val="00F5013F"/>
    <w:rsid w:val="00F50305"/>
    <w:rsid w:val="00F53669"/>
    <w:rsid w:val="00F53B15"/>
    <w:rsid w:val="00F55E70"/>
    <w:rsid w:val="00F57FD0"/>
    <w:rsid w:val="00F60320"/>
    <w:rsid w:val="00F66486"/>
    <w:rsid w:val="00F758A1"/>
    <w:rsid w:val="00F768BD"/>
    <w:rsid w:val="00F82CF5"/>
    <w:rsid w:val="00F83095"/>
    <w:rsid w:val="00F86F83"/>
    <w:rsid w:val="00F87013"/>
    <w:rsid w:val="00F87026"/>
    <w:rsid w:val="00F875A6"/>
    <w:rsid w:val="00F95E02"/>
    <w:rsid w:val="00F966F2"/>
    <w:rsid w:val="00FA0A5C"/>
    <w:rsid w:val="00FA2081"/>
    <w:rsid w:val="00FA4033"/>
    <w:rsid w:val="00FA4F98"/>
    <w:rsid w:val="00FA55C1"/>
    <w:rsid w:val="00FA63E3"/>
    <w:rsid w:val="00FA63FF"/>
    <w:rsid w:val="00FA7AE3"/>
    <w:rsid w:val="00FA7D15"/>
    <w:rsid w:val="00FB0841"/>
    <w:rsid w:val="00FB1F69"/>
    <w:rsid w:val="00FB3F2E"/>
    <w:rsid w:val="00FB5407"/>
    <w:rsid w:val="00FC0F81"/>
    <w:rsid w:val="00FC178D"/>
    <w:rsid w:val="00FC1E60"/>
    <w:rsid w:val="00FC40BB"/>
    <w:rsid w:val="00FC7586"/>
    <w:rsid w:val="00FD01BC"/>
    <w:rsid w:val="00FD095E"/>
    <w:rsid w:val="00FD2217"/>
    <w:rsid w:val="00FE1317"/>
    <w:rsid w:val="00FE1E21"/>
    <w:rsid w:val="00FE3AD2"/>
    <w:rsid w:val="00FE3BCC"/>
    <w:rsid w:val="00FE5945"/>
    <w:rsid w:val="00FE5C49"/>
    <w:rsid w:val="00FF1792"/>
    <w:rsid w:val="00FF1918"/>
    <w:rsid w:val="00FF1C45"/>
    <w:rsid w:val="00FF4592"/>
    <w:rsid w:val="00FF4C2B"/>
    <w:rsid w:val="00FF4F1B"/>
    <w:rsid w:val="00FF6266"/>
    <w:rsid w:val="015A6147"/>
    <w:rsid w:val="016D674E"/>
    <w:rsid w:val="039C1DB9"/>
    <w:rsid w:val="042F4508"/>
    <w:rsid w:val="08C325F5"/>
    <w:rsid w:val="0D8629CE"/>
    <w:rsid w:val="0F125373"/>
    <w:rsid w:val="0FF00FEF"/>
    <w:rsid w:val="11360C84"/>
    <w:rsid w:val="11A73C1C"/>
    <w:rsid w:val="11D0732A"/>
    <w:rsid w:val="12EF5465"/>
    <w:rsid w:val="1335039C"/>
    <w:rsid w:val="13637D2A"/>
    <w:rsid w:val="15D66A4E"/>
    <w:rsid w:val="17B7101C"/>
    <w:rsid w:val="181741EC"/>
    <w:rsid w:val="18BA663E"/>
    <w:rsid w:val="19DA6C51"/>
    <w:rsid w:val="1ABA46D4"/>
    <w:rsid w:val="1B5C70F8"/>
    <w:rsid w:val="1E3B1FCF"/>
    <w:rsid w:val="1E564676"/>
    <w:rsid w:val="1E7B6214"/>
    <w:rsid w:val="200168B1"/>
    <w:rsid w:val="20967991"/>
    <w:rsid w:val="21604D52"/>
    <w:rsid w:val="22962F3C"/>
    <w:rsid w:val="240942C2"/>
    <w:rsid w:val="244A4D1A"/>
    <w:rsid w:val="248A15BB"/>
    <w:rsid w:val="24DB1E16"/>
    <w:rsid w:val="25DD1FE7"/>
    <w:rsid w:val="264D28A0"/>
    <w:rsid w:val="26CA05BC"/>
    <w:rsid w:val="283C0E1E"/>
    <w:rsid w:val="28414B42"/>
    <w:rsid w:val="2B367561"/>
    <w:rsid w:val="2D907B3F"/>
    <w:rsid w:val="2F0138D6"/>
    <w:rsid w:val="2F57478F"/>
    <w:rsid w:val="30D5547D"/>
    <w:rsid w:val="30E97669"/>
    <w:rsid w:val="328E671A"/>
    <w:rsid w:val="338521E9"/>
    <w:rsid w:val="33DA061B"/>
    <w:rsid w:val="34EB7E53"/>
    <w:rsid w:val="356373FB"/>
    <w:rsid w:val="36062A6B"/>
    <w:rsid w:val="37C13A24"/>
    <w:rsid w:val="38143512"/>
    <w:rsid w:val="3AED5FA8"/>
    <w:rsid w:val="401E1238"/>
    <w:rsid w:val="4105229D"/>
    <w:rsid w:val="41CA2B9F"/>
    <w:rsid w:val="423027CC"/>
    <w:rsid w:val="425F59DD"/>
    <w:rsid w:val="433A3D54"/>
    <w:rsid w:val="438751EB"/>
    <w:rsid w:val="43EF0FE2"/>
    <w:rsid w:val="446236A6"/>
    <w:rsid w:val="455C28E2"/>
    <w:rsid w:val="47A45C40"/>
    <w:rsid w:val="482A0828"/>
    <w:rsid w:val="485458B8"/>
    <w:rsid w:val="48B454F2"/>
    <w:rsid w:val="49C8030C"/>
    <w:rsid w:val="4EFB4CDF"/>
    <w:rsid w:val="512F2A1E"/>
    <w:rsid w:val="53BF452D"/>
    <w:rsid w:val="56666EE2"/>
    <w:rsid w:val="58144523"/>
    <w:rsid w:val="5894433C"/>
    <w:rsid w:val="5A3A7E09"/>
    <w:rsid w:val="5B0B0058"/>
    <w:rsid w:val="5B9B5A48"/>
    <w:rsid w:val="5D3970FE"/>
    <w:rsid w:val="5E14750F"/>
    <w:rsid w:val="5E541D16"/>
    <w:rsid w:val="5FA73419"/>
    <w:rsid w:val="60413642"/>
    <w:rsid w:val="615E4C7D"/>
    <w:rsid w:val="62E23D94"/>
    <w:rsid w:val="63862972"/>
    <w:rsid w:val="64195594"/>
    <w:rsid w:val="6424218B"/>
    <w:rsid w:val="64412D3D"/>
    <w:rsid w:val="659B5239"/>
    <w:rsid w:val="65EC0A86"/>
    <w:rsid w:val="67A41905"/>
    <w:rsid w:val="67E4410B"/>
    <w:rsid w:val="67F57A24"/>
    <w:rsid w:val="6A8B35E2"/>
    <w:rsid w:val="6ADC5945"/>
    <w:rsid w:val="6B19752C"/>
    <w:rsid w:val="6BFE56A0"/>
    <w:rsid w:val="6C7F16C7"/>
    <w:rsid w:val="6D3646DB"/>
    <w:rsid w:val="6EE0737F"/>
    <w:rsid w:val="70845711"/>
    <w:rsid w:val="70EB650A"/>
    <w:rsid w:val="715B3690"/>
    <w:rsid w:val="71865715"/>
    <w:rsid w:val="72A11576"/>
    <w:rsid w:val="7325420C"/>
    <w:rsid w:val="751A595E"/>
    <w:rsid w:val="75BE5F9B"/>
    <w:rsid w:val="76283D5C"/>
    <w:rsid w:val="79336CA0"/>
    <w:rsid w:val="79515CCF"/>
    <w:rsid w:val="7D180687"/>
    <w:rsid w:val="7D271D44"/>
    <w:rsid w:val="7DBE486B"/>
    <w:rsid w:val="7E3F1C43"/>
    <w:rsid w:val="7E9949F7"/>
    <w:rsid w:val="7F284215"/>
    <w:rsid w:val="7F9F6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64" w:lineRule="auto"/>
    </w:pPr>
    <w:rPr>
      <w:rFonts w:asciiTheme="minorHAnsi" w:hAnsiTheme="minorHAnsi" w:eastAsiaTheme="minorEastAsia" w:cstheme="minorBidi"/>
      <w:sz w:val="21"/>
      <w:szCs w:val="21"/>
      <w:lang w:val="en-US" w:eastAsia="zh-CN" w:bidi="ar-SA"/>
    </w:rPr>
  </w:style>
  <w:style w:type="paragraph" w:styleId="2">
    <w:name w:val="heading 1"/>
    <w:basedOn w:val="1"/>
    <w:next w:val="1"/>
    <w:link w:val="85"/>
    <w:qFormat/>
    <w:uiPriority w:val="9"/>
    <w:pPr>
      <w:keepNext/>
      <w:keepLines/>
      <w:pBdr>
        <w:bottom w:val="single" w:color="4F81BD" w:themeColor="accent1" w:sz="4" w:space="1"/>
      </w:pBdr>
      <w:spacing w:before="400" w:after="40" w:line="240" w:lineRule="auto"/>
      <w:outlineLvl w:val="0"/>
    </w:pPr>
    <w:rPr>
      <w:rFonts w:asciiTheme="majorHAnsi" w:hAnsiTheme="majorHAnsi" w:eastAsiaTheme="majorEastAsia" w:cstheme="majorBidi"/>
      <w:color w:val="366091" w:themeColor="accent1" w:themeShade="BF"/>
      <w:sz w:val="36"/>
      <w:szCs w:val="36"/>
    </w:rPr>
  </w:style>
  <w:style w:type="paragraph" w:styleId="3">
    <w:name w:val="heading 2"/>
    <w:basedOn w:val="1"/>
    <w:next w:val="1"/>
    <w:link w:val="86"/>
    <w:unhideWhenUsed/>
    <w:qFormat/>
    <w:uiPriority w:val="9"/>
    <w:pPr>
      <w:keepNext/>
      <w:keepLines/>
      <w:spacing w:before="160" w:after="0" w:line="240" w:lineRule="auto"/>
      <w:outlineLvl w:val="1"/>
    </w:pPr>
    <w:rPr>
      <w:rFonts w:asciiTheme="majorHAnsi" w:hAnsiTheme="majorHAnsi" w:eastAsiaTheme="majorEastAsia" w:cstheme="majorBidi"/>
      <w:color w:val="366091" w:themeColor="accent1" w:themeShade="BF"/>
      <w:sz w:val="28"/>
      <w:szCs w:val="28"/>
    </w:rPr>
  </w:style>
  <w:style w:type="paragraph" w:styleId="4">
    <w:name w:val="heading 3"/>
    <w:basedOn w:val="1"/>
    <w:link w:val="42"/>
    <w:unhideWhenUsed/>
    <w:qFormat/>
    <w:uiPriority w:val="9"/>
    <w:pPr>
      <w:keepNext/>
      <w:keepLines/>
      <w:spacing w:before="80" w:after="0" w:line="240" w:lineRule="auto"/>
      <w:outlineLvl w:val="2"/>
    </w:pPr>
    <w:rPr>
      <w:rFonts w:asciiTheme="majorHAnsi" w:hAnsiTheme="majorHAnsi" w:eastAsiaTheme="majorEastAsia" w:cstheme="majorBidi"/>
      <w:color w:val="3F3F3F" w:themeColor="text1" w:themeTint="BF"/>
      <w:sz w:val="26"/>
      <w:szCs w:val="26"/>
    </w:rPr>
  </w:style>
  <w:style w:type="paragraph" w:styleId="5">
    <w:name w:val="heading 4"/>
    <w:basedOn w:val="1"/>
    <w:next w:val="1"/>
    <w:link w:val="87"/>
    <w:unhideWhenUsed/>
    <w:qFormat/>
    <w:uiPriority w:val="9"/>
    <w:pPr>
      <w:keepNext/>
      <w:keepLines/>
      <w:spacing w:before="80" w:after="0"/>
      <w:outlineLvl w:val="3"/>
    </w:pPr>
    <w:rPr>
      <w:rFonts w:asciiTheme="majorHAnsi" w:hAnsiTheme="majorHAnsi" w:eastAsiaTheme="majorEastAsia" w:cstheme="majorBidi"/>
      <w:sz w:val="24"/>
      <w:szCs w:val="24"/>
    </w:rPr>
  </w:style>
  <w:style w:type="paragraph" w:styleId="6">
    <w:name w:val="heading 5"/>
    <w:basedOn w:val="1"/>
    <w:next w:val="1"/>
    <w:link w:val="88"/>
    <w:unhideWhenUsed/>
    <w:qFormat/>
    <w:uiPriority w:val="9"/>
    <w:pPr>
      <w:keepNext/>
      <w:keepLines/>
      <w:spacing w:before="80" w:after="0"/>
      <w:outlineLvl w:val="4"/>
    </w:pPr>
    <w:rPr>
      <w:rFonts w:asciiTheme="majorHAnsi" w:hAnsiTheme="majorHAnsi" w:eastAsiaTheme="majorEastAsia" w:cstheme="majorBidi"/>
      <w:i/>
      <w:iCs/>
      <w:sz w:val="22"/>
      <w:szCs w:val="22"/>
    </w:rPr>
  </w:style>
  <w:style w:type="paragraph" w:styleId="7">
    <w:name w:val="heading 6"/>
    <w:basedOn w:val="1"/>
    <w:next w:val="1"/>
    <w:link w:val="66"/>
    <w:unhideWhenUsed/>
    <w:qFormat/>
    <w:uiPriority w:val="9"/>
    <w:pPr>
      <w:keepNext/>
      <w:keepLines/>
      <w:spacing w:before="80" w:after="0"/>
      <w:outlineLvl w:val="5"/>
    </w:pPr>
    <w:rPr>
      <w:rFonts w:asciiTheme="majorHAnsi" w:hAnsiTheme="majorHAnsi" w:eastAsiaTheme="majorEastAsia" w:cstheme="majorBidi"/>
      <w:color w:val="585858" w:themeColor="text1" w:themeTint="A6"/>
    </w:rPr>
  </w:style>
  <w:style w:type="paragraph" w:styleId="8">
    <w:name w:val="heading 7"/>
    <w:basedOn w:val="1"/>
    <w:next w:val="1"/>
    <w:link w:val="118"/>
    <w:semiHidden/>
    <w:unhideWhenUsed/>
    <w:qFormat/>
    <w:uiPriority w:val="9"/>
    <w:pPr>
      <w:keepNext/>
      <w:keepLines/>
      <w:spacing w:before="80" w:after="0"/>
      <w:outlineLvl w:val="6"/>
    </w:pPr>
    <w:rPr>
      <w:rFonts w:asciiTheme="majorHAnsi" w:hAnsiTheme="majorHAnsi" w:eastAsiaTheme="majorEastAsia" w:cstheme="majorBidi"/>
      <w:i/>
      <w:iCs/>
      <w:color w:val="585858" w:themeColor="text1" w:themeTint="A6"/>
    </w:rPr>
  </w:style>
  <w:style w:type="paragraph" w:styleId="9">
    <w:name w:val="heading 8"/>
    <w:basedOn w:val="1"/>
    <w:next w:val="1"/>
    <w:link w:val="119"/>
    <w:semiHidden/>
    <w:unhideWhenUsed/>
    <w:qFormat/>
    <w:uiPriority w:val="9"/>
    <w:pPr>
      <w:keepNext/>
      <w:keepLines/>
      <w:spacing w:before="80" w:after="0"/>
      <w:outlineLvl w:val="7"/>
    </w:pPr>
    <w:rPr>
      <w:rFonts w:asciiTheme="majorHAnsi" w:hAnsiTheme="majorHAnsi" w:eastAsiaTheme="majorEastAsia" w:cstheme="majorBidi"/>
      <w:smallCaps/>
      <w:color w:val="585858" w:themeColor="text1" w:themeTint="A6"/>
    </w:rPr>
  </w:style>
  <w:style w:type="paragraph" w:styleId="10">
    <w:name w:val="heading 9"/>
    <w:basedOn w:val="1"/>
    <w:next w:val="1"/>
    <w:link w:val="120"/>
    <w:semiHidden/>
    <w:unhideWhenUsed/>
    <w:qFormat/>
    <w:uiPriority w:val="9"/>
    <w:pPr>
      <w:keepNext/>
      <w:keepLines/>
      <w:spacing w:before="80" w:after="0"/>
      <w:outlineLvl w:val="8"/>
    </w:pPr>
    <w:rPr>
      <w:rFonts w:asciiTheme="majorHAnsi" w:hAnsiTheme="majorHAnsi" w:eastAsiaTheme="majorEastAsia" w:cstheme="majorBidi"/>
      <w:i/>
      <w:iCs/>
      <w:smallCaps/>
      <w:color w:val="585858" w:themeColor="text1" w:themeTint="A6"/>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jc w:val="both"/>
    </w:pPr>
    <w:rPr>
      <w:kern w:val="2"/>
    </w:rPr>
  </w:style>
  <w:style w:type="paragraph" w:styleId="12">
    <w:name w:val="caption"/>
    <w:basedOn w:val="1"/>
    <w:next w:val="1"/>
    <w:semiHidden/>
    <w:unhideWhenUsed/>
    <w:qFormat/>
    <w:uiPriority w:val="35"/>
    <w:pPr>
      <w:spacing w:line="240" w:lineRule="auto"/>
    </w:pPr>
    <w:rPr>
      <w:b/>
      <w:bCs/>
      <w:color w:val="3F3F3F" w:themeColor="text1" w:themeTint="BF"/>
      <w:sz w:val="20"/>
      <w:szCs w:val="20"/>
    </w:rPr>
  </w:style>
  <w:style w:type="paragraph" w:styleId="13">
    <w:name w:val="annotation text"/>
    <w:basedOn w:val="1"/>
    <w:link w:val="53"/>
    <w:autoRedefine/>
    <w:qFormat/>
    <w:uiPriority w:val="99"/>
  </w:style>
  <w:style w:type="paragraph" w:styleId="14">
    <w:name w:val="Body Text"/>
    <w:basedOn w:val="1"/>
    <w:link w:val="44"/>
    <w:autoRedefine/>
    <w:qFormat/>
    <w:uiPriority w:val="1"/>
    <w:pPr>
      <w:spacing w:after="0" w:line="560" w:lineRule="exact"/>
      <w:ind w:firstLine="640" w:firstLineChars="200"/>
    </w:pPr>
    <w:rPr>
      <w:rFonts w:ascii="仿宋_GB2312" w:eastAsia="仿宋_GB2312"/>
      <w:sz w:val="32"/>
      <w:szCs w:val="32"/>
    </w:rPr>
  </w:style>
  <w:style w:type="paragraph" w:styleId="15">
    <w:name w:val="Body Text Indent"/>
    <w:basedOn w:val="1"/>
    <w:link w:val="54"/>
    <w:autoRedefine/>
    <w:semiHidden/>
    <w:unhideWhenUsed/>
    <w:qFormat/>
    <w:uiPriority w:val="99"/>
    <w:pPr>
      <w:ind w:left="420" w:leftChars="200"/>
    </w:pPr>
  </w:style>
  <w:style w:type="paragraph" w:styleId="16">
    <w:name w:val="toc 5"/>
    <w:basedOn w:val="1"/>
    <w:next w:val="1"/>
    <w:autoRedefine/>
    <w:unhideWhenUsed/>
    <w:qFormat/>
    <w:uiPriority w:val="39"/>
    <w:pPr>
      <w:ind w:left="1680" w:leftChars="800"/>
      <w:jc w:val="both"/>
    </w:pPr>
    <w:rPr>
      <w:kern w:val="2"/>
    </w:rPr>
  </w:style>
  <w:style w:type="paragraph" w:styleId="17">
    <w:name w:val="toc 3"/>
    <w:basedOn w:val="1"/>
    <w:next w:val="1"/>
    <w:autoRedefine/>
    <w:unhideWhenUsed/>
    <w:qFormat/>
    <w:uiPriority w:val="39"/>
    <w:pPr>
      <w:tabs>
        <w:tab w:val="left" w:pos="1260"/>
        <w:tab w:val="right" w:leader="dot" w:pos="9350"/>
      </w:tabs>
      <w:spacing w:after="100" w:line="259" w:lineRule="auto"/>
      <w:ind w:left="440"/>
    </w:pPr>
    <w:rPr>
      <w:rFonts w:cs="Times New Roman"/>
    </w:rPr>
  </w:style>
  <w:style w:type="paragraph" w:styleId="18">
    <w:name w:val="Plain Text"/>
    <w:basedOn w:val="1"/>
    <w:next w:val="5"/>
    <w:link w:val="62"/>
    <w:autoRedefine/>
    <w:qFormat/>
    <w:uiPriority w:val="99"/>
    <w:pPr>
      <w:ind w:firstLine="480"/>
      <w:jc w:val="center"/>
    </w:pPr>
    <w:rPr>
      <w:rFonts w:hAnsi="Courier New"/>
      <w:kern w:val="2"/>
      <w:sz w:val="24"/>
      <w:szCs w:val="24"/>
    </w:rPr>
  </w:style>
  <w:style w:type="paragraph" w:styleId="19">
    <w:name w:val="toc 8"/>
    <w:basedOn w:val="1"/>
    <w:next w:val="1"/>
    <w:autoRedefine/>
    <w:unhideWhenUsed/>
    <w:qFormat/>
    <w:uiPriority w:val="39"/>
    <w:pPr>
      <w:ind w:left="2940" w:leftChars="1400"/>
      <w:jc w:val="both"/>
    </w:pPr>
    <w:rPr>
      <w:kern w:val="2"/>
    </w:rPr>
  </w:style>
  <w:style w:type="paragraph" w:styleId="20">
    <w:name w:val="Balloon Text"/>
    <w:basedOn w:val="1"/>
    <w:link w:val="59"/>
    <w:autoRedefine/>
    <w:unhideWhenUsed/>
    <w:qFormat/>
    <w:uiPriority w:val="0"/>
    <w:rPr>
      <w:sz w:val="18"/>
      <w:szCs w:val="18"/>
    </w:rPr>
  </w:style>
  <w:style w:type="paragraph" w:styleId="21">
    <w:name w:val="footer"/>
    <w:basedOn w:val="1"/>
    <w:link w:val="48"/>
    <w:autoRedefine/>
    <w:unhideWhenUsed/>
    <w:qFormat/>
    <w:uiPriority w:val="99"/>
    <w:pPr>
      <w:tabs>
        <w:tab w:val="center" w:pos="4153"/>
        <w:tab w:val="right" w:pos="8306"/>
      </w:tabs>
    </w:pPr>
    <w:rPr>
      <w:sz w:val="18"/>
      <w:szCs w:val="18"/>
    </w:rPr>
  </w:style>
  <w:style w:type="paragraph" w:styleId="22">
    <w:name w:val="header"/>
    <w:basedOn w:val="1"/>
    <w:link w:val="47"/>
    <w:autoRedefine/>
    <w:unhideWhenUsed/>
    <w:qFormat/>
    <w:uiPriority w:val="99"/>
    <w:pPr>
      <w:pBdr>
        <w:bottom w:val="single" w:color="auto" w:sz="6" w:space="1"/>
      </w:pBdr>
      <w:tabs>
        <w:tab w:val="center" w:pos="4153"/>
        <w:tab w:val="right" w:pos="8306"/>
      </w:tabs>
    </w:pPr>
    <w:rPr>
      <w:sz w:val="18"/>
      <w:szCs w:val="18"/>
    </w:rPr>
  </w:style>
  <w:style w:type="paragraph" w:styleId="23">
    <w:name w:val="toc 1"/>
    <w:basedOn w:val="1"/>
    <w:next w:val="1"/>
    <w:autoRedefine/>
    <w:unhideWhenUsed/>
    <w:qFormat/>
    <w:uiPriority w:val="39"/>
    <w:pPr>
      <w:tabs>
        <w:tab w:val="right" w:leader="dot" w:pos="9350"/>
      </w:tabs>
      <w:spacing w:after="100" w:line="259" w:lineRule="auto"/>
    </w:pPr>
    <w:rPr>
      <w:rFonts w:cs="Times New Roman"/>
    </w:rPr>
  </w:style>
  <w:style w:type="paragraph" w:styleId="24">
    <w:name w:val="toc 4"/>
    <w:basedOn w:val="1"/>
    <w:next w:val="1"/>
    <w:autoRedefine/>
    <w:unhideWhenUsed/>
    <w:qFormat/>
    <w:uiPriority w:val="39"/>
    <w:pPr>
      <w:ind w:left="1260" w:leftChars="600"/>
      <w:jc w:val="both"/>
    </w:pPr>
    <w:rPr>
      <w:kern w:val="2"/>
    </w:rPr>
  </w:style>
  <w:style w:type="paragraph" w:styleId="25">
    <w:name w:val="Subtitle"/>
    <w:basedOn w:val="1"/>
    <w:next w:val="1"/>
    <w:link w:val="122"/>
    <w:qFormat/>
    <w:uiPriority w:val="11"/>
    <w:pPr>
      <w:spacing w:after="240" w:line="240" w:lineRule="auto"/>
    </w:pPr>
    <w:rPr>
      <w:rFonts w:asciiTheme="majorHAnsi" w:hAnsiTheme="majorHAnsi" w:eastAsiaTheme="majorEastAsia" w:cstheme="majorBidi"/>
      <w:color w:val="3F3F3F" w:themeColor="text1" w:themeTint="BF"/>
      <w:sz w:val="30"/>
      <w:szCs w:val="30"/>
    </w:rPr>
  </w:style>
  <w:style w:type="paragraph" w:styleId="26">
    <w:name w:val="footnote text"/>
    <w:basedOn w:val="1"/>
    <w:link w:val="52"/>
    <w:autoRedefine/>
    <w:semiHidden/>
    <w:qFormat/>
    <w:uiPriority w:val="0"/>
    <w:rPr>
      <w:rFonts w:ascii="Times New Roman" w:hAnsi="Times New Roman" w:cs="Times New Roman"/>
      <w:kern w:val="2"/>
      <w:sz w:val="18"/>
      <w:szCs w:val="18"/>
    </w:rPr>
  </w:style>
  <w:style w:type="paragraph" w:styleId="27">
    <w:name w:val="toc 6"/>
    <w:basedOn w:val="1"/>
    <w:next w:val="1"/>
    <w:autoRedefine/>
    <w:unhideWhenUsed/>
    <w:qFormat/>
    <w:uiPriority w:val="39"/>
    <w:pPr>
      <w:ind w:left="2100" w:leftChars="1000"/>
      <w:jc w:val="both"/>
    </w:pPr>
    <w:rPr>
      <w:kern w:val="2"/>
    </w:rPr>
  </w:style>
  <w:style w:type="paragraph" w:styleId="28">
    <w:name w:val="toc 2"/>
    <w:basedOn w:val="1"/>
    <w:next w:val="1"/>
    <w:autoRedefine/>
    <w:unhideWhenUsed/>
    <w:qFormat/>
    <w:uiPriority w:val="39"/>
    <w:pPr>
      <w:spacing w:after="100" w:line="259" w:lineRule="auto"/>
      <w:ind w:left="220"/>
    </w:pPr>
    <w:rPr>
      <w:rFonts w:cs="Times New Roman"/>
    </w:rPr>
  </w:style>
  <w:style w:type="paragraph" w:styleId="29">
    <w:name w:val="toc 9"/>
    <w:basedOn w:val="1"/>
    <w:next w:val="1"/>
    <w:autoRedefine/>
    <w:unhideWhenUsed/>
    <w:qFormat/>
    <w:uiPriority w:val="39"/>
    <w:pPr>
      <w:ind w:left="3360" w:leftChars="1600"/>
      <w:jc w:val="both"/>
    </w:pPr>
    <w:rPr>
      <w:kern w:val="2"/>
    </w:rPr>
  </w:style>
  <w:style w:type="paragraph" w:styleId="30">
    <w:name w:val="Title"/>
    <w:basedOn w:val="1"/>
    <w:next w:val="1"/>
    <w:link w:val="121"/>
    <w:qFormat/>
    <w:uiPriority w:val="10"/>
    <w:pPr>
      <w:spacing w:after="0" w:line="240" w:lineRule="auto"/>
      <w:contextualSpacing/>
    </w:pPr>
    <w:rPr>
      <w:rFonts w:asciiTheme="majorHAnsi" w:hAnsiTheme="majorHAnsi" w:eastAsiaTheme="majorEastAsia" w:cstheme="majorBidi"/>
      <w:color w:val="366091" w:themeColor="accent1" w:themeShade="BF"/>
      <w:spacing w:val="-7"/>
      <w:sz w:val="80"/>
      <w:szCs w:val="80"/>
    </w:rPr>
  </w:style>
  <w:style w:type="paragraph" w:styleId="31">
    <w:name w:val="annotation subject"/>
    <w:basedOn w:val="13"/>
    <w:next w:val="13"/>
    <w:link w:val="56"/>
    <w:autoRedefine/>
    <w:unhideWhenUsed/>
    <w:qFormat/>
    <w:uiPriority w:val="0"/>
    <w:pPr>
      <w:autoSpaceDE w:val="0"/>
      <w:autoSpaceDN w:val="0"/>
    </w:pPr>
    <w:rPr>
      <w:b/>
      <w:bCs/>
    </w:rPr>
  </w:style>
  <w:style w:type="paragraph" w:styleId="32">
    <w:name w:val="Body Text First Indent 2"/>
    <w:basedOn w:val="15"/>
    <w:next w:val="1"/>
    <w:link w:val="55"/>
    <w:autoRedefine/>
    <w:qFormat/>
    <w:uiPriority w:val="99"/>
    <w:pPr>
      <w:ind w:firstLine="420" w:firstLineChars="200"/>
    </w:pPr>
  </w:style>
  <w:style w:type="table" w:styleId="34">
    <w:name w:val="Table Grid"/>
    <w:basedOn w:val="3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22"/>
    <w:rPr>
      <w:b/>
      <w:bCs/>
    </w:rPr>
  </w:style>
  <w:style w:type="character" w:styleId="37">
    <w:name w:val="FollowedHyperlink"/>
    <w:basedOn w:val="35"/>
    <w:autoRedefine/>
    <w:semiHidden/>
    <w:unhideWhenUsed/>
    <w:qFormat/>
    <w:uiPriority w:val="99"/>
    <w:rPr>
      <w:color w:val="800080" w:themeColor="followedHyperlink"/>
      <w:u w:val="single"/>
    </w:rPr>
  </w:style>
  <w:style w:type="character" w:styleId="38">
    <w:name w:val="Emphasis"/>
    <w:basedOn w:val="35"/>
    <w:qFormat/>
    <w:uiPriority w:val="20"/>
    <w:rPr>
      <w:i/>
      <w:iCs/>
    </w:rPr>
  </w:style>
  <w:style w:type="character" w:styleId="39">
    <w:name w:val="Hyperlink"/>
    <w:basedOn w:val="35"/>
    <w:autoRedefine/>
    <w:unhideWhenUsed/>
    <w:qFormat/>
    <w:uiPriority w:val="99"/>
    <w:rPr>
      <w:color w:val="0000FF" w:themeColor="hyperlink"/>
      <w:u w:val="single"/>
    </w:rPr>
  </w:style>
  <w:style w:type="character" w:styleId="40">
    <w:name w:val="annotation reference"/>
    <w:basedOn w:val="35"/>
    <w:autoRedefine/>
    <w:qFormat/>
    <w:uiPriority w:val="0"/>
    <w:rPr>
      <w:rFonts w:cs="Times New Roman"/>
      <w:sz w:val="21"/>
      <w:szCs w:val="21"/>
    </w:rPr>
  </w:style>
  <w:style w:type="character" w:styleId="41">
    <w:name w:val="footnote reference"/>
    <w:autoRedefine/>
    <w:semiHidden/>
    <w:qFormat/>
    <w:uiPriority w:val="0"/>
    <w:rPr>
      <w:vertAlign w:val="superscript"/>
    </w:rPr>
  </w:style>
  <w:style w:type="character" w:customStyle="1" w:styleId="42">
    <w:name w:val="标题 3 字符"/>
    <w:basedOn w:val="35"/>
    <w:link w:val="4"/>
    <w:qFormat/>
    <w:uiPriority w:val="9"/>
    <w:rPr>
      <w:rFonts w:asciiTheme="majorHAnsi" w:hAnsiTheme="majorHAnsi" w:eastAsiaTheme="majorEastAsia" w:cstheme="majorBidi"/>
      <w:color w:val="3F3F3F" w:themeColor="text1" w:themeTint="BF"/>
      <w:sz w:val="26"/>
      <w:szCs w:val="26"/>
    </w:rPr>
  </w:style>
  <w:style w:type="table" w:customStyle="1" w:styleId="43">
    <w:name w:val="Table Normal"/>
    <w:autoRedefine/>
    <w:semiHidden/>
    <w:unhideWhenUsed/>
    <w:qFormat/>
    <w:uiPriority w:val="2"/>
    <w:tblPr>
      <w:tblCellMar>
        <w:top w:w="0" w:type="dxa"/>
        <w:left w:w="0" w:type="dxa"/>
        <w:bottom w:w="0" w:type="dxa"/>
        <w:right w:w="0" w:type="dxa"/>
      </w:tblCellMar>
    </w:tblPr>
  </w:style>
  <w:style w:type="character" w:customStyle="1" w:styleId="44">
    <w:name w:val="正文文本 字符"/>
    <w:basedOn w:val="35"/>
    <w:link w:val="14"/>
    <w:autoRedefine/>
    <w:qFormat/>
    <w:uiPriority w:val="1"/>
    <w:rPr>
      <w:rFonts w:ascii="仿宋_GB2312" w:eastAsia="仿宋_GB2312"/>
      <w:sz w:val="32"/>
      <w:szCs w:val="32"/>
    </w:rPr>
  </w:style>
  <w:style w:type="paragraph" w:styleId="45">
    <w:name w:val="List Paragraph"/>
    <w:basedOn w:val="1"/>
    <w:qFormat/>
    <w:uiPriority w:val="34"/>
    <w:pPr>
      <w:ind w:firstLine="420" w:firstLineChars="200"/>
    </w:pPr>
  </w:style>
  <w:style w:type="paragraph" w:customStyle="1" w:styleId="46">
    <w:name w:val="Table Paragraph"/>
    <w:basedOn w:val="1"/>
    <w:autoRedefine/>
    <w:qFormat/>
    <w:uiPriority w:val="1"/>
  </w:style>
  <w:style w:type="character" w:customStyle="1" w:styleId="47">
    <w:name w:val="页眉 字符"/>
    <w:basedOn w:val="35"/>
    <w:link w:val="22"/>
    <w:autoRedefine/>
    <w:qFormat/>
    <w:uiPriority w:val="99"/>
    <w:rPr>
      <w:rFonts w:ascii="宋体" w:hAnsi="宋体" w:eastAsia="宋体" w:cs="宋体"/>
      <w:sz w:val="18"/>
      <w:szCs w:val="18"/>
    </w:rPr>
  </w:style>
  <w:style w:type="character" w:customStyle="1" w:styleId="48">
    <w:name w:val="页脚 字符"/>
    <w:basedOn w:val="35"/>
    <w:link w:val="21"/>
    <w:autoRedefine/>
    <w:qFormat/>
    <w:uiPriority w:val="99"/>
    <w:rPr>
      <w:rFonts w:ascii="宋体" w:hAnsi="宋体" w:eastAsia="宋体" w:cs="宋体"/>
      <w:sz w:val="18"/>
      <w:szCs w:val="18"/>
    </w:rPr>
  </w:style>
  <w:style w:type="paragraph" w:customStyle="1" w:styleId="49">
    <w:name w:val="样式 标题 2 + 新宋体"/>
    <w:basedOn w:val="3"/>
    <w:autoRedefine/>
    <w:qFormat/>
    <w:uiPriority w:val="0"/>
    <w:pPr>
      <w:spacing w:before="240" w:after="240" w:line="360" w:lineRule="auto"/>
      <w:textAlignment w:val="baseline"/>
    </w:pPr>
    <w:rPr>
      <w:rFonts w:ascii="新宋体" w:hAnsi="新宋体" w:cs="Times New Roman"/>
      <w:b/>
      <w:bCs/>
      <w:color w:val="000000"/>
      <w:sz w:val="30"/>
      <w:szCs w:val="20"/>
      <w:lang w:val="zh-CN"/>
    </w:rPr>
  </w:style>
  <w:style w:type="paragraph" w:customStyle="1" w:styleId="50">
    <w:name w:val="样式 标题 3 + 新宋体"/>
    <w:basedOn w:val="4"/>
    <w:link w:val="51"/>
    <w:autoRedefine/>
    <w:qFormat/>
    <w:uiPriority w:val="0"/>
    <w:pPr>
      <w:jc w:val="both"/>
    </w:pPr>
    <w:rPr>
      <w:rFonts w:ascii="新宋体" w:hAnsi="新宋体" w:cs="Times New Roman"/>
      <w:sz w:val="21"/>
      <w:szCs w:val="32"/>
      <w:lang w:val="zh-CN"/>
    </w:rPr>
  </w:style>
  <w:style w:type="character" w:customStyle="1" w:styleId="51">
    <w:name w:val="样式 标题 3 + 新宋体 Char"/>
    <w:link w:val="50"/>
    <w:autoRedefine/>
    <w:qFormat/>
    <w:uiPriority w:val="0"/>
    <w:rPr>
      <w:rFonts w:ascii="新宋体" w:hAnsi="新宋体" w:eastAsia="宋体" w:cs="Times New Roman"/>
      <w:sz w:val="21"/>
      <w:szCs w:val="32"/>
      <w:lang w:val="zh-CN" w:eastAsia="zh-CN"/>
    </w:rPr>
  </w:style>
  <w:style w:type="character" w:customStyle="1" w:styleId="52">
    <w:name w:val="脚注文本 字符"/>
    <w:basedOn w:val="35"/>
    <w:link w:val="26"/>
    <w:autoRedefine/>
    <w:semiHidden/>
    <w:qFormat/>
    <w:uiPriority w:val="0"/>
    <w:rPr>
      <w:rFonts w:ascii="Times New Roman" w:hAnsi="Times New Roman" w:eastAsia="宋体" w:cs="Times New Roman"/>
      <w:kern w:val="2"/>
      <w:sz w:val="18"/>
      <w:szCs w:val="18"/>
      <w:lang w:eastAsia="zh-CN"/>
    </w:rPr>
  </w:style>
  <w:style w:type="character" w:customStyle="1" w:styleId="53">
    <w:name w:val="批注文字 字符"/>
    <w:basedOn w:val="35"/>
    <w:link w:val="13"/>
    <w:autoRedefine/>
    <w:qFormat/>
    <w:uiPriority w:val="99"/>
    <w:rPr>
      <w:rFonts w:ascii="宋体" w:hAnsi="宋体" w:eastAsia="宋体" w:cs="宋体"/>
    </w:rPr>
  </w:style>
  <w:style w:type="character" w:customStyle="1" w:styleId="54">
    <w:name w:val="正文文本缩进 字符"/>
    <w:basedOn w:val="35"/>
    <w:link w:val="15"/>
    <w:autoRedefine/>
    <w:semiHidden/>
    <w:qFormat/>
    <w:uiPriority w:val="99"/>
    <w:rPr>
      <w:rFonts w:ascii="宋体" w:hAnsi="宋体" w:eastAsia="宋体" w:cs="宋体"/>
    </w:rPr>
  </w:style>
  <w:style w:type="character" w:customStyle="1" w:styleId="55">
    <w:name w:val="正文首行缩进 2 字符"/>
    <w:basedOn w:val="54"/>
    <w:link w:val="32"/>
    <w:autoRedefine/>
    <w:qFormat/>
    <w:uiPriority w:val="99"/>
    <w:rPr>
      <w:rFonts w:ascii="宋体" w:hAnsi="宋体" w:eastAsia="宋体" w:cs="宋体"/>
    </w:rPr>
  </w:style>
  <w:style w:type="character" w:customStyle="1" w:styleId="56">
    <w:name w:val="批注主题 字符"/>
    <w:basedOn w:val="53"/>
    <w:link w:val="31"/>
    <w:autoRedefine/>
    <w:qFormat/>
    <w:uiPriority w:val="0"/>
    <w:rPr>
      <w:rFonts w:ascii="宋体" w:hAnsi="宋体" w:eastAsia="宋体" w:cs="宋体"/>
      <w:b/>
      <w:bCs/>
    </w:rPr>
  </w:style>
  <w:style w:type="paragraph" w:customStyle="1" w:styleId="57">
    <w:name w:val="TOC 标题1"/>
    <w:basedOn w:val="2"/>
    <w:next w:val="1"/>
    <w:autoRedefine/>
    <w:unhideWhenUsed/>
    <w:qFormat/>
    <w:uiPriority w:val="39"/>
    <w:pPr>
      <w:spacing w:before="240" w:line="259" w:lineRule="auto"/>
      <w:outlineLvl w:val="9"/>
    </w:pPr>
    <w:rPr>
      <w:sz w:val="32"/>
      <w:szCs w:val="32"/>
    </w:rPr>
  </w:style>
  <w:style w:type="character" w:customStyle="1" w:styleId="58">
    <w:name w:val="未处理的提及1"/>
    <w:basedOn w:val="35"/>
    <w:autoRedefine/>
    <w:semiHidden/>
    <w:unhideWhenUsed/>
    <w:qFormat/>
    <w:uiPriority w:val="99"/>
    <w:rPr>
      <w:color w:val="605E5C"/>
      <w:shd w:val="clear" w:color="auto" w:fill="E1DFDD"/>
    </w:rPr>
  </w:style>
  <w:style w:type="character" w:customStyle="1" w:styleId="59">
    <w:name w:val="批注框文本 字符"/>
    <w:basedOn w:val="35"/>
    <w:link w:val="20"/>
    <w:autoRedefine/>
    <w:qFormat/>
    <w:uiPriority w:val="0"/>
    <w:rPr>
      <w:rFonts w:ascii="宋体" w:hAnsi="宋体" w:eastAsia="宋体" w:cs="宋体"/>
      <w:sz w:val="18"/>
      <w:szCs w:val="18"/>
    </w:rPr>
  </w:style>
  <w:style w:type="paragraph" w:customStyle="1" w:styleId="60">
    <w:name w:val="修订1"/>
    <w:autoRedefine/>
    <w:hidden/>
    <w:semiHidden/>
    <w:qFormat/>
    <w:uiPriority w:val="99"/>
    <w:pPr>
      <w:spacing w:after="120" w:line="264" w:lineRule="auto"/>
    </w:pPr>
    <w:rPr>
      <w:rFonts w:ascii="宋体" w:hAnsi="宋体" w:eastAsia="宋体" w:cs="宋体"/>
      <w:sz w:val="22"/>
      <w:szCs w:val="22"/>
      <w:lang w:val="en-US" w:eastAsia="en-US" w:bidi="ar-SA"/>
    </w:rPr>
  </w:style>
  <w:style w:type="character" w:customStyle="1" w:styleId="61">
    <w:name w:val="未处理的提及2"/>
    <w:basedOn w:val="35"/>
    <w:autoRedefine/>
    <w:semiHidden/>
    <w:unhideWhenUsed/>
    <w:qFormat/>
    <w:uiPriority w:val="99"/>
    <w:rPr>
      <w:color w:val="605E5C"/>
      <w:shd w:val="clear" w:color="auto" w:fill="E1DFDD"/>
    </w:rPr>
  </w:style>
  <w:style w:type="character" w:customStyle="1" w:styleId="62">
    <w:name w:val="纯文本 字符"/>
    <w:link w:val="18"/>
    <w:autoRedefine/>
    <w:qFormat/>
    <w:uiPriority w:val="99"/>
    <w:rPr>
      <w:rFonts w:hAnsi="Courier New"/>
      <w:kern w:val="2"/>
      <w:sz w:val="24"/>
      <w:szCs w:val="24"/>
    </w:rPr>
  </w:style>
  <w:style w:type="character" w:customStyle="1" w:styleId="63">
    <w:name w:val="纯文本 字符1"/>
    <w:basedOn w:val="35"/>
    <w:autoRedefine/>
    <w:semiHidden/>
    <w:qFormat/>
    <w:uiPriority w:val="99"/>
    <w:rPr>
      <w:rFonts w:hAnsi="Courier New" w:cs="Courier New" w:asciiTheme="minorEastAsia"/>
    </w:rPr>
  </w:style>
  <w:style w:type="character" w:customStyle="1" w:styleId="64">
    <w:name w:val="未处理的提及3"/>
    <w:basedOn w:val="35"/>
    <w:autoRedefine/>
    <w:semiHidden/>
    <w:unhideWhenUsed/>
    <w:qFormat/>
    <w:uiPriority w:val="99"/>
    <w:rPr>
      <w:color w:val="605E5C"/>
      <w:shd w:val="clear" w:color="auto" w:fill="E1DFDD"/>
    </w:rPr>
  </w:style>
  <w:style w:type="character" w:customStyle="1" w:styleId="65">
    <w:name w:val="未处理的提及4"/>
    <w:basedOn w:val="35"/>
    <w:autoRedefine/>
    <w:semiHidden/>
    <w:unhideWhenUsed/>
    <w:qFormat/>
    <w:uiPriority w:val="99"/>
    <w:rPr>
      <w:color w:val="605E5C"/>
      <w:shd w:val="clear" w:color="auto" w:fill="E1DFDD"/>
    </w:rPr>
  </w:style>
  <w:style w:type="character" w:customStyle="1" w:styleId="66">
    <w:name w:val="标题 6 字符"/>
    <w:basedOn w:val="35"/>
    <w:link w:val="7"/>
    <w:qFormat/>
    <w:uiPriority w:val="9"/>
    <w:rPr>
      <w:rFonts w:asciiTheme="majorHAnsi" w:hAnsiTheme="majorHAnsi" w:eastAsiaTheme="majorEastAsia" w:cstheme="majorBidi"/>
      <w:color w:val="585858" w:themeColor="text1" w:themeTint="A6"/>
    </w:rPr>
  </w:style>
  <w:style w:type="character" w:customStyle="1" w:styleId="67">
    <w:name w:val="NormalCharacter"/>
    <w:autoRedefine/>
    <w:semiHidden/>
    <w:qFormat/>
    <w:uiPriority w:val="0"/>
  </w:style>
  <w:style w:type="paragraph" w:customStyle="1" w:styleId="68">
    <w:name w:val="Default"/>
    <w:autoRedefine/>
    <w:qFormat/>
    <w:uiPriority w:val="0"/>
    <w:pPr>
      <w:widowControl w:val="0"/>
      <w:autoSpaceDE w:val="0"/>
      <w:autoSpaceDN w:val="0"/>
      <w:adjustRightInd w:val="0"/>
      <w:spacing w:after="120" w:line="264" w:lineRule="auto"/>
    </w:pPr>
    <w:rPr>
      <w:rFonts w:ascii="黑体" w:hAnsi="Times New Roman" w:eastAsia="黑体" w:cs="黑体"/>
      <w:color w:val="000000"/>
      <w:sz w:val="24"/>
      <w:szCs w:val="24"/>
      <w:lang w:val="en-US" w:eastAsia="zh-CN" w:bidi="ar-SA"/>
    </w:rPr>
  </w:style>
  <w:style w:type="table" w:customStyle="1" w:styleId="69">
    <w:name w:val="Table Normal1"/>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70">
    <w:name w:val="Table Normal2"/>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71">
    <w:name w:val="Table Normal3"/>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72">
    <w:name w:val="Table Normal4"/>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73">
    <w:name w:val="Table Normal5"/>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74">
    <w:name w:val="Table Normal6"/>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75">
    <w:name w:val="Table Normal7"/>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76">
    <w:name w:val="Table Normal8"/>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77">
    <w:name w:val="Table Normal9"/>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78">
    <w:name w:val="Table Normal10"/>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79">
    <w:name w:val="Table Normal11"/>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80">
    <w:name w:val="Table Normal12"/>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81">
    <w:name w:val="Table Normal13"/>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82">
    <w:name w:val="Table Normal14"/>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83">
    <w:name w:val="Table Normal15"/>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84">
    <w:name w:val="Table Normal16"/>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85">
    <w:name w:val="标题 1 字符"/>
    <w:basedOn w:val="35"/>
    <w:link w:val="2"/>
    <w:qFormat/>
    <w:uiPriority w:val="9"/>
    <w:rPr>
      <w:rFonts w:asciiTheme="majorHAnsi" w:hAnsiTheme="majorHAnsi" w:eastAsiaTheme="majorEastAsia" w:cstheme="majorBidi"/>
      <w:color w:val="366091" w:themeColor="accent1" w:themeShade="BF"/>
      <w:sz w:val="36"/>
      <w:szCs w:val="36"/>
    </w:rPr>
  </w:style>
  <w:style w:type="character" w:customStyle="1" w:styleId="86">
    <w:name w:val="标题 2 字符"/>
    <w:basedOn w:val="35"/>
    <w:link w:val="3"/>
    <w:qFormat/>
    <w:uiPriority w:val="9"/>
    <w:rPr>
      <w:rFonts w:asciiTheme="majorHAnsi" w:hAnsiTheme="majorHAnsi" w:eastAsiaTheme="majorEastAsia" w:cstheme="majorBidi"/>
      <w:color w:val="366091" w:themeColor="accent1" w:themeShade="BF"/>
      <w:sz w:val="28"/>
      <w:szCs w:val="28"/>
    </w:rPr>
  </w:style>
  <w:style w:type="character" w:customStyle="1" w:styleId="87">
    <w:name w:val="标题 4 字符"/>
    <w:basedOn w:val="35"/>
    <w:link w:val="5"/>
    <w:qFormat/>
    <w:uiPriority w:val="9"/>
    <w:rPr>
      <w:rFonts w:asciiTheme="majorHAnsi" w:hAnsiTheme="majorHAnsi" w:eastAsiaTheme="majorEastAsia" w:cstheme="majorBidi"/>
      <w:sz w:val="24"/>
      <w:szCs w:val="24"/>
    </w:rPr>
  </w:style>
  <w:style w:type="character" w:customStyle="1" w:styleId="88">
    <w:name w:val="标题 5 字符"/>
    <w:basedOn w:val="35"/>
    <w:link w:val="6"/>
    <w:qFormat/>
    <w:uiPriority w:val="9"/>
    <w:rPr>
      <w:rFonts w:asciiTheme="majorHAnsi" w:hAnsiTheme="majorHAnsi" w:eastAsiaTheme="majorEastAsia" w:cstheme="majorBidi"/>
      <w:i/>
      <w:iCs/>
      <w:sz w:val="22"/>
      <w:szCs w:val="22"/>
    </w:rPr>
  </w:style>
  <w:style w:type="paragraph" w:customStyle="1" w:styleId="89">
    <w:name w:val="msonormal"/>
    <w:basedOn w:val="1"/>
    <w:autoRedefine/>
    <w:qFormat/>
    <w:uiPriority w:val="0"/>
    <w:pPr>
      <w:spacing w:before="100" w:beforeAutospacing="1" w:after="100" w:afterAutospacing="1"/>
    </w:pPr>
    <w:rPr>
      <w:sz w:val="24"/>
      <w:szCs w:val="24"/>
    </w:rPr>
  </w:style>
  <w:style w:type="paragraph" w:customStyle="1" w:styleId="90">
    <w:name w:val="font5"/>
    <w:basedOn w:val="1"/>
    <w:autoRedefine/>
    <w:qFormat/>
    <w:uiPriority w:val="0"/>
    <w:pPr>
      <w:spacing w:before="100" w:beforeAutospacing="1" w:after="100" w:afterAutospacing="1"/>
    </w:pPr>
    <w:rPr>
      <w:color w:val="000000"/>
      <w:sz w:val="23"/>
      <w:szCs w:val="23"/>
    </w:rPr>
  </w:style>
  <w:style w:type="paragraph" w:customStyle="1" w:styleId="91">
    <w:name w:val="font6"/>
    <w:basedOn w:val="1"/>
    <w:autoRedefine/>
    <w:qFormat/>
    <w:uiPriority w:val="0"/>
    <w:pPr>
      <w:spacing w:before="100" w:beforeAutospacing="1" w:after="100" w:afterAutospacing="1"/>
    </w:pPr>
    <w:rPr>
      <w:rFonts w:ascii="Calibri" w:hAnsi="Calibri" w:cs="Calibri"/>
      <w:color w:val="000000"/>
      <w:sz w:val="23"/>
      <w:szCs w:val="23"/>
    </w:rPr>
  </w:style>
  <w:style w:type="paragraph" w:customStyle="1" w:styleId="92">
    <w:name w:val="font7"/>
    <w:basedOn w:val="1"/>
    <w:autoRedefine/>
    <w:qFormat/>
    <w:uiPriority w:val="0"/>
    <w:pPr>
      <w:spacing w:before="100" w:beforeAutospacing="1" w:after="100" w:afterAutospacing="1"/>
    </w:pPr>
    <w:rPr>
      <w:rFonts w:ascii="微软雅黑" w:hAnsi="微软雅黑" w:eastAsia="微软雅黑"/>
      <w:color w:val="000000"/>
      <w:sz w:val="23"/>
      <w:szCs w:val="23"/>
    </w:rPr>
  </w:style>
  <w:style w:type="paragraph" w:customStyle="1" w:styleId="93">
    <w:name w:val="font8"/>
    <w:basedOn w:val="1"/>
    <w:autoRedefine/>
    <w:qFormat/>
    <w:uiPriority w:val="0"/>
    <w:pPr>
      <w:spacing w:before="100" w:beforeAutospacing="1" w:after="100" w:afterAutospacing="1"/>
    </w:pPr>
    <w:rPr>
      <w:sz w:val="18"/>
      <w:szCs w:val="18"/>
    </w:rPr>
  </w:style>
  <w:style w:type="paragraph" w:customStyle="1" w:styleId="94">
    <w:name w:val="font9"/>
    <w:basedOn w:val="1"/>
    <w:autoRedefine/>
    <w:qFormat/>
    <w:uiPriority w:val="0"/>
    <w:pPr>
      <w:spacing w:before="100" w:beforeAutospacing="1" w:after="100" w:afterAutospacing="1"/>
    </w:pPr>
    <w:rPr>
      <w:sz w:val="18"/>
      <w:szCs w:val="18"/>
    </w:rPr>
  </w:style>
  <w:style w:type="paragraph" w:customStyle="1" w:styleId="95">
    <w:name w:val="xl6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0000"/>
      <w:sz w:val="24"/>
      <w:szCs w:val="24"/>
    </w:rPr>
  </w:style>
  <w:style w:type="paragraph" w:customStyle="1" w:styleId="96">
    <w:name w:val="xl6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b/>
      <w:bCs/>
      <w:sz w:val="24"/>
      <w:szCs w:val="24"/>
    </w:rPr>
  </w:style>
  <w:style w:type="paragraph" w:customStyle="1" w:styleId="97">
    <w:name w:val="xl6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sz w:val="24"/>
      <w:szCs w:val="24"/>
    </w:rPr>
  </w:style>
  <w:style w:type="paragraph" w:customStyle="1" w:styleId="98">
    <w:name w:val="xl68"/>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b/>
      <w:bCs/>
      <w:sz w:val="23"/>
      <w:szCs w:val="23"/>
    </w:rPr>
  </w:style>
  <w:style w:type="paragraph" w:customStyle="1" w:styleId="99">
    <w:name w:val="xl6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bottom"/>
    </w:pPr>
    <w:rPr>
      <w:b/>
      <w:bCs/>
      <w:sz w:val="23"/>
      <w:szCs w:val="23"/>
    </w:rPr>
  </w:style>
  <w:style w:type="paragraph" w:customStyle="1" w:styleId="100">
    <w:name w:val="xl7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sz w:val="23"/>
      <w:szCs w:val="23"/>
    </w:rPr>
  </w:style>
  <w:style w:type="paragraph" w:customStyle="1" w:styleId="101">
    <w:name w:val="xl7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b/>
      <w:bCs/>
      <w:sz w:val="23"/>
      <w:szCs w:val="23"/>
    </w:rPr>
  </w:style>
  <w:style w:type="paragraph" w:customStyle="1" w:styleId="102">
    <w:name w:val="xl7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Calibri" w:hAnsi="Calibri" w:cs="Calibri"/>
    </w:rPr>
  </w:style>
  <w:style w:type="paragraph" w:customStyle="1" w:styleId="103">
    <w:name w:val="xl7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b/>
      <w:bCs/>
      <w:sz w:val="23"/>
      <w:szCs w:val="23"/>
    </w:rPr>
  </w:style>
  <w:style w:type="paragraph" w:customStyle="1" w:styleId="104">
    <w:name w:val="xl7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sz w:val="23"/>
      <w:szCs w:val="23"/>
    </w:rPr>
  </w:style>
  <w:style w:type="paragraph" w:customStyle="1" w:styleId="105">
    <w:name w:val="xl75"/>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sz w:val="23"/>
      <w:szCs w:val="23"/>
    </w:rPr>
  </w:style>
  <w:style w:type="paragraph" w:customStyle="1" w:styleId="106">
    <w:name w:val="xl76"/>
    <w:basedOn w:val="1"/>
    <w:autoRedefine/>
    <w:qFormat/>
    <w:uiPriority w:val="0"/>
    <w:pPr>
      <w:pBdr>
        <w:bottom w:val="single" w:color="000000" w:sz="8" w:space="0"/>
        <w:right w:val="single" w:color="000000" w:sz="8" w:space="0"/>
      </w:pBdr>
      <w:spacing w:before="100" w:beforeAutospacing="1" w:after="100" w:afterAutospacing="1"/>
      <w:jc w:val="both"/>
    </w:pPr>
    <w:rPr>
      <w:sz w:val="24"/>
      <w:szCs w:val="24"/>
    </w:rPr>
  </w:style>
  <w:style w:type="paragraph" w:customStyle="1" w:styleId="107">
    <w:name w:val="xl77"/>
    <w:basedOn w:val="1"/>
    <w:autoRedefine/>
    <w:qFormat/>
    <w:uiPriority w:val="0"/>
    <w:pPr>
      <w:pBdr>
        <w:top w:val="single" w:color="000000" w:sz="8" w:space="0"/>
        <w:bottom w:val="single" w:color="000000" w:sz="8" w:space="0"/>
        <w:right w:val="single" w:color="000000" w:sz="8" w:space="0"/>
      </w:pBdr>
      <w:spacing w:before="100" w:beforeAutospacing="1" w:after="100" w:afterAutospacing="1"/>
      <w:jc w:val="both"/>
    </w:pPr>
    <w:rPr>
      <w:sz w:val="24"/>
      <w:szCs w:val="24"/>
    </w:rPr>
  </w:style>
  <w:style w:type="paragraph" w:customStyle="1" w:styleId="108">
    <w:name w:val="xl78"/>
    <w:basedOn w:val="1"/>
    <w:autoRedefine/>
    <w:qFormat/>
    <w:uiPriority w:val="0"/>
    <w:pPr>
      <w:pBdr>
        <w:bottom w:val="single" w:color="000000" w:sz="8" w:space="0"/>
        <w:right w:val="single" w:color="000000" w:sz="8" w:space="0"/>
      </w:pBdr>
      <w:spacing w:before="100" w:beforeAutospacing="1" w:after="100" w:afterAutospacing="1"/>
      <w:jc w:val="both"/>
    </w:pPr>
    <w:rPr>
      <w:sz w:val="23"/>
      <w:szCs w:val="23"/>
    </w:rPr>
  </w:style>
  <w:style w:type="paragraph" w:customStyle="1" w:styleId="109">
    <w:name w:val="xl79"/>
    <w:basedOn w:val="1"/>
    <w:autoRedefine/>
    <w:qFormat/>
    <w:uiPriority w:val="0"/>
    <w:pPr>
      <w:pBdr>
        <w:bottom w:val="single" w:color="000000" w:sz="8" w:space="0"/>
        <w:right w:val="single" w:color="000000" w:sz="8" w:space="0"/>
      </w:pBdr>
      <w:spacing w:before="100" w:beforeAutospacing="1" w:after="100" w:afterAutospacing="1"/>
    </w:pPr>
    <w:rPr>
      <w:sz w:val="24"/>
      <w:szCs w:val="24"/>
    </w:rPr>
  </w:style>
  <w:style w:type="paragraph" w:customStyle="1" w:styleId="110">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0000"/>
      <w:sz w:val="24"/>
      <w:szCs w:val="24"/>
    </w:rPr>
  </w:style>
  <w:style w:type="paragraph" w:customStyle="1" w:styleId="111">
    <w:name w:val="xl8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b/>
      <w:bCs/>
      <w:sz w:val="24"/>
      <w:szCs w:val="24"/>
    </w:rPr>
  </w:style>
  <w:style w:type="paragraph" w:customStyle="1" w:styleId="112">
    <w:name w:val="xl8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sz w:val="24"/>
      <w:szCs w:val="24"/>
    </w:rPr>
  </w:style>
  <w:style w:type="paragraph" w:customStyle="1" w:styleId="113">
    <w:name w:val="xl8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Calibri" w:hAnsi="Calibri" w:cs="Calibri"/>
      <w:sz w:val="24"/>
      <w:szCs w:val="24"/>
    </w:rPr>
  </w:style>
  <w:style w:type="paragraph" w:customStyle="1" w:styleId="114">
    <w:name w:val="xl84"/>
    <w:basedOn w:val="1"/>
    <w:autoRedefine/>
    <w:qFormat/>
    <w:uiPriority w:val="0"/>
    <w:pPr>
      <w:pBdr>
        <w:bottom w:val="single" w:color="000000" w:sz="8" w:space="0"/>
        <w:right w:val="single" w:color="000000" w:sz="8" w:space="0"/>
      </w:pBdr>
      <w:spacing w:before="100" w:beforeAutospacing="1" w:after="100" w:afterAutospacing="1"/>
    </w:pPr>
    <w:rPr>
      <w:sz w:val="24"/>
      <w:szCs w:val="24"/>
    </w:rPr>
  </w:style>
  <w:style w:type="paragraph" w:customStyle="1" w:styleId="115">
    <w:name w:val="xl85"/>
    <w:basedOn w:val="1"/>
    <w:autoRedefine/>
    <w:qFormat/>
    <w:uiPriority w:val="0"/>
    <w:pPr>
      <w:pBdr>
        <w:top w:val="single" w:color="000000" w:sz="8" w:space="0"/>
        <w:bottom w:val="single" w:color="000000" w:sz="8" w:space="0"/>
        <w:right w:val="single" w:color="000000" w:sz="8" w:space="0"/>
      </w:pBdr>
      <w:spacing w:before="100" w:beforeAutospacing="1" w:after="100" w:afterAutospacing="1"/>
    </w:pPr>
    <w:rPr>
      <w:sz w:val="24"/>
      <w:szCs w:val="24"/>
    </w:rPr>
  </w:style>
  <w:style w:type="paragraph" w:customStyle="1" w:styleId="116">
    <w:name w:val="xl86"/>
    <w:basedOn w:val="1"/>
    <w:autoRedefine/>
    <w:qFormat/>
    <w:uiPriority w:val="0"/>
    <w:pPr>
      <w:spacing w:before="100" w:beforeAutospacing="1" w:after="100" w:afterAutospacing="1"/>
    </w:pPr>
    <w:rPr>
      <w:sz w:val="24"/>
      <w:szCs w:val="24"/>
    </w:rPr>
  </w:style>
  <w:style w:type="paragraph" w:customStyle="1" w:styleId="117">
    <w:name w:val="xl87"/>
    <w:basedOn w:val="1"/>
    <w:autoRedefine/>
    <w:qFormat/>
    <w:uiPriority w:val="0"/>
    <w:pPr>
      <w:pBdr>
        <w:bottom w:val="single" w:color="000000" w:sz="8" w:space="0"/>
        <w:right w:val="single" w:color="000000" w:sz="8" w:space="0"/>
      </w:pBdr>
      <w:spacing w:before="100" w:beforeAutospacing="1" w:after="100" w:afterAutospacing="1"/>
      <w:jc w:val="both"/>
    </w:pPr>
    <w:rPr>
      <w:color w:val="000000"/>
      <w:sz w:val="24"/>
      <w:szCs w:val="24"/>
    </w:rPr>
  </w:style>
  <w:style w:type="character" w:customStyle="1" w:styleId="118">
    <w:name w:val="标题 7 字符"/>
    <w:basedOn w:val="35"/>
    <w:link w:val="8"/>
    <w:semiHidden/>
    <w:qFormat/>
    <w:uiPriority w:val="9"/>
    <w:rPr>
      <w:rFonts w:asciiTheme="majorHAnsi" w:hAnsiTheme="majorHAnsi" w:eastAsiaTheme="majorEastAsia" w:cstheme="majorBidi"/>
      <w:i/>
      <w:iCs/>
      <w:color w:val="585858" w:themeColor="text1" w:themeTint="A6"/>
    </w:rPr>
  </w:style>
  <w:style w:type="character" w:customStyle="1" w:styleId="119">
    <w:name w:val="标题 8 字符"/>
    <w:basedOn w:val="35"/>
    <w:link w:val="9"/>
    <w:semiHidden/>
    <w:qFormat/>
    <w:uiPriority w:val="9"/>
    <w:rPr>
      <w:rFonts w:asciiTheme="majorHAnsi" w:hAnsiTheme="majorHAnsi" w:eastAsiaTheme="majorEastAsia" w:cstheme="majorBidi"/>
      <w:smallCaps/>
      <w:color w:val="585858" w:themeColor="text1" w:themeTint="A6"/>
    </w:rPr>
  </w:style>
  <w:style w:type="character" w:customStyle="1" w:styleId="120">
    <w:name w:val="标题 9 字符"/>
    <w:basedOn w:val="35"/>
    <w:link w:val="10"/>
    <w:semiHidden/>
    <w:qFormat/>
    <w:uiPriority w:val="9"/>
    <w:rPr>
      <w:rFonts w:asciiTheme="majorHAnsi" w:hAnsiTheme="majorHAnsi" w:eastAsiaTheme="majorEastAsia" w:cstheme="majorBidi"/>
      <w:i/>
      <w:iCs/>
      <w:smallCaps/>
      <w:color w:val="585858" w:themeColor="text1" w:themeTint="A6"/>
    </w:rPr>
  </w:style>
  <w:style w:type="character" w:customStyle="1" w:styleId="121">
    <w:name w:val="标题 字符"/>
    <w:basedOn w:val="35"/>
    <w:link w:val="30"/>
    <w:qFormat/>
    <w:uiPriority w:val="10"/>
    <w:rPr>
      <w:rFonts w:asciiTheme="majorHAnsi" w:hAnsiTheme="majorHAnsi" w:eastAsiaTheme="majorEastAsia" w:cstheme="majorBidi"/>
      <w:color w:val="366091" w:themeColor="accent1" w:themeShade="BF"/>
      <w:spacing w:val="-7"/>
      <w:sz w:val="80"/>
      <w:szCs w:val="80"/>
    </w:rPr>
  </w:style>
  <w:style w:type="character" w:customStyle="1" w:styleId="122">
    <w:name w:val="副标题 字符"/>
    <w:basedOn w:val="35"/>
    <w:link w:val="25"/>
    <w:qFormat/>
    <w:uiPriority w:val="11"/>
    <w:rPr>
      <w:rFonts w:asciiTheme="majorHAnsi" w:hAnsiTheme="majorHAnsi" w:eastAsiaTheme="majorEastAsia" w:cstheme="majorBidi"/>
      <w:color w:val="3F3F3F" w:themeColor="text1" w:themeTint="BF"/>
      <w:sz w:val="30"/>
      <w:szCs w:val="30"/>
    </w:rPr>
  </w:style>
  <w:style w:type="paragraph" w:styleId="123">
    <w:name w:val="No Spacing"/>
    <w:qFormat/>
    <w:uiPriority w:val="1"/>
    <w:pPr>
      <w:spacing w:after="0" w:line="240" w:lineRule="auto"/>
    </w:pPr>
    <w:rPr>
      <w:rFonts w:asciiTheme="minorHAnsi" w:hAnsiTheme="minorHAnsi" w:eastAsiaTheme="minorEastAsia" w:cstheme="minorBidi"/>
      <w:sz w:val="21"/>
      <w:szCs w:val="21"/>
      <w:lang w:val="en-US" w:eastAsia="zh-CN" w:bidi="ar-SA"/>
    </w:rPr>
  </w:style>
  <w:style w:type="paragraph" w:styleId="124">
    <w:name w:val="Quote"/>
    <w:basedOn w:val="1"/>
    <w:next w:val="1"/>
    <w:link w:val="125"/>
    <w:qFormat/>
    <w:uiPriority w:val="29"/>
    <w:pPr>
      <w:spacing w:before="240" w:after="240" w:line="252" w:lineRule="auto"/>
      <w:ind w:left="864" w:right="864"/>
      <w:jc w:val="center"/>
    </w:pPr>
    <w:rPr>
      <w:i/>
      <w:iCs/>
    </w:rPr>
  </w:style>
  <w:style w:type="character" w:customStyle="1" w:styleId="125">
    <w:name w:val="引用 字符"/>
    <w:basedOn w:val="35"/>
    <w:link w:val="124"/>
    <w:qFormat/>
    <w:uiPriority w:val="29"/>
    <w:rPr>
      <w:i/>
      <w:iCs/>
    </w:rPr>
  </w:style>
  <w:style w:type="paragraph" w:styleId="126">
    <w:name w:val="Intense Quote"/>
    <w:basedOn w:val="1"/>
    <w:next w:val="1"/>
    <w:link w:val="127"/>
    <w:qFormat/>
    <w:uiPriority w:val="30"/>
    <w:pPr>
      <w:spacing w:before="100" w:beforeAutospacing="1" w:after="240"/>
      <w:ind w:left="864" w:right="864"/>
      <w:jc w:val="center"/>
    </w:pPr>
    <w:rPr>
      <w:rFonts w:asciiTheme="majorHAnsi" w:hAnsiTheme="majorHAnsi" w:eastAsiaTheme="majorEastAsia" w:cstheme="majorBidi"/>
      <w:color w:val="4F81BD" w:themeColor="accent1"/>
      <w:sz w:val="28"/>
      <w:szCs w:val="28"/>
    </w:rPr>
  </w:style>
  <w:style w:type="character" w:customStyle="1" w:styleId="127">
    <w:name w:val="明显引用 字符"/>
    <w:basedOn w:val="35"/>
    <w:link w:val="126"/>
    <w:qFormat/>
    <w:uiPriority w:val="30"/>
    <w:rPr>
      <w:rFonts w:asciiTheme="majorHAnsi" w:hAnsiTheme="majorHAnsi" w:eastAsiaTheme="majorEastAsia" w:cstheme="majorBidi"/>
      <w:color w:val="4F81BD" w:themeColor="accent1"/>
      <w:sz w:val="28"/>
      <w:szCs w:val="28"/>
    </w:rPr>
  </w:style>
  <w:style w:type="character" w:customStyle="1" w:styleId="128">
    <w:name w:val="Subtle Emphasis"/>
    <w:basedOn w:val="35"/>
    <w:qFormat/>
    <w:uiPriority w:val="19"/>
    <w:rPr>
      <w:i/>
      <w:iCs/>
      <w:color w:val="585858" w:themeColor="text1" w:themeTint="A6"/>
    </w:rPr>
  </w:style>
  <w:style w:type="character" w:customStyle="1" w:styleId="129">
    <w:name w:val="Intense Emphasis"/>
    <w:basedOn w:val="35"/>
    <w:qFormat/>
    <w:uiPriority w:val="21"/>
    <w:rPr>
      <w:b/>
      <w:bCs/>
      <w:i/>
      <w:iCs/>
    </w:rPr>
  </w:style>
  <w:style w:type="character" w:customStyle="1" w:styleId="130">
    <w:name w:val="Subtle Reference"/>
    <w:basedOn w:val="35"/>
    <w:qFormat/>
    <w:uiPriority w:val="31"/>
    <w:rPr>
      <w:smallCaps/>
      <w:color w:val="3F3F3F" w:themeColor="text1" w:themeTint="BF"/>
    </w:rPr>
  </w:style>
  <w:style w:type="character" w:customStyle="1" w:styleId="131">
    <w:name w:val="Intense Reference"/>
    <w:basedOn w:val="35"/>
    <w:qFormat/>
    <w:uiPriority w:val="32"/>
    <w:rPr>
      <w:b/>
      <w:bCs/>
      <w:smallCaps/>
      <w:u w:val="single"/>
    </w:rPr>
  </w:style>
  <w:style w:type="character" w:customStyle="1" w:styleId="132">
    <w:name w:val="Book Title"/>
    <w:basedOn w:val="35"/>
    <w:qFormat/>
    <w:uiPriority w:val="33"/>
    <w:rPr>
      <w:b/>
      <w:bCs/>
      <w:smallCaps/>
    </w:rPr>
  </w:style>
  <w:style w:type="paragraph" w:customStyle="1" w:styleId="133">
    <w:name w:val="TOC Heading"/>
    <w:basedOn w:val="2"/>
    <w:next w:val="1"/>
    <w:semiHidden/>
    <w:unhideWhenUsed/>
    <w:qFormat/>
    <w:uiPriority w:val="39"/>
    <w:pPr>
      <w:outlineLvl w:val="9"/>
    </w:pPr>
  </w:style>
  <w:style w:type="paragraph" w:customStyle="1" w:styleId="134">
    <w:name w:val="WPSOffice手动目录 1"/>
    <w:qFormat/>
    <w:uiPriority w:val="0"/>
    <w:pPr>
      <w:ind w:leftChars="0"/>
    </w:pPr>
    <w:rPr>
      <w:rFonts w:asciiTheme="minorHAnsi" w:hAnsiTheme="minorHAnsi" w:eastAsiaTheme="minorEastAsia" w:cstheme="minorBidi"/>
      <w:sz w:val="20"/>
      <w:szCs w:val="20"/>
    </w:rPr>
  </w:style>
  <w:style w:type="paragraph" w:customStyle="1" w:styleId="135">
    <w:name w:val="WPSOffice手动目录 2"/>
    <w:qFormat/>
    <w:uiPriority w:val="0"/>
    <w:pPr>
      <w:ind w:leftChars="200"/>
    </w:pPr>
    <w:rPr>
      <w:rFonts w:asciiTheme="minorHAnsi" w:hAnsiTheme="minorHAnsi" w:eastAsiaTheme="minorEastAsia" w:cstheme="minorBidi"/>
      <w:sz w:val="20"/>
      <w:szCs w:val="20"/>
    </w:rPr>
  </w:style>
  <w:style w:type="paragraph" w:customStyle="1" w:styleId="136">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textRotate="1"/>
    <customShpInfo spid="_x0000_s2049" textRotate="1"/>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270019-4B29-4CA3-BDAD-1A81678DF896}">
  <ds:schemaRefs/>
</ds:datastoreItem>
</file>

<file path=docProps/app.xml><?xml version="1.0" encoding="utf-8"?>
<Properties xmlns="http://schemas.openxmlformats.org/officeDocument/2006/extended-properties" xmlns:vt="http://schemas.openxmlformats.org/officeDocument/2006/docPropsVTypes">
  <Template>Normal</Template>
  <Pages>124</Pages>
  <Words>43581</Words>
  <Characters>47597</Characters>
  <Lines>413</Lines>
  <Paragraphs>116</Paragraphs>
  <TotalTime>12</TotalTime>
  <ScaleCrop>false</ScaleCrop>
  <LinksUpToDate>false</LinksUpToDate>
  <CharactersWithSpaces>51567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2023-07-31T11:30:00Z</dcterms:created>
  <dc:creator>毛雪梅</dc:creator>
  <cp:lastModifiedBy>杨常茂</cp:lastModifiedBy>
  <dcterms:modified xsi:type="dcterms:W3CDTF">2024-07-16T03:25:09Z</dcterms:modified>
  <cp:revision>659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ABBYY FineReader Engine 12</vt:lpwstr>
  </property>
  <property fmtid="{D5CDD505-2E9C-101B-9397-08002B2CF9AE}" pid="4" name="LastSaved">
    <vt:filetime>2021-08-02T00:00:00Z</vt:filetime>
  </property>
  <property fmtid="{D5CDD505-2E9C-101B-9397-08002B2CF9AE}" pid="5" name="KSOProductBuildVer">
    <vt:lpwstr>2052-12.1.0.17147</vt:lpwstr>
  </property>
  <property fmtid="{D5CDD505-2E9C-101B-9397-08002B2CF9AE}" pid="6" name="ICV">
    <vt:lpwstr>0E79348ADFA24E9B8E8E7B2B537DE9B1_12</vt:lpwstr>
  </property>
</Properties>
</file>