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 xml:space="preserve"> 2024年9月-2025年2月</w:t>
      </w:r>
    </w:p>
    <w:p>
      <w:pPr>
        <w:spacing w:line="360" w:lineRule="auto"/>
        <w:jc w:val="center"/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>内贸海运业务谈判采购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  <w:t>预告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</w:rPr>
        <w:t xml:space="preserve">   </w:t>
      </w:r>
    </w:p>
    <w:p>
      <w:pPr>
        <w:pStyle w:val="3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u w:val="single" w:color="FFFFFF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</w:rPr>
        <w:t xml:space="preserve"> 2024年9月-2025年2月内贸海运业务谈判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项目名称：</w:t>
      </w:r>
      <w:r>
        <w:rPr>
          <w:rFonts w:hint="eastAsia" w:ascii="仿宋GB2312" w:hAnsi="仿宋GB2312" w:eastAsia="仿宋GB2312" w:cs="仿宋GB2312"/>
          <w:bCs/>
          <w:color w:val="000000"/>
          <w:sz w:val="28"/>
          <w:szCs w:val="28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</w:rPr>
        <w:t>2024年9月-2025年2月内贸海运业务谈判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2024年9月-2025年2月我公司预计内贸海运业务大、小包装番茄酱、番茄丁、辣椒酱、杏酱等承运量初步约为0.8万吨，具体数量以实际订舱为准。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集装箱堆场到门方式（天津港口北疆集装箱堆场）：包含双边THC（起运港、目的港装卸费）、港杂费用、堆场装箱费、集港费、海运费、公路配送费、物流服务费、增值税税费、保险费、当天正常排队送货产生压车、淡旺季行情波动变化等因素，除此之外不再产生其他任何因素费用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firstLine="562" w:firstLineChars="200"/>
        <w:textAlignment w:val="auto"/>
        <w:rPr>
          <w:rFonts w:hint="default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3.2目的港免箱期和免堆存期：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均为14天，自委托书要求到货之日起算。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3.3服务时间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2024年9月1日至2025年2月28日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3.4采购方式</w:t>
      </w: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：</w:t>
      </w:r>
      <w:r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  <w:t>谈判采购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1" w:name="_Toc3170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8月2日16：00前在中粮糖业EPS采购平台（网址：https://eps.tunhe.com）完成注册，2024年8月6日16：00前完成报名；采购人组织资格审查合格后，2024年8月8日12：00前完成物流服务采购意向保证金的缴纳，供应商2024年8月8日13：00后通过EPS采购平台获取采购文件；2024年8月14日8：30前在中粮糖业EPS采购平台上按采购文件说明条款提供相关资料并提交第一轮投标(过期无效)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bookmarkStart w:id="5" w:name="_Toc27851"/>
      <w:bookmarkStart w:id="6" w:name="_Toc30288"/>
      <w:bookmarkStart w:id="7" w:name="_Toc25787"/>
      <w:bookmarkStart w:id="8" w:name="_Toc9870"/>
      <w:bookmarkStart w:id="9" w:name="_Toc17966"/>
      <w:bookmarkStart w:id="10" w:name="_Toc12326"/>
      <w:bookmarkStart w:id="11" w:name="_Toc32404"/>
      <w:bookmarkStart w:id="12" w:name="_Toc18249"/>
      <w:bookmarkStart w:id="13" w:name="_Toc5837"/>
      <w:bookmarkStart w:id="14" w:name="_Toc13094"/>
      <w:bookmarkStart w:id="15" w:name="_Toc26629"/>
      <w:bookmarkStart w:id="16" w:name="_Toc25027"/>
      <w:bookmarkStart w:id="17" w:name="_Toc1597"/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谈判在中粮糖业公司电子采购管理平台（简称EPS平台）公开发布。（网址：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t>http://eps.tunhe.com</w:t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pStyle w:val="4"/>
        <w:spacing w:line="360" w:lineRule="auto"/>
        <w:ind w:left="-31" w:leftChars="-15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购业务监督人员及电话：杨丽娟 022-66287909/仲廷霞 13689908372</w:t>
      </w:r>
    </w:p>
    <w:p>
      <w:pPr>
        <w:pStyle w:val="4"/>
        <w:spacing w:line="360" w:lineRule="auto"/>
        <w:ind w:left="-31" w:leftChars="-15" w:firstLine="560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采购业务监督人员邮箱：yanglj.th@cofco.com/zhongtx@cofco.com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8.1.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8.2.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致电  举报电话 18709967070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832C0F"/>
    <w:rsid w:val="088A4D38"/>
    <w:rsid w:val="17E77448"/>
    <w:rsid w:val="1C5A1B35"/>
    <w:rsid w:val="2AD04B4B"/>
    <w:rsid w:val="3CE075AB"/>
    <w:rsid w:val="47C11772"/>
    <w:rsid w:val="47E13D62"/>
    <w:rsid w:val="5DC343B6"/>
    <w:rsid w:val="6424218B"/>
    <w:rsid w:val="66D734E4"/>
    <w:rsid w:val="7EE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Times New Roman"/>
      <w:szCs w:val="22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1246</Words>
  <Characters>1554</Characters>
  <Lines>0</Lines>
  <Paragraphs>0</Paragraphs>
  <TotalTime>0</TotalTime>
  <ScaleCrop>false</ScaleCrop>
  <LinksUpToDate>false</LinksUpToDate>
  <CharactersWithSpaces>1581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</dc:creator>
  <cp:lastModifiedBy>威小轩懿</cp:lastModifiedBy>
  <dcterms:modified xsi:type="dcterms:W3CDTF">2024-07-30T10:59:40Z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C9FADEAFE0FB48419FE4A97B96CB8203</vt:lpwstr>
  </property>
</Properties>
</file>