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23731">
      <w:pPr>
        <w:pageBreakBefore w:val="0"/>
        <w:kinsoku/>
        <w:wordWrap w:val="0"/>
        <w:overflowPunct/>
        <w:topLinePunct w:val="0"/>
        <w:bidi w:val="0"/>
        <w:snapToGrid/>
        <w:spacing w:beforeAutospacing="0"/>
        <w:ind w:firstLine="640" w:firstLineChars="200"/>
        <w:rPr>
          <w:highlight w:val="none"/>
        </w:rPr>
      </w:pPr>
    </w:p>
    <w:p w14:paraId="41096996">
      <w:pPr>
        <w:pageBreakBefore w:val="0"/>
        <w:kinsoku/>
        <w:wordWrap w:val="0"/>
        <w:overflowPunct/>
        <w:topLinePunct w:val="0"/>
        <w:bidi w:val="0"/>
        <w:snapToGrid/>
        <w:spacing w:beforeAutospacing="0"/>
        <w:ind w:firstLine="880" w:firstLineChars="200"/>
        <w:rPr>
          <w:sz w:val="44"/>
          <w:szCs w:val="44"/>
          <w:highlight w:val="none"/>
        </w:rPr>
      </w:pPr>
      <w:r>
        <w:rPr>
          <w:rFonts w:hint="eastAsia"/>
          <w:sz w:val="44"/>
          <w:szCs w:val="44"/>
          <w:highlight w:val="none"/>
        </w:rPr>
        <w:t xml:space="preserve"> </w:t>
      </w:r>
    </w:p>
    <w:p w14:paraId="026B587A">
      <w:pPr>
        <w:pageBreakBefore w:val="0"/>
        <w:kinsoku/>
        <w:wordWrap w:val="0"/>
        <w:overflowPunct/>
        <w:topLinePunct w:val="0"/>
        <w:bidi w:val="0"/>
        <w:snapToGrid/>
        <w:spacing w:beforeAutospacing="0"/>
        <w:ind w:firstLine="880" w:firstLineChars="200"/>
        <w:rPr>
          <w:sz w:val="44"/>
          <w:szCs w:val="44"/>
          <w:highlight w:val="none"/>
        </w:rPr>
      </w:pPr>
      <w:r>
        <w:rPr>
          <w:rFonts w:hint="eastAsia"/>
          <w:sz w:val="44"/>
          <w:szCs w:val="44"/>
          <w:highlight w:val="none"/>
        </w:rPr>
        <w:t xml:space="preserve"> </w:t>
      </w:r>
    </w:p>
    <w:p w14:paraId="7CAC8E77">
      <w:pPr>
        <w:pageBreakBefore w:val="0"/>
        <w:kinsoku/>
        <w:wordWrap w:val="0"/>
        <w:overflowPunct/>
        <w:topLinePunct w:val="0"/>
        <w:bidi w:val="0"/>
        <w:snapToGrid/>
        <w:spacing w:beforeAutospacing="0"/>
        <w:ind w:firstLine="880" w:firstLineChars="200"/>
        <w:rPr>
          <w:sz w:val="44"/>
          <w:szCs w:val="44"/>
          <w:highlight w:val="none"/>
        </w:rPr>
      </w:pPr>
      <w:r>
        <w:rPr>
          <w:rFonts w:hint="eastAsia"/>
          <w:sz w:val="44"/>
          <w:szCs w:val="44"/>
          <w:highlight w:val="none"/>
        </w:rPr>
        <w:t xml:space="preserve"> </w:t>
      </w:r>
    </w:p>
    <w:p w14:paraId="31A283CB">
      <w:pPr>
        <w:pStyle w:val="30"/>
        <w:pageBreakBefore w:val="0"/>
        <w:kinsoku/>
        <w:wordWrap w:val="0"/>
        <w:overflowPunct/>
        <w:topLinePunct w:val="0"/>
        <w:bidi w:val="0"/>
        <w:snapToGrid/>
        <w:spacing w:beforeAutospacing="0"/>
        <w:ind w:left="880" w:hanging="880" w:hangingChars="200"/>
        <w:jc w:val="center"/>
        <w:rPr>
          <w:rFonts w:hint="eastAsia"/>
          <w:highlight w:val="none"/>
          <w:lang w:val="en-US" w:eastAsia="zh-CN"/>
        </w:rPr>
      </w:pPr>
      <w:r>
        <w:rPr>
          <w:rFonts w:hint="eastAsia"/>
          <w:highlight w:val="none"/>
        </w:rPr>
        <w:t>202</w:t>
      </w:r>
      <w:r>
        <w:rPr>
          <w:rFonts w:hint="eastAsia"/>
          <w:highlight w:val="none"/>
          <w:lang w:val="en-US" w:eastAsia="zh-CN"/>
        </w:rPr>
        <w:t>4</w:t>
      </w:r>
      <w:r>
        <w:rPr>
          <w:rFonts w:hint="eastAsia"/>
          <w:highlight w:val="none"/>
        </w:rPr>
        <w:t>年四川中糖物流有限公司</w:t>
      </w:r>
      <w:r>
        <w:rPr>
          <w:rFonts w:hint="eastAsia"/>
          <w:highlight w:val="none"/>
          <w:lang w:val="en-US" w:eastAsia="zh-CN"/>
        </w:rPr>
        <w:t>高低压配电</w:t>
      </w:r>
    </w:p>
    <w:p w14:paraId="64BD40B3">
      <w:pPr>
        <w:pStyle w:val="30"/>
        <w:pageBreakBefore w:val="0"/>
        <w:kinsoku/>
        <w:wordWrap w:val="0"/>
        <w:overflowPunct/>
        <w:topLinePunct w:val="0"/>
        <w:bidi w:val="0"/>
        <w:snapToGrid/>
        <w:spacing w:beforeAutospacing="0"/>
        <w:ind w:left="880" w:hanging="880" w:hangingChars="200"/>
        <w:jc w:val="center"/>
        <w:rPr>
          <w:highlight w:val="none"/>
        </w:rPr>
      </w:pPr>
      <w:r>
        <w:rPr>
          <w:rFonts w:hint="eastAsia"/>
          <w:highlight w:val="none"/>
          <w:lang w:val="en-US" w:eastAsia="zh-CN"/>
        </w:rPr>
        <w:t>改造监理项目</w:t>
      </w:r>
      <w:r>
        <w:rPr>
          <w:rFonts w:hint="eastAsia"/>
          <w:highlight w:val="none"/>
        </w:rPr>
        <w:t>询比采购说明书</w:t>
      </w:r>
    </w:p>
    <w:p w14:paraId="5F95ACD1">
      <w:pPr>
        <w:pageBreakBefore w:val="0"/>
        <w:kinsoku/>
        <w:wordWrap w:val="0"/>
        <w:overflowPunct/>
        <w:topLinePunct w:val="0"/>
        <w:bidi w:val="0"/>
        <w:snapToGrid/>
        <w:spacing w:beforeAutospacing="0"/>
        <w:ind w:firstLine="560" w:firstLineChars="200"/>
        <w:rPr>
          <w:rFonts w:ascii="仿宋_GB2312" w:hAnsi="宋体"/>
          <w:sz w:val="28"/>
          <w:szCs w:val="28"/>
          <w:highlight w:val="none"/>
        </w:rPr>
      </w:pPr>
      <w:r>
        <w:rPr>
          <w:rFonts w:hint="eastAsia"/>
          <w:sz w:val="28"/>
          <w:szCs w:val="28"/>
          <w:highlight w:val="none"/>
        </w:rPr>
        <w:t xml:space="preserve"> </w:t>
      </w:r>
    </w:p>
    <w:p w14:paraId="7C73D14D">
      <w:pPr>
        <w:pageBreakBefore w:val="0"/>
        <w:kinsoku/>
        <w:wordWrap w:val="0"/>
        <w:overflowPunct/>
        <w:topLinePunct w:val="0"/>
        <w:bidi w:val="0"/>
        <w:snapToGrid/>
        <w:spacing w:beforeAutospacing="0"/>
        <w:ind w:firstLine="560" w:firstLineChars="200"/>
        <w:rPr>
          <w:sz w:val="28"/>
          <w:szCs w:val="28"/>
          <w:highlight w:val="none"/>
        </w:rPr>
      </w:pPr>
      <w:r>
        <w:rPr>
          <w:rFonts w:hint="eastAsia"/>
          <w:sz w:val="28"/>
          <w:szCs w:val="28"/>
          <w:highlight w:val="none"/>
        </w:rPr>
        <w:t xml:space="preserve"> </w:t>
      </w:r>
    </w:p>
    <w:p w14:paraId="1511FCFB">
      <w:pPr>
        <w:pageBreakBefore w:val="0"/>
        <w:kinsoku/>
        <w:wordWrap w:val="0"/>
        <w:overflowPunct/>
        <w:topLinePunct w:val="0"/>
        <w:bidi w:val="0"/>
        <w:snapToGrid/>
        <w:spacing w:beforeAutospacing="0"/>
        <w:ind w:firstLine="560" w:firstLineChars="200"/>
        <w:rPr>
          <w:sz w:val="28"/>
          <w:szCs w:val="28"/>
          <w:highlight w:val="none"/>
        </w:rPr>
      </w:pPr>
      <w:r>
        <w:rPr>
          <w:rFonts w:hint="eastAsia"/>
          <w:sz w:val="28"/>
          <w:szCs w:val="28"/>
          <w:highlight w:val="none"/>
        </w:rPr>
        <w:t xml:space="preserve"> </w:t>
      </w:r>
    </w:p>
    <w:p w14:paraId="3FC72F70">
      <w:pPr>
        <w:pageBreakBefore w:val="0"/>
        <w:kinsoku/>
        <w:wordWrap w:val="0"/>
        <w:overflowPunct/>
        <w:topLinePunct w:val="0"/>
        <w:bidi w:val="0"/>
        <w:snapToGrid/>
        <w:spacing w:beforeAutospacing="0"/>
        <w:ind w:firstLine="560" w:firstLineChars="200"/>
        <w:rPr>
          <w:sz w:val="28"/>
          <w:szCs w:val="28"/>
          <w:highlight w:val="none"/>
        </w:rPr>
      </w:pPr>
      <w:r>
        <w:rPr>
          <w:rFonts w:hint="eastAsia"/>
          <w:sz w:val="28"/>
          <w:szCs w:val="28"/>
          <w:highlight w:val="none"/>
        </w:rPr>
        <w:t xml:space="preserve"> </w:t>
      </w:r>
    </w:p>
    <w:p w14:paraId="0A8AD941">
      <w:pPr>
        <w:pageBreakBefore w:val="0"/>
        <w:kinsoku/>
        <w:wordWrap w:val="0"/>
        <w:overflowPunct/>
        <w:topLinePunct w:val="0"/>
        <w:bidi w:val="0"/>
        <w:snapToGrid/>
        <w:spacing w:beforeAutospacing="0"/>
        <w:ind w:firstLine="640" w:firstLineChars="200"/>
        <w:jc w:val="center"/>
        <w:rPr>
          <w:highlight w:val="none"/>
        </w:rPr>
      </w:pPr>
      <w:r>
        <w:rPr>
          <w:rFonts w:hint="eastAsia"/>
          <w:highlight w:val="none"/>
        </w:rPr>
        <w:t>单位：四川中糖物流有限公司</w:t>
      </w:r>
    </w:p>
    <w:p w14:paraId="2091EFC4">
      <w:pPr>
        <w:pageBreakBefore w:val="0"/>
        <w:kinsoku/>
        <w:wordWrap w:val="0"/>
        <w:overflowPunct/>
        <w:topLinePunct w:val="0"/>
        <w:bidi w:val="0"/>
        <w:snapToGrid/>
        <w:spacing w:beforeAutospacing="0"/>
        <w:ind w:firstLine="560" w:firstLineChars="200"/>
        <w:jc w:val="center"/>
        <w:rPr>
          <w:rFonts w:ascii="仿宋_GB2312" w:hAnsi="宋体"/>
          <w:sz w:val="28"/>
          <w:szCs w:val="28"/>
          <w:highlight w:val="none"/>
        </w:rPr>
      </w:pPr>
    </w:p>
    <w:p w14:paraId="6A653F62">
      <w:pPr>
        <w:pageBreakBefore w:val="0"/>
        <w:kinsoku/>
        <w:wordWrap w:val="0"/>
        <w:overflowPunct/>
        <w:topLinePunct w:val="0"/>
        <w:bidi w:val="0"/>
        <w:snapToGrid/>
        <w:spacing w:beforeAutospacing="0"/>
        <w:ind w:firstLine="560" w:firstLineChars="200"/>
        <w:jc w:val="center"/>
        <w:rPr>
          <w:sz w:val="28"/>
          <w:szCs w:val="28"/>
          <w:highlight w:val="none"/>
        </w:rPr>
      </w:pPr>
    </w:p>
    <w:p w14:paraId="08C09812">
      <w:pPr>
        <w:pageBreakBefore w:val="0"/>
        <w:kinsoku/>
        <w:wordWrap w:val="0"/>
        <w:overflowPunct/>
        <w:topLinePunct w:val="0"/>
        <w:bidi w:val="0"/>
        <w:snapToGrid/>
        <w:spacing w:beforeAutospacing="0"/>
        <w:ind w:firstLine="560" w:firstLineChars="200"/>
        <w:jc w:val="center"/>
        <w:rPr>
          <w:sz w:val="28"/>
          <w:szCs w:val="28"/>
          <w:highlight w:val="none"/>
        </w:rPr>
      </w:pPr>
    </w:p>
    <w:p w14:paraId="2B599FE0">
      <w:pPr>
        <w:pageBreakBefore w:val="0"/>
        <w:kinsoku/>
        <w:wordWrap w:val="0"/>
        <w:overflowPunct/>
        <w:topLinePunct w:val="0"/>
        <w:bidi w:val="0"/>
        <w:snapToGrid/>
        <w:spacing w:beforeAutospacing="0"/>
        <w:ind w:firstLine="560" w:firstLineChars="200"/>
        <w:jc w:val="center"/>
        <w:rPr>
          <w:sz w:val="28"/>
          <w:szCs w:val="28"/>
          <w:highlight w:val="none"/>
        </w:rPr>
      </w:pPr>
    </w:p>
    <w:p w14:paraId="2CAC9DB1">
      <w:pPr>
        <w:pageBreakBefore w:val="0"/>
        <w:kinsoku/>
        <w:wordWrap w:val="0"/>
        <w:overflowPunct/>
        <w:topLinePunct w:val="0"/>
        <w:bidi w:val="0"/>
        <w:snapToGrid/>
        <w:spacing w:beforeAutospacing="0"/>
        <w:ind w:firstLine="560" w:firstLineChars="200"/>
        <w:jc w:val="center"/>
        <w:rPr>
          <w:sz w:val="28"/>
          <w:szCs w:val="28"/>
          <w:highlight w:val="none"/>
        </w:rPr>
      </w:pPr>
    </w:p>
    <w:p w14:paraId="10F115EC">
      <w:pPr>
        <w:pageBreakBefore w:val="0"/>
        <w:kinsoku/>
        <w:wordWrap w:val="0"/>
        <w:overflowPunct/>
        <w:topLinePunct w:val="0"/>
        <w:bidi w:val="0"/>
        <w:snapToGrid/>
        <w:spacing w:beforeAutospacing="0"/>
        <w:ind w:firstLine="560" w:firstLineChars="200"/>
        <w:jc w:val="center"/>
        <w:rPr>
          <w:sz w:val="28"/>
          <w:szCs w:val="28"/>
          <w:highlight w:val="none"/>
        </w:rPr>
      </w:pPr>
    </w:p>
    <w:p w14:paraId="2A481158">
      <w:pPr>
        <w:pageBreakBefore w:val="0"/>
        <w:kinsoku/>
        <w:wordWrap w:val="0"/>
        <w:overflowPunct/>
        <w:topLinePunct w:val="0"/>
        <w:bidi w:val="0"/>
        <w:snapToGrid/>
        <w:spacing w:beforeAutospacing="0"/>
        <w:ind w:firstLine="640" w:firstLineChars="200"/>
        <w:jc w:val="center"/>
        <w:rPr>
          <w:highlight w:val="none"/>
        </w:rPr>
      </w:pPr>
      <w:r>
        <w:rPr>
          <w:rFonts w:hint="eastAsia"/>
          <w:highlight w:val="none"/>
        </w:rPr>
        <w:t>发布日期：202</w:t>
      </w:r>
      <w:r>
        <w:rPr>
          <w:rFonts w:hint="eastAsia"/>
          <w:highlight w:val="none"/>
          <w:lang w:val="en-US" w:eastAsia="zh-CN"/>
        </w:rPr>
        <w:t>4</w:t>
      </w:r>
      <w:r>
        <w:rPr>
          <w:rFonts w:hint="eastAsia"/>
          <w:highlight w:val="none"/>
        </w:rPr>
        <w:t>年</w:t>
      </w:r>
      <w:r>
        <w:rPr>
          <w:rFonts w:hint="eastAsia"/>
          <w:highlight w:val="none"/>
          <w:lang w:val="en-US" w:eastAsia="zh-CN"/>
        </w:rPr>
        <w:t>7</w:t>
      </w:r>
      <w:r>
        <w:rPr>
          <w:rFonts w:hint="eastAsia"/>
          <w:highlight w:val="none"/>
        </w:rPr>
        <w:t>月</w:t>
      </w:r>
    </w:p>
    <w:p w14:paraId="413FDADD">
      <w:pPr>
        <w:pageBreakBefore w:val="0"/>
        <w:kinsoku/>
        <w:wordWrap w:val="0"/>
        <w:overflowPunct/>
        <w:topLinePunct w:val="0"/>
        <w:bidi w:val="0"/>
        <w:snapToGrid/>
        <w:spacing w:beforeAutospacing="0"/>
        <w:ind w:firstLine="560" w:firstLineChars="200"/>
        <w:rPr>
          <w:rFonts w:ascii="仿宋_GB2312" w:hAnsi="宋体"/>
          <w:sz w:val="28"/>
          <w:szCs w:val="28"/>
          <w:highlight w:val="none"/>
        </w:rPr>
      </w:pPr>
      <w:r>
        <w:rPr>
          <w:rFonts w:hint="eastAsia"/>
          <w:sz w:val="28"/>
          <w:szCs w:val="28"/>
          <w:highlight w:val="none"/>
        </w:rPr>
        <w:t xml:space="preserve"> </w:t>
      </w:r>
    </w:p>
    <w:p w14:paraId="4523C417">
      <w:pPr>
        <w:pageBreakBefore w:val="0"/>
        <w:kinsoku/>
        <w:wordWrap w:val="0"/>
        <w:overflowPunct/>
        <w:topLinePunct w:val="0"/>
        <w:bidi w:val="0"/>
        <w:snapToGrid/>
        <w:spacing w:beforeAutospacing="0"/>
        <w:ind w:firstLine="883" w:firstLineChars="200"/>
        <w:rPr>
          <w:b/>
          <w:sz w:val="44"/>
          <w:szCs w:val="44"/>
          <w:highlight w:val="none"/>
        </w:rPr>
      </w:pPr>
      <w:r>
        <w:rPr>
          <w:rFonts w:hint="eastAsia"/>
          <w:b/>
          <w:sz w:val="44"/>
          <w:szCs w:val="44"/>
          <w:highlight w:val="none"/>
        </w:rPr>
        <w:t xml:space="preserve"> </w:t>
      </w:r>
    </w:p>
    <w:p w14:paraId="7613BC81">
      <w:pPr>
        <w:pageBreakBefore w:val="0"/>
        <w:kinsoku/>
        <w:wordWrap w:val="0"/>
        <w:overflowPunct/>
        <w:topLinePunct w:val="0"/>
        <w:bidi w:val="0"/>
        <w:snapToGrid/>
        <w:spacing w:beforeAutospacing="0"/>
        <w:ind w:firstLine="883" w:firstLineChars="200"/>
        <w:rPr>
          <w:b/>
          <w:sz w:val="44"/>
          <w:szCs w:val="44"/>
          <w:highlight w:val="none"/>
        </w:rPr>
      </w:pPr>
      <w:r>
        <w:rPr>
          <w:rFonts w:hint="eastAsia"/>
          <w:b/>
          <w:sz w:val="44"/>
          <w:szCs w:val="44"/>
          <w:highlight w:val="none"/>
        </w:rPr>
        <w:t xml:space="preserve"> </w:t>
      </w:r>
    </w:p>
    <w:p w14:paraId="4A8C652F">
      <w:pPr>
        <w:pageBreakBefore w:val="0"/>
        <w:kinsoku/>
        <w:wordWrap w:val="0"/>
        <w:overflowPunct/>
        <w:topLinePunct w:val="0"/>
        <w:bidi w:val="0"/>
        <w:snapToGrid/>
        <w:spacing w:beforeAutospacing="0"/>
        <w:ind w:firstLine="880" w:firstLineChars="200"/>
        <w:rPr>
          <w:sz w:val="44"/>
          <w:szCs w:val="44"/>
          <w:highlight w:val="none"/>
        </w:rPr>
      </w:pPr>
      <w:r>
        <w:rPr>
          <w:rFonts w:hint="eastAsia"/>
          <w:sz w:val="44"/>
          <w:szCs w:val="44"/>
          <w:highlight w:val="none"/>
        </w:rPr>
        <w:t xml:space="preserve"> </w:t>
      </w:r>
    </w:p>
    <w:p w14:paraId="3D1D0503">
      <w:pPr>
        <w:pageBreakBefore w:val="0"/>
        <w:kinsoku/>
        <w:wordWrap w:val="0"/>
        <w:overflowPunct/>
        <w:topLinePunct w:val="0"/>
        <w:bidi w:val="0"/>
        <w:snapToGrid/>
        <w:spacing w:beforeAutospacing="0"/>
        <w:ind w:firstLine="880" w:firstLineChars="200"/>
        <w:rPr>
          <w:sz w:val="44"/>
          <w:szCs w:val="44"/>
          <w:highlight w:val="none"/>
        </w:rPr>
      </w:pPr>
      <w:r>
        <w:rPr>
          <w:rFonts w:hint="eastAsia"/>
          <w:sz w:val="44"/>
          <w:szCs w:val="44"/>
          <w:highlight w:val="none"/>
        </w:rPr>
        <w:t xml:space="preserve"> </w:t>
      </w:r>
    </w:p>
    <w:p w14:paraId="66913195">
      <w:pPr>
        <w:pageBreakBefore w:val="0"/>
        <w:kinsoku/>
        <w:wordWrap w:val="0"/>
        <w:overflowPunct/>
        <w:topLinePunct w:val="0"/>
        <w:bidi w:val="0"/>
        <w:snapToGrid/>
        <w:spacing w:beforeAutospacing="0"/>
        <w:ind w:firstLine="880" w:firstLineChars="200"/>
        <w:jc w:val="center"/>
        <w:rPr>
          <w:sz w:val="44"/>
          <w:szCs w:val="44"/>
          <w:highlight w:val="none"/>
        </w:rPr>
      </w:pPr>
      <w:r>
        <w:rPr>
          <w:rFonts w:hint="eastAsia"/>
          <w:sz w:val="44"/>
          <w:szCs w:val="44"/>
          <w:highlight w:val="none"/>
        </w:rPr>
        <w:t>目   录</w:t>
      </w:r>
    </w:p>
    <w:p w14:paraId="36E5B7BA">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47A37000">
      <w:pPr>
        <w:pageBreakBefore w:val="0"/>
        <w:kinsoku/>
        <w:wordWrap w:val="0"/>
        <w:overflowPunct/>
        <w:topLinePunct w:val="0"/>
        <w:bidi w:val="0"/>
        <w:snapToGrid/>
        <w:spacing w:beforeAutospacing="0"/>
        <w:ind w:firstLine="640" w:firstLineChars="200"/>
        <w:rPr>
          <w:highlight w:val="none"/>
        </w:rPr>
      </w:pPr>
    </w:p>
    <w:p w14:paraId="3BF37C0C">
      <w:pPr>
        <w:pageBreakBefore w:val="0"/>
        <w:kinsoku/>
        <w:wordWrap w:val="0"/>
        <w:overflowPunct/>
        <w:topLinePunct w:val="0"/>
        <w:bidi w:val="0"/>
        <w:snapToGrid/>
        <w:spacing w:beforeAutospacing="0"/>
        <w:ind w:firstLine="640" w:firstLineChars="200"/>
        <w:rPr>
          <w:highlight w:val="none"/>
        </w:rPr>
      </w:pPr>
    </w:p>
    <w:p w14:paraId="2027DD4A">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1846C52A">
      <w:pPr>
        <w:pageBreakBefore w:val="0"/>
        <w:kinsoku/>
        <w:wordWrap w:val="0"/>
        <w:overflowPunct/>
        <w:topLinePunct w:val="0"/>
        <w:bidi w:val="0"/>
        <w:snapToGrid/>
        <w:spacing w:beforeAutospacing="0"/>
        <w:ind w:firstLine="640" w:firstLineChars="200"/>
        <w:jc w:val="left"/>
        <w:rPr>
          <w:highlight w:val="none"/>
        </w:rPr>
      </w:pPr>
      <w:r>
        <w:rPr>
          <w:rFonts w:hint="eastAsia"/>
          <w:highlight w:val="none"/>
        </w:rPr>
        <w:t>第一章   供应商须知</w:t>
      </w:r>
    </w:p>
    <w:p w14:paraId="2DD5B842">
      <w:pPr>
        <w:pageBreakBefore w:val="0"/>
        <w:kinsoku/>
        <w:wordWrap w:val="0"/>
        <w:overflowPunct/>
        <w:topLinePunct w:val="0"/>
        <w:bidi w:val="0"/>
        <w:snapToGrid/>
        <w:spacing w:beforeAutospacing="0"/>
        <w:ind w:firstLine="640" w:firstLineChars="200"/>
        <w:jc w:val="left"/>
        <w:rPr>
          <w:highlight w:val="none"/>
        </w:rPr>
      </w:pPr>
    </w:p>
    <w:p w14:paraId="1ED9F625">
      <w:pPr>
        <w:pageBreakBefore w:val="0"/>
        <w:kinsoku/>
        <w:wordWrap w:val="0"/>
        <w:overflowPunct/>
        <w:topLinePunct w:val="0"/>
        <w:bidi w:val="0"/>
        <w:snapToGrid/>
        <w:spacing w:beforeAutospacing="0"/>
        <w:ind w:firstLine="640" w:firstLineChars="200"/>
        <w:jc w:val="left"/>
        <w:rPr>
          <w:highlight w:val="none"/>
        </w:rPr>
      </w:pPr>
      <w:r>
        <w:rPr>
          <w:rFonts w:hint="eastAsia"/>
          <w:highlight w:val="none"/>
        </w:rPr>
        <w:t>第二章   合同主要条款</w:t>
      </w:r>
    </w:p>
    <w:p w14:paraId="3BCA296B">
      <w:pPr>
        <w:pageBreakBefore w:val="0"/>
        <w:kinsoku/>
        <w:wordWrap w:val="0"/>
        <w:overflowPunct/>
        <w:topLinePunct w:val="0"/>
        <w:bidi w:val="0"/>
        <w:snapToGrid/>
        <w:spacing w:beforeAutospacing="0"/>
        <w:ind w:firstLine="640" w:firstLineChars="200"/>
        <w:jc w:val="left"/>
        <w:rPr>
          <w:highlight w:val="none"/>
        </w:rPr>
      </w:pPr>
    </w:p>
    <w:p w14:paraId="34DE2C7C">
      <w:pPr>
        <w:pageBreakBefore w:val="0"/>
        <w:kinsoku/>
        <w:wordWrap w:val="0"/>
        <w:overflowPunct/>
        <w:topLinePunct w:val="0"/>
        <w:bidi w:val="0"/>
        <w:snapToGrid/>
        <w:spacing w:beforeAutospacing="0"/>
        <w:ind w:firstLine="640" w:firstLineChars="200"/>
        <w:jc w:val="left"/>
        <w:rPr>
          <w:highlight w:val="none"/>
        </w:rPr>
      </w:pPr>
      <w:r>
        <w:rPr>
          <w:rFonts w:hint="eastAsia"/>
          <w:highlight w:val="none"/>
        </w:rPr>
        <w:t>第三章   评审方法</w:t>
      </w:r>
    </w:p>
    <w:p w14:paraId="220D1B2B">
      <w:pPr>
        <w:pageBreakBefore w:val="0"/>
        <w:kinsoku/>
        <w:wordWrap w:val="0"/>
        <w:overflowPunct/>
        <w:topLinePunct w:val="0"/>
        <w:bidi w:val="0"/>
        <w:snapToGrid/>
        <w:spacing w:beforeAutospacing="0"/>
        <w:ind w:firstLine="640" w:firstLineChars="200"/>
        <w:jc w:val="left"/>
        <w:rPr>
          <w:highlight w:val="none"/>
        </w:rPr>
      </w:pPr>
    </w:p>
    <w:p w14:paraId="511F24BC">
      <w:pPr>
        <w:pageBreakBefore w:val="0"/>
        <w:kinsoku/>
        <w:wordWrap w:val="0"/>
        <w:overflowPunct/>
        <w:topLinePunct w:val="0"/>
        <w:bidi w:val="0"/>
        <w:snapToGrid/>
        <w:spacing w:beforeAutospacing="0"/>
        <w:ind w:firstLine="640" w:firstLineChars="200"/>
        <w:jc w:val="left"/>
        <w:rPr>
          <w:highlight w:val="none"/>
        </w:rPr>
      </w:pPr>
      <w:r>
        <w:rPr>
          <w:rFonts w:hint="eastAsia"/>
          <w:highlight w:val="none"/>
        </w:rPr>
        <w:t>第四章   报价说明</w:t>
      </w:r>
    </w:p>
    <w:p w14:paraId="0D0F7091">
      <w:pPr>
        <w:pageBreakBefore w:val="0"/>
        <w:kinsoku/>
        <w:wordWrap w:val="0"/>
        <w:overflowPunct/>
        <w:topLinePunct w:val="0"/>
        <w:bidi w:val="0"/>
        <w:snapToGrid/>
        <w:spacing w:beforeAutospacing="0"/>
        <w:ind w:firstLine="640" w:firstLineChars="200"/>
        <w:jc w:val="left"/>
        <w:rPr>
          <w:highlight w:val="none"/>
        </w:rPr>
      </w:pPr>
    </w:p>
    <w:p w14:paraId="2E08C4C0">
      <w:pPr>
        <w:pageBreakBefore w:val="0"/>
        <w:kinsoku/>
        <w:wordWrap w:val="0"/>
        <w:overflowPunct/>
        <w:topLinePunct w:val="0"/>
        <w:bidi w:val="0"/>
        <w:snapToGrid/>
        <w:spacing w:beforeAutospacing="0"/>
        <w:ind w:firstLine="640" w:firstLineChars="200"/>
        <w:jc w:val="left"/>
        <w:rPr>
          <w:rFonts w:ascii="宋体" w:hAnsi="宋体"/>
          <w:sz w:val="28"/>
          <w:szCs w:val="28"/>
          <w:highlight w:val="none"/>
        </w:rPr>
      </w:pPr>
      <w:r>
        <w:rPr>
          <w:rFonts w:hint="eastAsia"/>
          <w:highlight w:val="none"/>
        </w:rPr>
        <w:t>第五章   项目需求</w:t>
      </w:r>
    </w:p>
    <w:p w14:paraId="01831978">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26147BFF">
      <w:pPr>
        <w:pageBreakBefore w:val="0"/>
        <w:kinsoku/>
        <w:wordWrap w:val="0"/>
        <w:overflowPunct/>
        <w:topLinePunct w:val="0"/>
        <w:bidi w:val="0"/>
        <w:snapToGrid/>
        <w:spacing w:beforeAutospacing="0"/>
        <w:ind w:firstLine="640" w:firstLineChars="200"/>
        <w:jc w:val="left"/>
        <w:rPr>
          <w:rFonts w:ascii="宋体" w:hAnsi="宋体"/>
          <w:sz w:val="28"/>
          <w:szCs w:val="28"/>
          <w:highlight w:val="none"/>
        </w:rPr>
      </w:pPr>
      <w:r>
        <w:rPr>
          <w:rFonts w:hint="eastAsia"/>
          <w:highlight w:val="none"/>
        </w:rPr>
        <w:t>第六章   投标文件要求</w:t>
      </w:r>
    </w:p>
    <w:p w14:paraId="5116A1C2">
      <w:pPr>
        <w:pageBreakBefore w:val="0"/>
        <w:kinsoku/>
        <w:wordWrap w:val="0"/>
        <w:overflowPunct/>
        <w:topLinePunct w:val="0"/>
        <w:bidi w:val="0"/>
        <w:snapToGrid/>
        <w:spacing w:beforeAutospacing="0"/>
        <w:ind w:firstLine="643" w:firstLineChars="200"/>
        <w:rPr>
          <w:b/>
          <w:highlight w:val="none"/>
        </w:rPr>
      </w:pPr>
    </w:p>
    <w:p w14:paraId="4F7F2B1F">
      <w:pPr>
        <w:pageBreakBefore w:val="0"/>
        <w:kinsoku/>
        <w:wordWrap w:val="0"/>
        <w:overflowPunct/>
        <w:topLinePunct w:val="0"/>
        <w:bidi w:val="0"/>
        <w:snapToGrid/>
        <w:spacing w:beforeAutospacing="0"/>
        <w:ind w:firstLine="643" w:firstLineChars="200"/>
        <w:rPr>
          <w:b/>
          <w:highlight w:val="none"/>
        </w:rPr>
      </w:pPr>
      <w:r>
        <w:rPr>
          <w:rFonts w:hint="eastAsia"/>
          <w:b/>
          <w:highlight w:val="none"/>
        </w:rPr>
        <w:t xml:space="preserve"> </w:t>
      </w:r>
    </w:p>
    <w:p w14:paraId="1B4DB7B5">
      <w:pPr>
        <w:pageBreakBefore w:val="0"/>
        <w:kinsoku/>
        <w:wordWrap w:val="0"/>
        <w:overflowPunct/>
        <w:topLinePunct w:val="0"/>
        <w:bidi w:val="0"/>
        <w:snapToGrid/>
        <w:spacing w:beforeAutospacing="0"/>
        <w:ind w:firstLine="562" w:firstLineChars="200"/>
        <w:rPr>
          <w:b/>
          <w:sz w:val="28"/>
          <w:szCs w:val="28"/>
          <w:highlight w:val="none"/>
        </w:rPr>
      </w:pPr>
      <w:r>
        <w:rPr>
          <w:rFonts w:hint="eastAsia"/>
          <w:b/>
          <w:sz w:val="28"/>
          <w:szCs w:val="28"/>
          <w:highlight w:val="none"/>
        </w:rPr>
        <w:t xml:space="preserve"> </w:t>
      </w:r>
    </w:p>
    <w:p w14:paraId="763A9AAD">
      <w:pPr>
        <w:pageBreakBefore w:val="0"/>
        <w:kinsoku/>
        <w:wordWrap w:val="0"/>
        <w:overflowPunct/>
        <w:topLinePunct w:val="0"/>
        <w:bidi w:val="0"/>
        <w:snapToGrid/>
        <w:spacing w:beforeAutospacing="0"/>
        <w:ind w:firstLine="562" w:firstLineChars="200"/>
        <w:rPr>
          <w:b/>
          <w:sz w:val="28"/>
          <w:szCs w:val="28"/>
          <w:highlight w:val="none"/>
        </w:rPr>
      </w:pPr>
      <w:r>
        <w:rPr>
          <w:rFonts w:hint="eastAsia"/>
          <w:b/>
          <w:sz w:val="28"/>
          <w:szCs w:val="28"/>
          <w:highlight w:val="none"/>
        </w:rPr>
        <w:t xml:space="preserve"> </w:t>
      </w:r>
    </w:p>
    <w:p w14:paraId="475BFADE">
      <w:pPr>
        <w:pageBreakBefore w:val="0"/>
        <w:kinsoku/>
        <w:wordWrap w:val="0"/>
        <w:overflowPunct/>
        <w:topLinePunct w:val="0"/>
        <w:bidi w:val="0"/>
        <w:snapToGrid/>
        <w:spacing w:beforeAutospacing="0"/>
        <w:ind w:firstLine="640" w:firstLineChars="200"/>
        <w:rPr>
          <w:highlight w:val="none"/>
        </w:rPr>
      </w:pPr>
    </w:p>
    <w:p w14:paraId="7EAC0983">
      <w:pPr>
        <w:pStyle w:val="2"/>
        <w:pageBreakBefore w:val="0"/>
        <w:kinsoku/>
        <w:overflowPunct/>
        <w:topLinePunct w:val="0"/>
        <w:bidi w:val="0"/>
        <w:snapToGrid/>
        <w:spacing w:beforeAutospacing="0"/>
        <w:ind w:firstLine="643" w:firstLineChars="200"/>
        <w:rPr>
          <w:highlight w:val="none"/>
        </w:rPr>
      </w:pPr>
      <w:r>
        <w:rPr>
          <w:rFonts w:hint="eastAsia"/>
          <w:highlight w:val="none"/>
        </w:rPr>
        <w:t>第一章 供应商须知</w:t>
      </w:r>
    </w:p>
    <w:p w14:paraId="7A081B83">
      <w:pPr>
        <w:pageBreakBefore w:val="0"/>
        <w:kinsoku/>
        <w:wordWrap w:val="0"/>
        <w:overflowPunct/>
        <w:topLinePunct w:val="0"/>
        <w:bidi w:val="0"/>
        <w:snapToGrid/>
        <w:spacing w:beforeAutospacing="0"/>
        <w:ind w:firstLine="643" w:firstLineChars="200"/>
        <w:rPr>
          <w:rFonts w:ascii="宋体"/>
          <w:b/>
          <w:szCs w:val="32"/>
          <w:highlight w:val="none"/>
        </w:rPr>
      </w:pPr>
      <w:r>
        <w:rPr>
          <w:rFonts w:hint="eastAsia" w:ascii="宋体"/>
          <w:b/>
          <w:szCs w:val="32"/>
          <w:highlight w:val="none"/>
        </w:rPr>
        <w:t xml:space="preserve"> </w:t>
      </w:r>
    </w:p>
    <w:p w14:paraId="6D652CEB">
      <w:pPr>
        <w:pStyle w:val="30"/>
        <w:pageBreakBefore w:val="0"/>
        <w:kinsoku/>
        <w:wordWrap w:val="0"/>
        <w:overflowPunct/>
        <w:topLinePunct w:val="0"/>
        <w:bidi w:val="0"/>
        <w:snapToGrid/>
        <w:spacing w:beforeAutospacing="0"/>
        <w:ind w:left="0" w:leftChars="0" w:firstLine="640" w:firstLineChars="200"/>
        <w:jc w:val="both"/>
        <w:rPr>
          <w:rFonts w:hint="eastAsia" w:ascii="Times New Roman" w:hAnsi="Times New Roman" w:eastAsia="仿宋_GB2312" w:cs="宋体"/>
          <w:kern w:val="2"/>
          <w:sz w:val="32"/>
          <w:szCs w:val="22"/>
          <w:highlight w:val="none"/>
          <w:lang w:val="en-US" w:eastAsia="zh-CN" w:bidi="ar-SA"/>
        </w:rPr>
      </w:pPr>
      <w:r>
        <w:rPr>
          <w:rFonts w:hint="eastAsia" w:eastAsia="仿宋_GB2312" w:cs="宋体"/>
          <w:kern w:val="2"/>
          <w:sz w:val="32"/>
          <w:szCs w:val="22"/>
          <w:highlight w:val="none"/>
          <w:lang w:val="en-US" w:eastAsia="zh-CN" w:bidi="ar-SA"/>
        </w:rPr>
        <w:t>2024年7</w:t>
      </w:r>
      <w:r>
        <w:rPr>
          <w:rFonts w:hint="eastAsia" w:ascii="Times New Roman" w:hAnsi="Times New Roman" w:eastAsia="仿宋_GB2312" w:cs="宋体"/>
          <w:kern w:val="2"/>
          <w:sz w:val="32"/>
          <w:szCs w:val="22"/>
          <w:highlight w:val="none"/>
          <w:lang w:val="en-US" w:eastAsia="zh-CN" w:bidi="ar-SA"/>
        </w:rPr>
        <w:t>月四川中糖物流有限公司需采购</w:t>
      </w:r>
      <w:r>
        <w:rPr>
          <w:rFonts w:hint="eastAsia" w:eastAsia="仿宋_GB2312" w:cs="宋体"/>
          <w:kern w:val="2"/>
          <w:sz w:val="32"/>
          <w:szCs w:val="22"/>
          <w:highlight w:val="none"/>
          <w:lang w:val="en-US" w:eastAsia="zh-CN" w:bidi="ar-SA"/>
        </w:rPr>
        <w:t>2024年高低压配电改造监理服务</w:t>
      </w:r>
      <w:r>
        <w:rPr>
          <w:rFonts w:hint="eastAsia" w:ascii="Times New Roman" w:hAnsi="Times New Roman" w:eastAsia="仿宋_GB2312" w:cs="宋体"/>
          <w:kern w:val="2"/>
          <w:sz w:val="32"/>
          <w:szCs w:val="22"/>
          <w:highlight w:val="none"/>
          <w:lang w:val="en-US" w:eastAsia="zh-CN" w:bidi="ar-SA"/>
        </w:rPr>
        <w:t>，采购需求如下：</w:t>
      </w:r>
    </w:p>
    <w:p w14:paraId="30A350A2">
      <w:pPr>
        <w:pageBreakBefore w:val="0"/>
        <w:kinsoku/>
        <w:wordWrap w:val="0"/>
        <w:overflowPunct/>
        <w:topLinePunct w:val="0"/>
        <w:bidi w:val="0"/>
        <w:snapToGrid/>
        <w:spacing w:beforeAutospacing="0"/>
        <w:ind w:firstLine="640" w:firstLineChars="200"/>
        <w:rPr>
          <w:highlight w:val="none"/>
        </w:rPr>
      </w:pPr>
      <w:r>
        <w:rPr>
          <w:rFonts w:hint="eastAsia"/>
          <w:highlight w:val="none"/>
        </w:rPr>
        <w:t>一、本次采购定价形式采用询比采购的方式。</w:t>
      </w:r>
    </w:p>
    <w:p w14:paraId="63A7D9AB">
      <w:pPr>
        <w:pageBreakBefore w:val="0"/>
        <w:kinsoku/>
        <w:wordWrap w:val="0"/>
        <w:overflowPunct/>
        <w:topLinePunct w:val="0"/>
        <w:bidi w:val="0"/>
        <w:snapToGrid/>
        <w:spacing w:beforeAutospacing="0"/>
        <w:ind w:firstLine="640" w:firstLineChars="200"/>
        <w:rPr>
          <w:highlight w:val="none"/>
        </w:rPr>
      </w:pPr>
      <w:r>
        <w:rPr>
          <w:rFonts w:hint="eastAsia"/>
          <w:highlight w:val="none"/>
        </w:rPr>
        <w:t>二、供应商可以通过公司内外人员介绍、自荐、被邀请等多种方式报名参与；</w:t>
      </w:r>
    </w:p>
    <w:p w14:paraId="2FECBC64">
      <w:pPr>
        <w:pageBreakBefore w:val="0"/>
        <w:kinsoku/>
        <w:wordWrap w:val="0"/>
        <w:overflowPunct/>
        <w:topLinePunct w:val="0"/>
        <w:bidi w:val="0"/>
        <w:snapToGrid/>
        <w:spacing w:beforeAutospacing="0"/>
        <w:ind w:firstLine="640" w:firstLineChars="200"/>
        <w:rPr>
          <w:highlight w:val="none"/>
        </w:rPr>
      </w:pPr>
      <w:r>
        <w:rPr>
          <w:rFonts w:hint="eastAsia"/>
          <w:highlight w:val="none"/>
        </w:rPr>
        <w:t>三、供应商资质要求</w:t>
      </w:r>
    </w:p>
    <w:p w14:paraId="7038669F">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1.具有独立法人资格的企业； </w:t>
      </w:r>
    </w:p>
    <w:p w14:paraId="04528206">
      <w:pPr>
        <w:wordWrap w:val="0"/>
        <w:ind w:firstLine="640"/>
        <w:rPr>
          <w:highlight w:val="none"/>
        </w:rPr>
      </w:pPr>
      <w:r>
        <w:rPr>
          <w:rFonts w:hint="eastAsia"/>
          <w:highlight w:val="none"/>
        </w:rPr>
        <w:t>2.供应商营业执照经营范围须具有</w:t>
      </w:r>
      <w:r>
        <w:rPr>
          <w:rFonts w:hint="eastAsia"/>
          <w:highlight w:val="none"/>
          <w:lang w:val="en-US" w:eastAsia="zh-CN"/>
        </w:rPr>
        <w:t>电力工程监理乙级资质及以上</w:t>
      </w:r>
      <w:r>
        <w:rPr>
          <w:rFonts w:hint="eastAsia"/>
          <w:highlight w:val="none"/>
        </w:rPr>
        <w:t>，注册资本在200万元及以上。</w:t>
      </w:r>
    </w:p>
    <w:p w14:paraId="7249530E">
      <w:pPr>
        <w:wordWrap w:val="0"/>
        <w:ind w:firstLine="640"/>
        <w:rPr>
          <w:rFonts w:hint="eastAsia" w:ascii="Times New Roman" w:hAnsi="Times New Roman"/>
          <w:highlight w:val="none"/>
        </w:rPr>
      </w:pPr>
      <w:r>
        <w:rPr>
          <w:rFonts w:hint="eastAsia" w:ascii="Times New Roman" w:hAnsi="Times New Roman"/>
          <w:highlight w:val="none"/>
        </w:rPr>
        <w:t>3.供应商不得存在下列情形之一：</w:t>
      </w:r>
    </w:p>
    <w:p w14:paraId="00522C89">
      <w:pPr>
        <w:wordWrap w:val="0"/>
        <w:ind w:firstLine="640"/>
        <w:rPr>
          <w:rFonts w:hint="eastAsia" w:ascii="Times New Roman" w:hAnsi="Times New Roman"/>
          <w:highlight w:val="none"/>
        </w:rPr>
      </w:pPr>
      <w:r>
        <w:rPr>
          <w:rFonts w:hint="eastAsia" w:ascii="Times New Roman" w:hAnsi="Times New Roman"/>
          <w:highlight w:val="none"/>
        </w:rPr>
        <w:t>（1）处于被责令停产停业、暂扣或者吊销执照、暂扣或者吊销许可证、吊销资质证书状态；</w:t>
      </w:r>
    </w:p>
    <w:p w14:paraId="58963502">
      <w:pPr>
        <w:wordWrap w:val="0"/>
        <w:ind w:firstLine="640"/>
        <w:rPr>
          <w:rFonts w:hint="eastAsia" w:ascii="Times New Roman" w:hAnsi="Times New Roman"/>
          <w:highlight w:val="none"/>
        </w:rPr>
      </w:pPr>
      <w:r>
        <w:rPr>
          <w:rFonts w:hint="eastAsia" w:ascii="Times New Roman" w:hAnsi="Times New Roman"/>
          <w:highlight w:val="none"/>
        </w:rPr>
        <w:t>（2）进入清算程序，或被宣告破产，或其他丧失履约能力的情形；</w:t>
      </w:r>
    </w:p>
    <w:p w14:paraId="62498064">
      <w:pPr>
        <w:wordWrap w:val="0"/>
        <w:ind w:firstLine="640"/>
        <w:rPr>
          <w:rFonts w:hint="eastAsia" w:ascii="Times New Roman" w:hAnsi="Times New Roman"/>
          <w:highlight w:val="none"/>
        </w:rPr>
      </w:pPr>
      <w:r>
        <w:rPr>
          <w:rFonts w:hint="eastAsia" w:ascii="Times New Roman" w:hAnsi="Times New Roman"/>
          <w:highlight w:val="none"/>
        </w:rPr>
        <w:t>（3）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14:paraId="0236F9B3">
      <w:pPr>
        <w:wordWrap w:val="0"/>
        <w:ind w:firstLine="640"/>
        <w:rPr>
          <w:highlight w:val="none"/>
        </w:rPr>
      </w:pPr>
      <w:r>
        <w:rPr>
          <w:rFonts w:hint="eastAsia"/>
          <w:highlight w:val="none"/>
        </w:rPr>
        <w:t>4.本次采购不接受</w:t>
      </w:r>
      <w:r>
        <w:rPr>
          <w:rFonts w:hint="eastAsia"/>
          <w:highlight w:val="none"/>
          <w:lang w:val="en-US" w:eastAsia="zh-CN"/>
        </w:rPr>
        <w:t>任何形式的</w:t>
      </w:r>
      <w:r>
        <w:rPr>
          <w:rFonts w:hint="eastAsia"/>
          <w:highlight w:val="none"/>
        </w:rPr>
        <w:t>联合体投标</w:t>
      </w:r>
      <w:r>
        <w:rPr>
          <w:rFonts w:hint="eastAsia"/>
          <w:highlight w:val="none"/>
          <w:lang w:eastAsia="zh-CN"/>
        </w:rPr>
        <w:t>，</w:t>
      </w:r>
      <w:r>
        <w:rPr>
          <w:rFonts w:hint="eastAsia"/>
          <w:highlight w:val="none"/>
          <w:lang w:val="en-US" w:eastAsia="zh-CN"/>
        </w:rPr>
        <w:t>严禁围标串标行为</w:t>
      </w:r>
      <w:r>
        <w:rPr>
          <w:rFonts w:hint="eastAsia"/>
          <w:highlight w:val="none"/>
        </w:rPr>
        <w:t>。</w:t>
      </w:r>
    </w:p>
    <w:p w14:paraId="7C608B6F">
      <w:pPr>
        <w:pageBreakBefore w:val="0"/>
        <w:kinsoku/>
        <w:wordWrap w:val="0"/>
        <w:overflowPunct/>
        <w:topLinePunct w:val="0"/>
        <w:bidi w:val="0"/>
        <w:snapToGrid/>
        <w:spacing w:beforeAutospacing="0"/>
        <w:ind w:firstLine="640" w:firstLineChars="200"/>
        <w:rPr>
          <w:highlight w:val="none"/>
        </w:rPr>
      </w:pPr>
      <w:r>
        <w:rPr>
          <w:rFonts w:hint="eastAsia"/>
          <w:highlight w:val="none"/>
        </w:rPr>
        <w:t>5.</w:t>
      </w:r>
      <w:r>
        <w:rPr>
          <w:rFonts w:hint="eastAsia" w:ascii="仿宋_GB2312" w:hAnsi="仿宋_GB2312" w:cs="仿宋_GB2312"/>
          <w:color w:val="000000"/>
          <w:szCs w:val="32"/>
          <w:highlight w:val="none"/>
          <w:lang w:bidi="ar"/>
        </w:rPr>
        <w:t>未被列入中粮糖业供应商黑名单。</w:t>
      </w:r>
    </w:p>
    <w:p w14:paraId="27B30BA2">
      <w:pPr>
        <w:pageBreakBefore w:val="0"/>
        <w:kinsoku/>
        <w:wordWrap w:val="0"/>
        <w:overflowPunct/>
        <w:topLinePunct w:val="0"/>
        <w:bidi w:val="0"/>
        <w:snapToGrid/>
        <w:spacing w:beforeAutospacing="0"/>
        <w:ind w:firstLine="640" w:firstLineChars="200"/>
        <w:rPr>
          <w:highlight w:val="none"/>
        </w:rPr>
      </w:pPr>
      <w:r>
        <w:rPr>
          <w:rFonts w:hint="eastAsia"/>
          <w:highlight w:val="none"/>
        </w:rPr>
        <w:t>四、供应商注册须在202</w:t>
      </w:r>
      <w:r>
        <w:rPr>
          <w:rFonts w:hint="eastAsia"/>
          <w:highlight w:val="none"/>
          <w:lang w:val="en-US" w:eastAsia="zh-CN"/>
        </w:rPr>
        <w:t>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6</w:t>
      </w:r>
      <w:r>
        <w:rPr>
          <w:rFonts w:hint="eastAsia"/>
          <w:highlight w:val="none"/>
        </w:rPr>
        <w:t>日前到中粮糖业采购平台进行注册登记，通过审核的供应商才能够在eps系统内进行查看公告等业务操作；采购平台网址：</w:t>
      </w:r>
      <w:r>
        <w:rPr>
          <w:rStyle w:val="20"/>
          <w:rFonts w:ascii="宋体" w:hAnsi="宋体"/>
          <w:bCs/>
          <w:color w:val="auto"/>
          <w:sz w:val="24"/>
          <w:highlight w:val="none"/>
        </w:rPr>
        <w:t>https://eps.tunhe.com/Supplier/ForeSupplier/QwRegStepStart</w:t>
      </w:r>
      <w:r>
        <w:rPr>
          <w:rFonts w:hint="eastAsia"/>
          <w:highlight w:val="none"/>
        </w:rPr>
        <w:t>；</w:t>
      </w:r>
    </w:p>
    <w:p w14:paraId="772A4439">
      <w:pPr>
        <w:pageBreakBefore w:val="0"/>
        <w:kinsoku/>
        <w:wordWrap w:val="0"/>
        <w:overflowPunct/>
        <w:topLinePunct w:val="0"/>
        <w:bidi w:val="0"/>
        <w:snapToGrid/>
        <w:spacing w:beforeAutospacing="0"/>
        <w:ind w:firstLine="640" w:firstLineChars="200"/>
        <w:rPr>
          <w:highlight w:val="none"/>
        </w:rPr>
      </w:pPr>
      <w:r>
        <w:rPr>
          <w:rFonts w:hint="eastAsia"/>
          <w:highlight w:val="none"/>
        </w:rPr>
        <w:t>说明：采购工作小组对报送资料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审核小组人员联系，确认资质审核结果；</w:t>
      </w:r>
    </w:p>
    <w:p w14:paraId="600CC9BB">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五、初审通过的供应商于 </w:t>
      </w:r>
      <w:r>
        <w:rPr>
          <w:rFonts w:hint="eastAsia"/>
          <w:highlight w:val="none"/>
          <w:lang w:val="en-US" w:eastAsia="zh-CN"/>
        </w:rPr>
        <w:t>8</w:t>
      </w:r>
      <w:r>
        <w:rPr>
          <w:rFonts w:hint="eastAsia"/>
          <w:highlight w:val="none"/>
        </w:rPr>
        <w:t>月</w:t>
      </w:r>
      <w:r>
        <w:rPr>
          <w:rFonts w:hint="eastAsia"/>
          <w:highlight w:val="none"/>
          <w:lang w:val="en-US" w:eastAsia="zh-CN"/>
        </w:rPr>
        <w:t>6</w:t>
      </w:r>
      <w:r>
        <w:rPr>
          <w:rFonts w:hint="eastAsia"/>
          <w:highlight w:val="none"/>
        </w:rPr>
        <w:t>日</w:t>
      </w:r>
      <w:r>
        <w:rPr>
          <w:rFonts w:hint="eastAsia"/>
          <w:highlight w:val="none"/>
          <w:lang w:val="en-US" w:eastAsia="zh-CN"/>
        </w:rPr>
        <w:t>14点</w:t>
      </w:r>
      <w:r>
        <w:rPr>
          <w:rFonts w:hint="eastAsia"/>
          <w:highlight w:val="none"/>
        </w:rPr>
        <w:t>进行线上报价，</w:t>
      </w:r>
      <w:r>
        <w:rPr>
          <w:rFonts w:hint="eastAsia"/>
          <w:highlight w:val="none"/>
          <w:lang w:val="en-US" w:eastAsia="zh-CN"/>
        </w:rPr>
        <w:t>8</w:t>
      </w:r>
      <w:r>
        <w:rPr>
          <w:rFonts w:hint="eastAsia"/>
          <w:highlight w:val="none"/>
        </w:rPr>
        <w:t xml:space="preserve">月 </w:t>
      </w:r>
      <w:r>
        <w:rPr>
          <w:rFonts w:hint="eastAsia"/>
          <w:highlight w:val="none"/>
          <w:lang w:val="en-US" w:eastAsia="zh-CN"/>
        </w:rPr>
        <w:t>9</w:t>
      </w:r>
      <w:r>
        <w:rPr>
          <w:rFonts w:hint="eastAsia"/>
          <w:highlight w:val="none"/>
        </w:rPr>
        <w:t>日</w:t>
      </w:r>
      <w:r>
        <w:rPr>
          <w:rFonts w:hint="eastAsia"/>
          <w:highlight w:val="none"/>
          <w:lang w:val="en-US" w:eastAsia="zh-CN"/>
        </w:rPr>
        <w:t>14点</w:t>
      </w:r>
      <w:r>
        <w:rPr>
          <w:rFonts w:hint="eastAsia"/>
          <w:highlight w:val="none"/>
        </w:rPr>
        <w:t>报价截止，报价阶段需提供盖章版本营业执照复印件、资质证书、报价单、廉洁承诺书、法定代表人资格证明书或法定代表人授权书，以上材料需同时作为附件上传EPS采购系统；</w:t>
      </w:r>
    </w:p>
    <w:p w14:paraId="77073EDF">
      <w:pPr>
        <w:pageBreakBefore w:val="0"/>
        <w:kinsoku/>
        <w:wordWrap w:val="0"/>
        <w:overflowPunct/>
        <w:topLinePunct w:val="0"/>
        <w:bidi w:val="0"/>
        <w:snapToGrid/>
        <w:spacing w:beforeAutospacing="0"/>
        <w:ind w:firstLine="640" w:firstLineChars="200"/>
        <w:rPr>
          <w:highlight w:val="none"/>
        </w:rPr>
      </w:pPr>
      <w:r>
        <w:rPr>
          <w:rFonts w:hint="eastAsia"/>
          <w:highlight w:val="none"/>
        </w:rPr>
        <w:t>六、取消投标结果的权利：当投标人对采购招标文件做出应标后，如果采购方对所有投标人的价</w:t>
      </w:r>
      <w:r>
        <w:rPr>
          <w:rFonts w:hint="eastAsia"/>
          <w:szCs w:val="30"/>
          <w:highlight w:val="none"/>
        </w:rPr>
        <w:t>格或服务承诺与市场公允的服务质量、价格有偏差或仍高于</w:t>
      </w:r>
      <w:r>
        <w:rPr>
          <w:rFonts w:hint="eastAsia"/>
          <w:highlight w:val="none"/>
        </w:rPr>
        <w:t>市场价格的，或因采购方自身业务原因，采购方将保留取消部分或全部投标报价结果的权利。</w:t>
      </w:r>
    </w:p>
    <w:p w14:paraId="523E493C">
      <w:pPr>
        <w:spacing w:line="570" w:lineRule="exact"/>
        <w:ind w:firstLine="640" w:firstLineChars="200"/>
        <w:rPr>
          <w:rFonts w:hint="default" w:eastAsia="宋体"/>
          <w:sz w:val="32"/>
          <w:szCs w:val="32"/>
          <w:highlight w:val="none"/>
          <w:lang w:val="en-US" w:eastAsia="zh-CN"/>
        </w:rPr>
      </w:pPr>
      <w:r>
        <w:rPr>
          <w:rFonts w:hint="eastAsia" w:ascii="宋体" w:hAnsi="宋体"/>
          <w:bCs/>
          <w:sz w:val="32"/>
          <w:szCs w:val="32"/>
          <w:highlight w:val="none"/>
        </w:rPr>
        <w:t>七、按照《中华人民共和国招标投标法实施条例》及《中粮糖业关于串通投标行为认定管理细则(试行)》</w:t>
      </w:r>
      <w:r>
        <w:rPr>
          <w:rFonts w:hint="eastAsia" w:ascii="宋体" w:hAnsi="宋体"/>
          <w:bCs/>
          <w:sz w:val="32"/>
          <w:szCs w:val="32"/>
          <w:highlight w:val="none"/>
          <w:lang w:val="en-US" w:eastAsia="zh-CN"/>
        </w:rPr>
        <w:t>附件9</w:t>
      </w:r>
      <w:r>
        <w:rPr>
          <w:rFonts w:hint="eastAsia" w:ascii="宋体" w:hAnsi="宋体"/>
          <w:bCs/>
          <w:sz w:val="32"/>
          <w:szCs w:val="32"/>
          <w:highlight w:val="none"/>
        </w:rPr>
        <w:t>要求，禁止供应商在采购活动中的串通投标行为，一经发现，进行否决投标处理，如已经成交供应商，成交无效，中止合同履行，并按照</w:t>
      </w:r>
      <w:r>
        <w:rPr>
          <w:rFonts w:hint="eastAsia" w:ascii="宋体" w:hAnsi="宋体"/>
          <w:b/>
          <w:sz w:val="32"/>
          <w:szCs w:val="32"/>
          <w:highlight w:val="none"/>
        </w:rPr>
        <w:t>附件</w:t>
      </w:r>
      <w:r>
        <w:rPr>
          <w:rFonts w:hint="eastAsia" w:ascii="宋体" w:hAnsi="宋体"/>
          <w:b/>
          <w:sz w:val="32"/>
          <w:szCs w:val="32"/>
          <w:highlight w:val="none"/>
          <w:lang w:val="en-US" w:eastAsia="zh-CN"/>
        </w:rPr>
        <w:t>9</w:t>
      </w:r>
      <w:r>
        <w:rPr>
          <w:rFonts w:hint="eastAsia" w:ascii="宋体" w:hAnsi="宋体"/>
          <w:b/>
          <w:sz w:val="32"/>
          <w:szCs w:val="32"/>
          <w:highlight w:val="none"/>
        </w:rPr>
        <w:t>：</w:t>
      </w:r>
      <w:r>
        <w:rPr>
          <w:rFonts w:hint="eastAsia" w:ascii="宋体" w:hAnsi="宋体"/>
          <w:bCs/>
          <w:sz w:val="32"/>
          <w:szCs w:val="32"/>
          <w:highlight w:val="none"/>
        </w:rPr>
        <w:t>《中粮糖业关于串通投标行为认定管理细则(试行)》制度要求进行监督处理。</w:t>
      </w:r>
    </w:p>
    <w:p w14:paraId="5584018A">
      <w:pPr>
        <w:spacing w:line="570" w:lineRule="exact"/>
        <w:ind w:firstLine="640" w:firstLineChars="200"/>
        <w:rPr>
          <w:rFonts w:ascii="宋体" w:hAnsi="宋体"/>
          <w:bCs/>
          <w:sz w:val="32"/>
          <w:szCs w:val="32"/>
          <w:highlight w:val="none"/>
        </w:rPr>
      </w:pPr>
      <w:r>
        <w:rPr>
          <w:rFonts w:hint="eastAsia" w:ascii="宋体" w:hAnsi="宋体"/>
          <w:bCs/>
          <w:sz w:val="32"/>
          <w:szCs w:val="32"/>
          <w:highlight w:val="none"/>
          <w:lang w:val="en-US" w:eastAsia="zh-CN"/>
        </w:rPr>
        <w:t>八</w:t>
      </w:r>
      <w:r>
        <w:rPr>
          <w:rFonts w:hint="eastAsia" w:ascii="宋体" w:hAnsi="宋体"/>
          <w:bCs/>
          <w:sz w:val="32"/>
          <w:szCs w:val="32"/>
          <w:highlight w:val="none"/>
        </w:rPr>
        <w:t>、中粮糖业纪检监督联系方式</w:t>
      </w:r>
    </w:p>
    <w:p w14:paraId="4B7D6678">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1.中粮糖业纪检监督联系方式</w:t>
      </w:r>
    </w:p>
    <w:p w14:paraId="3193AD61">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邮寄地址：北京市朝阳区朝阳门南大街8号中粮福临门大厦9层纪委办公室收</w:t>
      </w:r>
    </w:p>
    <w:p w14:paraId="3373E585">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邮编：100020。</w:t>
      </w:r>
    </w:p>
    <w:p w14:paraId="22D8329A">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 xml:space="preserve">举报电话：010-85017235。 </w:t>
      </w:r>
    </w:p>
    <w:p w14:paraId="5AB8AE46">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2.采购项目监督人员联系方式</w:t>
      </w:r>
    </w:p>
    <w:p w14:paraId="312B59BE">
      <w:pPr>
        <w:spacing w:line="570" w:lineRule="exact"/>
        <w:ind w:firstLine="640" w:firstLineChars="200"/>
        <w:rPr>
          <w:rFonts w:hint="default" w:ascii="宋体" w:hAnsi="宋体"/>
          <w:bCs/>
          <w:sz w:val="32"/>
          <w:szCs w:val="32"/>
          <w:highlight w:val="none"/>
          <w:lang w:val="en-US" w:eastAsia="zh-CN"/>
        </w:rPr>
      </w:pPr>
      <w:r>
        <w:rPr>
          <w:rFonts w:hint="eastAsia" w:ascii="宋体" w:hAnsi="宋体"/>
          <w:bCs/>
          <w:sz w:val="32"/>
          <w:szCs w:val="32"/>
          <w:highlight w:val="none"/>
        </w:rPr>
        <w:t>姓名：</w:t>
      </w:r>
      <w:r>
        <w:rPr>
          <w:rFonts w:hint="eastAsia" w:ascii="宋体" w:hAnsi="宋体"/>
          <w:bCs/>
          <w:sz w:val="32"/>
          <w:szCs w:val="32"/>
          <w:highlight w:val="none"/>
          <w:lang w:val="en-US" w:eastAsia="zh-CN"/>
        </w:rPr>
        <w:t>张海荣</w:t>
      </w:r>
    </w:p>
    <w:p w14:paraId="2AFEE532">
      <w:pPr>
        <w:spacing w:line="570" w:lineRule="exact"/>
        <w:ind w:firstLine="640" w:firstLineChars="200"/>
        <w:rPr>
          <w:rFonts w:hint="eastAsia" w:ascii="宋体" w:hAnsi="宋体"/>
          <w:bCs/>
          <w:sz w:val="32"/>
          <w:szCs w:val="32"/>
          <w:highlight w:val="none"/>
        </w:rPr>
      </w:pPr>
      <w:r>
        <w:rPr>
          <w:rFonts w:hint="eastAsia" w:ascii="宋体" w:hAnsi="宋体"/>
          <w:bCs/>
          <w:sz w:val="32"/>
          <w:szCs w:val="32"/>
          <w:highlight w:val="none"/>
        </w:rPr>
        <w:t>联系电话：13330860044</w:t>
      </w:r>
    </w:p>
    <w:p w14:paraId="3C622BF0">
      <w:pPr>
        <w:spacing w:line="570" w:lineRule="exact"/>
        <w:ind w:firstLine="640" w:firstLineChars="200"/>
        <w:rPr>
          <w:rFonts w:hint="default" w:ascii="宋体" w:hAnsi="宋体"/>
          <w:bCs/>
          <w:sz w:val="32"/>
          <w:szCs w:val="32"/>
          <w:highlight w:val="none"/>
          <w:lang w:val="en-US" w:eastAsia="zh-CN"/>
        </w:rPr>
      </w:pPr>
      <w:r>
        <w:rPr>
          <w:rFonts w:hint="eastAsia" w:ascii="宋体" w:hAnsi="宋体"/>
          <w:bCs/>
          <w:sz w:val="32"/>
          <w:szCs w:val="32"/>
          <w:highlight w:val="none"/>
        </w:rPr>
        <w:t>电子邮箱：zhanghr1@cofco.com</w:t>
      </w:r>
    </w:p>
    <w:p w14:paraId="31F7A0D6">
      <w:pPr>
        <w:pageBreakBefore w:val="0"/>
        <w:kinsoku/>
        <w:wordWrap w:val="0"/>
        <w:overflowPunct/>
        <w:topLinePunct w:val="0"/>
        <w:bidi w:val="0"/>
        <w:snapToGrid/>
        <w:spacing w:beforeAutospacing="0"/>
        <w:ind w:firstLine="640" w:firstLineChars="200"/>
        <w:rPr>
          <w:highlight w:val="none"/>
        </w:rPr>
      </w:pPr>
    </w:p>
    <w:p w14:paraId="4A851606">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4B29A3D5">
      <w:pPr>
        <w:pStyle w:val="2"/>
        <w:pageBreakBefore w:val="0"/>
        <w:kinsoku/>
        <w:overflowPunct/>
        <w:topLinePunct w:val="0"/>
        <w:bidi w:val="0"/>
        <w:snapToGrid/>
        <w:spacing w:beforeAutospacing="0"/>
        <w:ind w:firstLine="643" w:firstLineChars="200"/>
        <w:rPr>
          <w:rFonts w:hint="eastAsia"/>
          <w:highlight w:val="none"/>
        </w:rPr>
      </w:pPr>
    </w:p>
    <w:p w14:paraId="7514D683">
      <w:pPr>
        <w:pStyle w:val="2"/>
        <w:pageBreakBefore w:val="0"/>
        <w:kinsoku/>
        <w:overflowPunct/>
        <w:topLinePunct w:val="0"/>
        <w:bidi w:val="0"/>
        <w:snapToGrid/>
        <w:spacing w:beforeAutospacing="0"/>
        <w:ind w:firstLine="643" w:firstLineChars="200"/>
        <w:rPr>
          <w:highlight w:val="none"/>
        </w:rPr>
      </w:pPr>
      <w:r>
        <w:rPr>
          <w:rFonts w:hint="eastAsia"/>
          <w:highlight w:val="none"/>
        </w:rPr>
        <w:t>第二章合同主要条款</w:t>
      </w:r>
    </w:p>
    <w:p w14:paraId="43557BBF">
      <w:pPr>
        <w:spacing w:line="360" w:lineRule="auto"/>
        <w:rPr>
          <w:rFonts w:hint="eastAsia" w:ascii="仿宋_GB2312" w:hAnsi="宋体" w:eastAsia="仿宋_GB2312"/>
          <w:b/>
          <w:bCs/>
          <w:sz w:val="30"/>
          <w:szCs w:val="30"/>
          <w:highlight w:val="none"/>
        </w:rPr>
      </w:pPr>
      <w:r>
        <w:rPr>
          <w:rFonts w:hint="eastAsia"/>
          <w:highlight w:val="none"/>
        </w:rPr>
        <w:t xml:space="preserve"> </w:t>
      </w:r>
    </w:p>
    <w:p w14:paraId="0D126435">
      <w:pPr>
        <w:spacing w:line="360" w:lineRule="auto"/>
        <w:jc w:val="center"/>
        <w:rPr>
          <w:rFonts w:hint="eastAsia" w:ascii="华文中宋" w:hAnsi="华文中宋" w:eastAsia="华文中宋"/>
          <w:b/>
          <w:bCs/>
          <w:sz w:val="48"/>
          <w:szCs w:val="48"/>
          <w:highlight w:val="none"/>
        </w:rPr>
      </w:pPr>
    </w:p>
    <w:p w14:paraId="7ABDCDBB">
      <w:pPr>
        <w:spacing w:line="360" w:lineRule="auto"/>
        <w:jc w:val="center"/>
        <w:rPr>
          <w:rFonts w:hint="eastAsia" w:ascii="华文中宋" w:hAnsi="华文中宋" w:eastAsia="华文中宋"/>
          <w:b/>
          <w:bCs/>
          <w:sz w:val="48"/>
          <w:szCs w:val="48"/>
          <w:highlight w:val="none"/>
        </w:rPr>
      </w:pPr>
    </w:p>
    <w:p w14:paraId="3111CCB1">
      <w:pPr>
        <w:spacing w:line="360" w:lineRule="auto"/>
        <w:jc w:val="center"/>
        <w:rPr>
          <w:rFonts w:hint="eastAsia" w:ascii="华文中宋" w:hAnsi="华文中宋" w:eastAsia="华文中宋"/>
          <w:b/>
          <w:bCs/>
          <w:sz w:val="52"/>
          <w:szCs w:val="52"/>
          <w:highlight w:val="none"/>
        </w:rPr>
      </w:pPr>
      <w:r>
        <w:rPr>
          <w:rFonts w:hint="eastAsia" w:ascii="华文中宋" w:hAnsi="华文中宋" w:eastAsia="华文中宋"/>
          <w:b/>
          <w:bCs/>
          <w:sz w:val="52"/>
          <w:szCs w:val="52"/>
          <w:highlight w:val="none"/>
        </w:rPr>
        <w:t>建设工程监理合同</w:t>
      </w:r>
    </w:p>
    <w:p w14:paraId="2431D1D6">
      <w:pPr>
        <w:spacing w:line="360" w:lineRule="auto"/>
        <w:jc w:val="center"/>
        <w:rPr>
          <w:rFonts w:hint="eastAsia" w:ascii="华文楷体" w:hAnsi="华文楷体" w:eastAsia="华文楷体"/>
          <w:b/>
          <w:bCs/>
          <w:sz w:val="52"/>
          <w:szCs w:val="52"/>
          <w:highlight w:val="none"/>
        </w:rPr>
      </w:pPr>
    </w:p>
    <w:p w14:paraId="6EE87322">
      <w:pPr>
        <w:spacing w:line="360" w:lineRule="auto"/>
        <w:jc w:val="center"/>
        <w:rPr>
          <w:rFonts w:hint="eastAsia" w:ascii="仿宋_GB2312" w:hAnsi="宋体" w:eastAsia="仿宋_GB2312"/>
          <w:bCs/>
          <w:sz w:val="48"/>
          <w:szCs w:val="48"/>
          <w:highlight w:val="none"/>
        </w:rPr>
      </w:pPr>
    </w:p>
    <w:p w14:paraId="3D6835F0">
      <w:pPr>
        <w:spacing w:line="360" w:lineRule="auto"/>
        <w:jc w:val="center"/>
        <w:rPr>
          <w:rFonts w:hint="eastAsia" w:ascii="仿宋_GB2312" w:hAnsi="宋体" w:eastAsia="仿宋_GB2312"/>
          <w:b/>
          <w:bCs/>
          <w:sz w:val="24"/>
          <w:highlight w:val="none"/>
        </w:rPr>
      </w:pPr>
    </w:p>
    <w:p w14:paraId="4F609DC6">
      <w:pPr>
        <w:spacing w:line="360" w:lineRule="auto"/>
        <w:jc w:val="center"/>
        <w:rPr>
          <w:rFonts w:hint="eastAsia" w:ascii="仿宋_GB2312" w:hAnsi="宋体" w:eastAsia="仿宋_GB2312"/>
          <w:b/>
          <w:bCs/>
          <w:sz w:val="24"/>
          <w:highlight w:val="none"/>
        </w:rPr>
      </w:pPr>
    </w:p>
    <w:p w14:paraId="1E9BF9B1">
      <w:pPr>
        <w:spacing w:line="360" w:lineRule="auto"/>
        <w:jc w:val="center"/>
        <w:rPr>
          <w:rFonts w:hint="eastAsia" w:ascii="仿宋_GB2312" w:hAnsi="宋体" w:eastAsia="仿宋_GB2312"/>
          <w:b/>
          <w:bCs/>
          <w:sz w:val="24"/>
          <w:highlight w:val="none"/>
        </w:rPr>
      </w:pPr>
    </w:p>
    <w:p w14:paraId="52FA1EF8">
      <w:pPr>
        <w:spacing w:line="360" w:lineRule="auto"/>
        <w:jc w:val="center"/>
        <w:rPr>
          <w:rFonts w:hint="eastAsia" w:ascii="仿宋_GB2312" w:hAnsi="宋体" w:eastAsia="仿宋_GB2312"/>
          <w:b/>
          <w:bCs/>
          <w:sz w:val="24"/>
          <w:highlight w:val="none"/>
        </w:rPr>
      </w:pPr>
    </w:p>
    <w:p w14:paraId="7502D6E1">
      <w:pPr>
        <w:spacing w:line="360" w:lineRule="auto"/>
        <w:jc w:val="center"/>
        <w:rPr>
          <w:rFonts w:hint="eastAsia" w:ascii="仿宋_GB2312" w:hAnsi="宋体" w:eastAsia="仿宋_GB2312"/>
          <w:b/>
          <w:bCs/>
          <w:sz w:val="24"/>
          <w:highlight w:val="none"/>
        </w:rPr>
      </w:pPr>
    </w:p>
    <w:p w14:paraId="1DD8419E">
      <w:pPr>
        <w:spacing w:line="360" w:lineRule="auto"/>
        <w:jc w:val="center"/>
        <w:rPr>
          <w:rFonts w:hint="eastAsia" w:ascii="仿宋_GB2312" w:hAnsi="宋体" w:eastAsia="仿宋_GB2312"/>
          <w:b/>
          <w:bCs/>
          <w:sz w:val="24"/>
          <w:highlight w:val="none"/>
        </w:rPr>
      </w:pPr>
    </w:p>
    <w:p w14:paraId="47D6EE3D">
      <w:pPr>
        <w:spacing w:line="360" w:lineRule="auto"/>
        <w:jc w:val="center"/>
        <w:rPr>
          <w:rFonts w:hint="eastAsia" w:ascii="仿宋_GB2312" w:hAnsi="宋体" w:eastAsia="仿宋_GB2312"/>
          <w:b/>
          <w:bCs/>
          <w:sz w:val="24"/>
          <w:highlight w:val="none"/>
        </w:rPr>
      </w:pPr>
    </w:p>
    <w:p w14:paraId="0F63052F">
      <w:pPr>
        <w:spacing w:line="360" w:lineRule="auto"/>
        <w:jc w:val="center"/>
        <w:rPr>
          <w:rFonts w:hint="eastAsia" w:ascii="仿宋_GB2312" w:hAnsi="宋体" w:eastAsia="仿宋_GB2312"/>
          <w:b/>
          <w:bCs/>
          <w:sz w:val="24"/>
          <w:highlight w:val="none"/>
        </w:rPr>
      </w:pPr>
    </w:p>
    <w:p w14:paraId="5C66558A">
      <w:pPr>
        <w:spacing w:line="360" w:lineRule="auto"/>
        <w:jc w:val="center"/>
        <w:rPr>
          <w:rFonts w:hint="eastAsia" w:ascii="仿宋_GB2312" w:hAnsi="宋体" w:eastAsia="仿宋_GB2312"/>
          <w:b/>
          <w:bCs/>
          <w:sz w:val="24"/>
          <w:highlight w:val="none"/>
        </w:rPr>
      </w:pPr>
    </w:p>
    <w:p w14:paraId="286BA287">
      <w:pPr>
        <w:spacing w:line="360" w:lineRule="auto"/>
        <w:rPr>
          <w:rFonts w:hint="eastAsia" w:ascii="仿宋_GB2312" w:hAnsi="宋体" w:eastAsia="仿宋_GB2312"/>
          <w:b/>
          <w:bCs/>
          <w:sz w:val="24"/>
          <w:highlight w:val="none"/>
        </w:rPr>
      </w:pPr>
    </w:p>
    <w:p w14:paraId="6A7199D3">
      <w:pPr>
        <w:spacing w:line="360" w:lineRule="auto"/>
        <w:rPr>
          <w:rFonts w:hint="eastAsia" w:ascii="仿宋_GB2312" w:hAnsi="宋体" w:eastAsia="仿宋_GB2312"/>
          <w:b/>
          <w:bCs/>
          <w:sz w:val="24"/>
          <w:highlight w:val="none"/>
        </w:rPr>
      </w:pPr>
    </w:p>
    <w:p w14:paraId="015BC374">
      <w:pPr>
        <w:spacing w:line="360" w:lineRule="auto"/>
        <w:jc w:val="center"/>
        <w:rPr>
          <w:rFonts w:hint="eastAsia" w:ascii="华文中宋" w:hAnsi="华文中宋" w:eastAsia="华文中宋"/>
          <w:b/>
          <w:bCs/>
          <w:sz w:val="24"/>
          <w:highlight w:val="none"/>
        </w:rPr>
      </w:pPr>
    </w:p>
    <w:p w14:paraId="39E8663E">
      <w:pPr>
        <w:spacing w:line="360" w:lineRule="auto"/>
        <w:jc w:val="center"/>
        <w:rPr>
          <w:rFonts w:hint="eastAsia" w:ascii="仿宋_GB2312" w:hAnsi="宋体" w:eastAsia="仿宋_GB2312"/>
          <w:b/>
          <w:bCs/>
          <w:sz w:val="32"/>
          <w:szCs w:val="32"/>
          <w:highlight w:val="none"/>
        </w:rPr>
      </w:pPr>
      <w:r>
        <w:rPr>
          <w:rFonts w:hint="eastAsia" w:ascii="华文中宋" w:hAnsi="华文中宋" w:eastAsia="华文中宋"/>
          <w:b/>
          <w:bCs/>
          <w:sz w:val="32"/>
          <w:szCs w:val="32"/>
          <w:highlight w:val="none"/>
        </w:rPr>
        <w:t xml:space="preserve"> </w:t>
      </w:r>
    </w:p>
    <w:p w14:paraId="614A1E68">
      <w:pPr>
        <w:tabs>
          <w:tab w:val="left" w:pos="3120"/>
        </w:tabs>
        <w:spacing w:line="360" w:lineRule="auto"/>
        <w:ind w:firstLine="2643" w:firstLineChars="600"/>
        <w:rPr>
          <w:rFonts w:hint="eastAsia" w:ascii="华文中宋" w:hAnsi="华文中宋" w:eastAsia="华文中宋"/>
          <w:b/>
          <w:bCs/>
          <w:sz w:val="44"/>
          <w:szCs w:val="44"/>
          <w:highlight w:val="none"/>
        </w:rPr>
      </w:pPr>
    </w:p>
    <w:p w14:paraId="61690843">
      <w:pPr>
        <w:tabs>
          <w:tab w:val="left" w:pos="3120"/>
        </w:tabs>
        <w:spacing w:line="360" w:lineRule="auto"/>
        <w:ind w:firstLine="2643" w:firstLineChars="600"/>
        <w:rPr>
          <w:rFonts w:hint="eastAsia" w:ascii="华文中宋" w:hAnsi="华文中宋" w:eastAsia="华文中宋"/>
          <w:b/>
          <w:bCs/>
          <w:sz w:val="44"/>
          <w:szCs w:val="44"/>
          <w:highlight w:val="none"/>
        </w:rPr>
      </w:pPr>
    </w:p>
    <w:p w14:paraId="4811BF60">
      <w:pPr>
        <w:tabs>
          <w:tab w:val="left" w:pos="3120"/>
        </w:tabs>
        <w:spacing w:line="360" w:lineRule="auto"/>
        <w:ind w:firstLine="2643" w:firstLineChars="600"/>
        <w:rPr>
          <w:rFonts w:hint="eastAsia" w:ascii="华文中宋" w:hAnsi="华文中宋" w:eastAsia="华文中宋"/>
          <w:b/>
          <w:bCs/>
          <w:sz w:val="44"/>
          <w:szCs w:val="44"/>
          <w:highlight w:val="none"/>
        </w:rPr>
      </w:pPr>
      <w:r>
        <w:rPr>
          <w:rFonts w:hint="eastAsia" w:ascii="华文中宋" w:hAnsi="华文中宋" w:eastAsia="华文中宋"/>
          <w:b/>
          <w:bCs/>
          <w:sz w:val="44"/>
          <w:szCs w:val="44"/>
          <w:highlight w:val="none"/>
        </w:rPr>
        <w:t>第一部分  协议书</w:t>
      </w:r>
    </w:p>
    <w:p w14:paraId="42A6626E">
      <w:pPr>
        <w:tabs>
          <w:tab w:val="left" w:pos="3120"/>
        </w:tabs>
        <w:spacing w:line="360" w:lineRule="auto"/>
        <w:ind w:firstLine="881" w:firstLineChars="200"/>
        <w:jc w:val="center"/>
        <w:rPr>
          <w:rFonts w:hint="eastAsia" w:ascii="华文中宋" w:hAnsi="华文中宋" w:eastAsia="华文中宋"/>
          <w:b/>
          <w:bCs/>
          <w:sz w:val="44"/>
          <w:szCs w:val="44"/>
          <w:highlight w:val="none"/>
        </w:rPr>
      </w:pPr>
    </w:p>
    <w:p w14:paraId="56F3DEF8">
      <w:pPr>
        <w:adjustRightInd w:val="0"/>
        <w:snapToGrid w:val="0"/>
        <w:spacing w:line="360" w:lineRule="auto"/>
        <w:ind w:firstLine="326" w:firstLineChars="250"/>
        <w:rPr>
          <w:rFonts w:hint="eastAsia" w:ascii="仿宋_GB2312" w:hAnsi="宋体" w:eastAsia="仿宋_GB2312"/>
          <w:b/>
          <w:sz w:val="13"/>
          <w:szCs w:val="13"/>
          <w:highlight w:val="none"/>
        </w:rPr>
      </w:pPr>
    </w:p>
    <w:p w14:paraId="014B4A7B">
      <w:pPr>
        <w:adjustRightInd w:val="0"/>
        <w:snapToGrid w:val="0"/>
        <w:spacing w:line="360" w:lineRule="auto"/>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委托人（全称）：[</w:t>
      </w:r>
      <w:r>
        <w:rPr>
          <w:rFonts w:hint="eastAsia" w:ascii="仿宋_GB2312" w:hAnsi="宋体" w:eastAsia="仿宋_GB2312"/>
          <w:b/>
          <w:sz w:val="32"/>
          <w:szCs w:val="32"/>
          <w:highlight w:val="none"/>
          <w:u w:val="single"/>
        </w:rPr>
        <w:t xml:space="preserve"> </w:t>
      </w:r>
      <w:r>
        <w:rPr>
          <w:rFonts w:hint="eastAsia" w:ascii="仿宋_GB2312" w:hAnsi="宋体"/>
          <w:b/>
          <w:sz w:val="32"/>
          <w:szCs w:val="32"/>
          <w:highlight w:val="none"/>
          <w:u w:val="single"/>
          <w:lang w:val="en-US" w:eastAsia="zh-CN"/>
        </w:rPr>
        <w:t>四川中糖物流有限公司</w:t>
      </w:r>
      <w:r>
        <w:rPr>
          <w:rFonts w:hint="eastAsia" w:ascii="仿宋_GB2312" w:hAnsi="宋体" w:eastAsia="仿宋_GB2312"/>
          <w:b/>
          <w:sz w:val="32"/>
          <w:szCs w:val="32"/>
          <w:highlight w:val="none"/>
          <w:u w:val="single"/>
        </w:rPr>
        <w:t xml:space="preserve"> ]     </w:t>
      </w:r>
    </w:p>
    <w:p w14:paraId="2D4F100C">
      <w:pPr>
        <w:adjustRightInd w:val="0"/>
        <w:snapToGrid w:val="0"/>
        <w:spacing w:line="360" w:lineRule="auto"/>
        <w:ind w:firstLine="643" w:firstLineChars="200"/>
        <w:rPr>
          <w:rFonts w:hint="eastAsia" w:ascii="仿宋_GB2312" w:hAnsi="宋体" w:eastAsia="仿宋_GB2312"/>
          <w:sz w:val="32"/>
          <w:szCs w:val="32"/>
          <w:highlight w:val="none"/>
        </w:rPr>
      </w:pPr>
      <w:r>
        <w:rPr>
          <w:rFonts w:hint="eastAsia" w:ascii="仿宋_GB2312" w:hAnsi="宋体" w:eastAsia="仿宋_GB2312"/>
          <w:b/>
          <w:sz w:val="32"/>
          <w:szCs w:val="32"/>
          <w:highlight w:val="none"/>
        </w:rPr>
        <w:t>监理人（全称）：[</w:t>
      </w:r>
      <w:r>
        <w:rPr>
          <w:rFonts w:hint="eastAsia" w:ascii="仿宋_GB2312" w:hAnsi="宋体" w:eastAsia="仿宋_GB2312"/>
          <w:b/>
          <w:sz w:val="32"/>
          <w:szCs w:val="32"/>
          <w:highlight w:val="none"/>
          <w:u w:val="single"/>
        </w:rPr>
        <w:t xml:space="preserve">                   ]  </w:t>
      </w:r>
      <w:r>
        <w:rPr>
          <w:rFonts w:hint="eastAsia" w:ascii="仿宋_GB2312" w:hAnsi="宋体" w:eastAsia="仿宋_GB2312"/>
          <w:sz w:val="32"/>
          <w:szCs w:val="32"/>
          <w:highlight w:val="none"/>
          <w:u w:val="single"/>
        </w:rPr>
        <w:t xml:space="preserve">   </w:t>
      </w:r>
    </w:p>
    <w:p w14:paraId="07CEA772">
      <w:pPr>
        <w:adjustRightInd w:val="0"/>
        <w:snapToGrid w:val="0"/>
        <w:spacing w:line="360" w:lineRule="auto"/>
        <w:ind w:firstLine="640" w:firstLineChars="200"/>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rPr>
        <w:t>根据《中华人民共和国</w:t>
      </w:r>
      <w:r>
        <w:rPr>
          <w:rFonts w:hint="eastAsia" w:ascii="仿宋_GB2312" w:hAnsi="宋体"/>
          <w:sz w:val="32"/>
          <w:szCs w:val="32"/>
          <w:highlight w:val="none"/>
          <w:lang w:val="en-US" w:eastAsia="zh-CN"/>
        </w:rPr>
        <w:t>民法典</w:t>
      </w:r>
      <w:r>
        <w:rPr>
          <w:rFonts w:hint="eastAsia" w:ascii="仿宋_GB2312" w:hAnsi="宋体" w:eastAsia="仿宋_GB2312"/>
          <w:sz w:val="32"/>
          <w:szCs w:val="32"/>
          <w:highlight w:val="none"/>
        </w:rPr>
        <w:t>》、《中华人民共和国建筑法》及其他有关法律、法规，遵循平等、自愿、公平和诚信的原则，双方就下述工程委托监理与相关服务事项协商一致，订立本合同。</w:t>
      </w:r>
    </w:p>
    <w:p w14:paraId="6A4EA171">
      <w:pPr>
        <w:spacing w:line="360" w:lineRule="auto"/>
        <w:ind w:firstLine="636" w:firstLineChars="198"/>
        <w:outlineLvl w:val="0"/>
        <w:rPr>
          <w:rFonts w:hint="eastAsia" w:ascii="仿宋_GB2312" w:hAnsi="华文楷体" w:eastAsia="仿宋_GB2312"/>
          <w:b/>
          <w:sz w:val="32"/>
          <w:szCs w:val="32"/>
          <w:highlight w:val="none"/>
        </w:rPr>
      </w:pPr>
      <w:r>
        <w:rPr>
          <w:rFonts w:hint="eastAsia" w:ascii="仿宋_GB2312" w:hAnsi="华文楷体" w:eastAsia="仿宋_GB2312"/>
          <w:b/>
          <w:sz w:val="32"/>
          <w:szCs w:val="32"/>
          <w:highlight w:val="none"/>
        </w:rPr>
        <w:t>一、工程概况</w:t>
      </w:r>
    </w:p>
    <w:p w14:paraId="784A967E">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工程名称：</w:t>
      </w:r>
      <w:r>
        <w:rPr>
          <w:rFonts w:hint="eastAsia" w:ascii="仿宋_GB2312" w:hAnsi="宋体" w:eastAsia="仿宋_GB2312"/>
          <w:sz w:val="32"/>
          <w:szCs w:val="32"/>
          <w:highlight w:val="none"/>
          <w:u w:val="single"/>
        </w:rPr>
        <w:t>[</w:t>
      </w:r>
      <w:r>
        <w:rPr>
          <w:rFonts w:hint="eastAsia" w:ascii="仿宋_GB2312" w:hAnsi="宋体"/>
          <w:b/>
          <w:sz w:val="32"/>
          <w:szCs w:val="32"/>
          <w:highlight w:val="none"/>
          <w:u w:val="single"/>
          <w:lang w:val="en-US" w:eastAsia="zh-CN"/>
        </w:rPr>
        <w:t xml:space="preserve"> 2024年四川中糖物流有限公司高低压配电改造工程</w:t>
      </w:r>
      <w:r>
        <w:rPr>
          <w:rFonts w:hint="eastAsia" w:ascii="仿宋_GB2312" w:hAnsi="宋体" w:eastAsia="仿宋_GB2312"/>
          <w:sz w:val="24"/>
          <w:highlight w:val="none"/>
          <w:u w:val="single"/>
        </w:rPr>
        <w:t xml:space="preserve"> </w:t>
      </w:r>
      <w:r>
        <w:rPr>
          <w:rFonts w:hint="eastAsia" w:ascii="仿宋_GB2312" w:hAnsi="宋体" w:eastAsia="仿宋_GB2312"/>
          <w:sz w:val="32"/>
          <w:szCs w:val="32"/>
          <w:highlight w:val="none"/>
          <w:u w:val="single"/>
        </w:rPr>
        <w:t>]</w:t>
      </w:r>
      <w:r>
        <w:rPr>
          <w:rFonts w:hint="eastAsia" w:ascii="仿宋_GB2312" w:hAnsi="宋体" w:eastAsia="仿宋_GB2312"/>
          <w:sz w:val="24"/>
          <w:highlight w:val="none"/>
        </w:rPr>
        <w:t>；</w:t>
      </w:r>
    </w:p>
    <w:p w14:paraId="05471BC2">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工程地点：[</w:t>
      </w:r>
      <w:r>
        <w:rPr>
          <w:rFonts w:hint="eastAsia" w:ascii="仿宋_GB2312" w:hAnsi="宋体" w:eastAsia="仿宋_GB2312"/>
          <w:sz w:val="24"/>
          <w:highlight w:val="none"/>
          <w:u w:val="single"/>
        </w:rPr>
        <w:t xml:space="preserve"> </w:t>
      </w:r>
      <w:r>
        <w:rPr>
          <w:rFonts w:hint="eastAsia" w:ascii="仿宋_GB2312" w:hAnsi="宋体"/>
          <w:b/>
          <w:sz w:val="32"/>
          <w:szCs w:val="32"/>
          <w:highlight w:val="none"/>
          <w:u w:val="single"/>
          <w:lang w:val="en-US" w:eastAsia="zh-CN"/>
        </w:rPr>
        <w:t xml:space="preserve">德阳市南海路东段2号 </w:t>
      </w:r>
      <w:r>
        <w:rPr>
          <w:rFonts w:hint="eastAsia" w:ascii="仿宋_GB2312" w:hAnsi="宋体" w:eastAsia="仿宋_GB2312"/>
          <w:sz w:val="32"/>
          <w:szCs w:val="32"/>
          <w:highlight w:val="none"/>
          <w:u w:val="single"/>
        </w:rPr>
        <w:t>]</w:t>
      </w:r>
      <w:r>
        <w:rPr>
          <w:rFonts w:hint="eastAsia" w:ascii="仿宋_GB2312" w:hAnsi="宋体" w:eastAsia="仿宋_GB2312"/>
          <w:sz w:val="24"/>
          <w:highlight w:val="none"/>
        </w:rPr>
        <w:t>；</w:t>
      </w:r>
    </w:p>
    <w:p w14:paraId="58CF5146">
      <w:pPr>
        <w:adjustRightInd w:val="0"/>
        <w:snapToGrid w:val="0"/>
        <w:spacing w:line="360" w:lineRule="auto"/>
        <w:ind w:firstLine="633" w:firstLineChars="198"/>
        <w:jc w:val="left"/>
        <w:rPr>
          <w:rFonts w:hint="eastAsia" w:ascii="仿宋_GB2312" w:hAnsi="宋体" w:eastAsia="仿宋_GB2312"/>
          <w:sz w:val="24"/>
          <w:highlight w:val="none"/>
        </w:rPr>
      </w:pPr>
      <w:r>
        <w:rPr>
          <w:rFonts w:hint="eastAsia" w:ascii="仿宋_GB2312"/>
          <w:sz w:val="32"/>
          <w:szCs w:val="32"/>
          <w:highlight w:val="none"/>
          <w:lang w:val="en-US" w:eastAsia="zh-CN"/>
        </w:rPr>
        <w:t>3</w:t>
      </w:r>
      <w:r>
        <w:rPr>
          <w:rFonts w:hint="eastAsia" w:ascii="仿宋_GB2312" w:eastAsia="仿宋_GB2312"/>
          <w:sz w:val="32"/>
          <w:szCs w:val="32"/>
          <w:highlight w:val="none"/>
        </w:rPr>
        <w:t xml:space="preserve">. </w:t>
      </w:r>
      <w:r>
        <w:rPr>
          <w:rFonts w:hint="eastAsia" w:ascii="仿宋_GB2312" w:hAnsi="宋体" w:eastAsia="仿宋_GB2312"/>
          <w:sz w:val="32"/>
          <w:szCs w:val="32"/>
          <w:highlight w:val="none"/>
        </w:rPr>
        <w:t>工程</w:t>
      </w:r>
      <w:r>
        <w:rPr>
          <w:rFonts w:hint="eastAsia" w:ascii="仿宋_GB2312" w:hAnsi="宋体" w:eastAsia="仿宋_GB2312"/>
          <w:kern w:val="0"/>
          <w:sz w:val="32"/>
          <w:szCs w:val="32"/>
          <w:highlight w:val="none"/>
        </w:rPr>
        <w:t>概算投资</w:t>
      </w:r>
      <w:r>
        <w:rPr>
          <w:rFonts w:hint="eastAsia" w:ascii="仿宋_GB2312" w:hAnsi="宋体" w:eastAsia="仿宋_GB2312" w:cs="宋体"/>
          <w:kern w:val="0"/>
          <w:sz w:val="32"/>
          <w:szCs w:val="32"/>
          <w:highlight w:val="none"/>
        </w:rPr>
        <w:t>额或建筑安装工程费</w:t>
      </w:r>
      <w:r>
        <w:rPr>
          <w:rFonts w:hint="eastAsia" w:ascii="仿宋_GB2312" w:hAnsi="宋体" w:eastAsia="仿宋_GB2312"/>
          <w:sz w:val="32"/>
          <w:szCs w:val="32"/>
          <w:highlight w:val="none"/>
        </w:rPr>
        <w:t>：[</w:t>
      </w:r>
      <w:r>
        <w:rPr>
          <w:rFonts w:hint="eastAsia" w:ascii="仿宋_GB2312" w:hAnsi="宋体" w:eastAsia="仿宋_GB2312"/>
          <w:sz w:val="24"/>
          <w:highlight w:val="none"/>
          <w:u w:val="single"/>
        </w:rPr>
        <w:t xml:space="preserve"> </w:t>
      </w:r>
      <w:r>
        <w:rPr>
          <w:rFonts w:hint="eastAsia" w:ascii="仿宋_GB2312" w:hAnsi="宋体"/>
          <w:b/>
          <w:sz w:val="32"/>
          <w:szCs w:val="32"/>
          <w:highlight w:val="none"/>
          <w:u w:val="single"/>
          <w:lang w:val="en-US" w:eastAsia="zh-CN"/>
        </w:rPr>
        <w:t>240万</w:t>
      </w:r>
      <w:r>
        <w:rPr>
          <w:rFonts w:hint="eastAsia" w:ascii="仿宋_GB2312" w:hAnsi="宋体" w:eastAsia="仿宋_GB2312"/>
          <w:sz w:val="24"/>
          <w:highlight w:val="none"/>
          <w:u w:val="single"/>
        </w:rPr>
        <w:t xml:space="preserve"> </w:t>
      </w:r>
      <w:r>
        <w:rPr>
          <w:rFonts w:hint="eastAsia" w:ascii="仿宋_GB2312" w:hAnsi="宋体" w:eastAsia="仿宋_GB2312"/>
          <w:sz w:val="32"/>
          <w:szCs w:val="32"/>
          <w:highlight w:val="none"/>
          <w:u w:val="single"/>
        </w:rPr>
        <w:t>]</w:t>
      </w:r>
      <w:r>
        <w:rPr>
          <w:rFonts w:hint="eastAsia" w:ascii="仿宋_GB2312" w:hAnsi="宋体" w:eastAsia="仿宋_GB2312"/>
          <w:sz w:val="24"/>
          <w:highlight w:val="none"/>
        </w:rPr>
        <w:t>。</w:t>
      </w:r>
    </w:p>
    <w:p w14:paraId="1768598A">
      <w:pPr>
        <w:spacing w:line="360" w:lineRule="auto"/>
        <w:ind w:firstLine="636" w:firstLineChars="198"/>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二、词语限定</w:t>
      </w:r>
    </w:p>
    <w:p w14:paraId="612E563A">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协议书中相关词语的含义与通用条件中的定义与解释相同。</w:t>
      </w:r>
    </w:p>
    <w:p w14:paraId="047F12D4">
      <w:pPr>
        <w:spacing w:line="360" w:lineRule="auto"/>
        <w:ind w:firstLine="636" w:firstLineChars="198"/>
        <w:outlineLvl w:val="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三、组成本合同的文件</w:t>
      </w:r>
    </w:p>
    <w:p w14:paraId="4437BFC9">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协议书；</w:t>
      </w:r>
    </w:p>
    <w:p w14:paraId="24C192BA">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中标通知书；</w:t>
      </w:r>
    </w:p>
    <w:p w14:paraId="1EA42FC6">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3. 投标文件；</w:t>
      </w:r>
    </w:p>
    <w:p w14:paraId="48E6DD92">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sz w:val="32"/>
          <w:szCs w:val="32"/>
          <w:highlight w:val="none"/>
          <w:lang w:val="en-US" w:eastAsia="zh-CN"/>
        </w:rPr>
        <w:t>4</w:t>
      </w:r>
      <w:r>
        <w:rPr>
          <w:rFonts w:hint="eastAsia" w:ascii="仿宋_GB2312" w:eastAsia="仿宋_GB2312"/>
          <w:sz w:val="32"/>
          <w:szCs w:val="32"/>
          <w:highlight w:val="none"/>
        </w:rPr>
        <w:t xml:space="preserve">. </w:t>
      </w:r>
      <w:r>
        <w:rPr>
          <w:rFonts w:hint="eastAsia" w:ascii="仿宋_GB2312" w:hAnsi="宋体" w:eastAsia="仿宋_GB2312"/>
          <w:sz w:val="32"/>
          <w:szCs w:val="32"/>
          <w:highlight w:val="none"/>
        </w:rPr>
        <w:t>通用条件；</w:t>
      </w:r>
    </w:p>
    <w:p w14:paraId="3ADBA106">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本合同签订后，双方依法签订的补充协议也是本合同文件的组成部分。</w:t>
      </w:r>
    </w:p>
    <w:p w14:paraId="1008CA76">
      <w:pPr>
        <w:spacing w:line="360" w:lineRule="auto"/>
        <w:ind w:firstLine="636" w:firstLineChars="198"/>
        <w:outlineLvl w:val="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四、总监理工程师</w:t>
      </w:r>
    </w:p>
    <w:p w14:paraId="30E854A4">
      <w:pPr>
        <w:adjustRightInd w:val="0"/>
        <w:snapToGrid w:val="0"/>
        <w:spacing w:line="360" w:lineRule="auto"/>
        <w:ind w:firstLine="633" w:firstLineChars="198"/>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总监理工程师姓名：[</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，身份证号码：[</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，注册号：[</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w:t>
      </w:r>
    </w:p>
    <w:p w14:paraId="602EE079">
      <w:pPr>
        <w:spacing w:line="360" w:lineRule="auto"/>
        <w:ind w:firstLine="636" w:firstLineChars="198"/>
        <w:outlineLvl w:val="0"/>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rPr>
        <w:t>五、签约酬金</w:t>
      </w:r>
      <w:r>
        <w:rPr>
          <w:rFonts w:hint="eastAsia" w:ascii="仿宋_GB2312" w:hAnsi="宋体"/>
          <w:b/>
          <w:sz w:val="32"/>
          <w:szCs w:val="32"/>
          <w:highlight w:val="none"/>
          <w:lang w:val="en-US" w:eastAsia="zh-CN"/>
        </w:rPr>
        <w:t>及付款时间</w:t>
      </w:r>
    </w:p>
    <w:p w14:paraId="4F618BDE">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签约酬金（大写）：[</w:t>
      </w:r>
      <w:r>
        <w:rPr>
          <w:rFonts w:hint="eastAsia" w:ascii="仿宋_GB2312" w:hAnsi="宋体" w:eastAsia="仿宋_GB2312"/>
          <w:sz w:val="24"/>
          <w:highlight w:val="none"/>
          <w:u w:val="single"/>
        </w:rPr>
        <w:t xml:space="preserve">                  </w:t>
      </w:r>
      <w:r>
        <w:rPr>
          <w:rFonts w:hint="eastAsia" w:ascii="仿宋_GB2312" w:hAnsi="宋体"/>
          <w:sz w:val="24"/>
          <w:highlight w:val="none"/>
          <w:u w:val="single"/>
          <w:lang w:val="en-US" w:eastAsia="zh-CN"/>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r>
        <w:rPr>
          <w:rFonts w:hint="eastAsia" w:eastAsia="仿宋_GB2312"/>
          <w:sz w:val="32"/>
          <w:szCs w:val="32"/>
          <w:highlight w:val="none"/>
        </w:rPr>
        <w:t>¥</w:t>
      </w:r>
      <w:r>
        <w:rPr>
          <w:rFonts w:hint="eastAsia" w:ascii="仿宋_GB2312" w:hAnsi="宋体" w:eastAsia="仿宋_GB2312"/>
          <w:sz w:val="24"/>
          <w:highlight w:val="none"/>
        </w:rPr>
        <w:t xml:space="preserve"> </w:t>
      </w:r>
      <w:r>
        <w:rPr>
          <w:rFonts w:hint="eastAsia" w:ascii="仿宋_GB2312" w:hAnsi="宋体" w:eastAsia="仿宋_GB2312"/>
          <w:sz w:val="24"/>
          <w:highlight w:val="none"/>
          <w:u w:val="single"/>
        </w:rPr>
        <w:t>[       ]</w:t>
      </w:r>
      <w:r>
        <w:rPr>
          <w:rFonts w:hint="eastAsia" w:ascii="仿宋_GB2312" w:hAnsi="宋体" w:eastAsia="仿宋_GB2312"/>
          <w:sz w:val="24"/>
          <w:highlight w:val="none"/>
        </w:rPr>
        <w:t>）。</w:t>
      </w:r>
      <w:r>
        <w:rPr>
          <w:rFonts w:hint="eastAsia" w:ascii="仿宋_GB2312" w:hAnsi="宋体" w:eastAsia="仿宋_GB2312"/>
          <w:sz w:val="32"/>
          <w:szCs w:val="32"/>
          <w:highlight w:val="none"/>
        </w:rPr>
        <w:t>因国家税收政策变化导致约定开票税率发生变化的，合同约定付款金额按照不含税报价×（1+新税率）执行。</w:t>
      </w:r>
    </w:p>
    <w:p w14:paraId="40DBC227">
      <w:pPr>
        <w:adjustRightInd w:val="0"/>
        <w:snapToGrid w:val="0"/>
        <w:spacing w:line="360" w:lineRule="auto"/>
        <w:ind w:firstLine="475" w:firstLineChars="198"/>
        <w:rPr>
          <w:rFonts w:hint="eastAsia" w:ascii="仿宋_GB2312" w:hAnsi="宋体" w:eastAsia="仿宋_GB2312"/>
          <w:sz w:val="24"/>
          <w:highlight w:val="none"/>
        </w:rPr>
      </w:pPr>
    </w:p>
    <w:p w14:paraId="3701A5A3">
      <w:pPr>
        <w:snapToGrid w:val="0"/>
        <w:spacing w:line="360" w:lineRule="auto"/>
        <w:ind w:firstLine="640" w:firstLineChars="2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正常工作</w:t>
      </w:r>
      <w:r>
        <w:rPr>
          <w:rFonts w:hint="eastAsia" w:ascii="仿宋_GB2312" w:hAnsi="宋体" w:eastAsia="仿宋_GB2312"/>
          <w:sz w:val="32"/>
          <w:szCs w:val="32"/>
          <w:highlight w:val="none"/>
        </w:rPr>
        <w:t>酬金的</w:t>
      </w:r>
      <w:r>
        <w:rPr>
          <w:rFonts w:hint="eastAsia" w:ascii="仿宋_GB2312" w:hAnsi="宋体" w:eastAsia="仿宋_GB2312" w:cs="宋体"/>
          <w:kern w:val="0"/>
          <w:sz w:val="32"/>
          <w:szCs w:val="32"/>
          <w:highlight w:val="none"/>
        </w:rPr>
        <w:t>支付</w:t>
      </w:r>
      <w:r>
        <w:rPr>
          <w:rFonts w:hint="eastAsia" w:ascii="仿宋_GB2312" w:hAnsi="宋体" w:eastAsia="仿宋_GB2312"/>
          <w:sz w:val="32"/>
          <w:szCs w:val="32"/>
          <w:highlight w:val="none"/>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987"/>
        <w:gridCol w:w="1826"/>
        <w:gridCol w:w="2084"/>
      </w:tblGrid>
      <w:tr w14:paraId="6C87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183" w:type="dxa"/>
            <w:noWrap w:val="0"/>
            <w:vAlign w:val="center"/>
          </w:tcPr>
          <w:p w14:paraId="1127F149">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支付次数</w:t>
            </w:r>
          </w:p>
        </w:tc>
        <w:tc>
          <w:tcPr>
            <w:tcW w:w="1987" w:type="dxa"/>
            <w:noWrap w:val="0"/>
            <w:vAlign w:val="center"/>
          </w:tcPr>
          <w:p w14:paraId="3E44D172">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支付时间</w:t>
            </w:r>
          </w:p>
        </w:tc>
        <w:tc>
          <w:tcPr>
            <w:tcW w:w="1826" w:type="dxa"/>
            <w:noWrap w:val="0"/>
            <w:vAlign w:val="top"/>
          </w:tcPr>
          <w:p w14:paraId="1182209F">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支付比例</w:t>
            </w:r>
          </w:p>
        </w:tc>
        <w:tc>
          <w:tcPr>
            <w:tcW w:w="2084" w:type="dxa"/>
            <w:noWrap w:val="0"/>
            <w:vAlign w:val="center"/>
          </w:tcPr>
          <w:p w14:paraId="37BD63FD">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支付金额</w:t>
            </w:r>
          </w:p>
          <w:p w14:paraId="736244F2">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（万元）</w:t>
            </w:r>
          </w:p>
        </w:tc>
      </w:tr>
      <w:tr w14:paraId="64CB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14:paraId="0B206A3A">
            <w:pPr>
              <w:spacing w:line="360" w:lineRule="auto"/>
              <w:ind w:left="0" w:leftChars="0" w:firstLine="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u w:val="single"/>
              </w:rPr>
              <w:t>[首付款]</w:t>
            </w:r>
          </w:p>
        </w:tc>
        <w:tc>
          <w:tcPr>
            <w:tcW w:w="1987" w:type="dxa"/>
            <w:noWrap w:val="0"/>
            <w:vAlign w:val="top"/>
          </w:tcPr>
          <w:p w14:paraId="3BDBD96F">
            <w:pPr>
              <w:spacing w:line="360" w:lineRule="auto"/>
              <w:ind w:left="0" w:leftChars="0" w:firstLine="0" w:firstLineChars="0"/>
              <w:jc w:val="both"/>
              <w:rPr>
                <w:rFonts w:hint="eastAsia" w:ascii="仿宋_GB2312" w:eastAsia="仿宋_GB2312"/>
                <w:sz w:val="32"/>
                <w:szCs w:val="32"/>
                <w:highlight w:val="none"/>
              </w:rPr>
            </w:pPr>
            <w:r>
              <w:rPr>
                <w:rFonts w:hint="eastAsia" w:ascii="仿宋_GB2312" w:hAnsi="宋体" w:eastAsia="仿宋_GB2312"/>
                <w:sz w:val="32"/>
                <w:szCs w:val="32"/>
                <w:highlight w:val="none"/>
                <w:u w:val="single"/>
              </w:rPr>
              <w:t>[</w:t>
            </w:r>
            <w:r>
              <w:rPr>
                <w:rFonts w:hint="eastAsia" w:ascii="仿宋_GB2312" w:hAnsi="宋体"/>
                <w:sz w:val="32"/>
                <w:szCs w:val="32"/>
                <w:highlight w:val="none"/>
                <w:u w:val="single"/>
                <w:lang w:val="en-US" w:eastAsia="zh-CN"/>
              </w:rPr>
              <w:t>项目开工</w:t>
            </w:r>
            <w:r>
              <w:rPr>
                <w:rFonts w:hint="eastAsia" w:ascii="仿宋_GB2312" w:hAnsi="宋体" w:eastAsia="仿宋_GB2312"/>
                <w:sz w:val="32"/>
                <w:szCs w:val="32"/>
                <w:highlight w:val="none"/>
                <w:u w:val="single"/>
              </w:rPr>
              <w:t>后</w:t>
            </w:r>
            <w:r>
              <w:rPr>
                <w:rFonts w:hint="eastAsia" w:ascii="仿宋_GB2312" w:eastAsia="仿宋_GB2312"/>
                <w:sz w:val="32"/>
                <w:szCs w:val="32"/>
                <w:highlight w:val="none"/>
                <w:u w:val="single"/>
              </w:rPr>
              <w:t>7</w:t>
            </w:r>
            <w:r>
              <w:rPr>
                <w:rFonts w:hint="eastAsia" w:ascii="仿宋_GB2312" w:hAnsi="宋体" w:eastAsia="仿宋_GB2312"/>
                <w:sz w:val="32"/>
                <w:szCs w:val="32"/>
                <w:highlight w:val="none"/>
                <w:u w:val="single"/>
              </w:rPr>
              <w:t>天内]</w:t>
            </w:r>
          </w:p>
        </w:tc>
        <w:tc>
          <w:tcPr>
            <w:tcW w:w="1826" w:type="dxa"/>
            <w:noWrap w:val="0"/>
            <w:vAlign w:val="top"/>
          </w:tcPr>
          <w:p w14:paraId="56D76F13">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sz w:val="32"/>
                <w:szCs w:val="32"/>
                <w:highlight w:val="none"/>
                <w:u w:val="single"/>
                <w:lang w:val="en-US" w:eastAsia="zh-CN"/>
              </w:rPr>
              <w:t>10%</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c>
          <w:tcPr>
            <w:tcW w:w="2084" w:type="dxa"/>
            <w:noWrap w:val="0"/>
            <w:vAlign w:val="top"/>
          </w:tcPr>
          <w:p w14:paraId="50930AD0">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r>
      <w:tr w14:paraId="36F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14:paraId="3901C181">
            <w:pPr>
              <w:spacing w:line="360" w:lineRule="auto"/>
              <w:ind w:left="0" w:leftChars="0" w:firstLine="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sz w:val="32"/>
                <w:szCs w:val="32"/>
                <w:highlight w:val="none"/>
                <w:lang w:val="en-US" w:eastAsia="zh-CN"/>
              </w:rPr>
              <w:t>第二次</w:t>
            </w:r>
            <w:r>
              <w:rPr>
                <w:rFonts w:hint="eastAsia" w:ascii="仿宋_GB2312" w:hAnsi="宋体" w:eastAsia="仿宋_GB2312"/>
                <w:sz w:val="32"/>
                <w:szCs w:val="32"/>
                <w:highlight w:val="none"/>
              </w:rPr>
              <w:t>付款]</w:t>
            </w:r>
          </w:p>
        </w:tc>
        <w:tc>
          <w:tcPr>
            <w:tcW w:w="1987" w:type="dxa"/>
            <w:noWrap w:val="0"/>
            <w:vAlign w:val="top"/>
          </w:tcPr>
          <w:p w14:paraId="3909420F">
            <w:pPr>
              <w:spacing w:line="360" w:lineRule="auto"/>
              <w:ind w:left="0" w:leftChars="0" w:firstLine="0" w:firstLineChars="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sz w:val="32"/>
                <w:szCs w:val="32"/>
                <w:highlight w:val="none"/>
                <w:lang w:val="en-US" w:eastAsia="zh-CN"/>
              </w:rPr>
              <w:t>项目通过验收并监理相关资料完成交接归档后</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w:t>
            </w:r>
          </w:p>
        </w:tc>
        <w:tc>
          <w:tcPr>
            <w:tcW w:w="1826" w:type="dxa"/>
            <w:noWrap w:val="0"/>
            <w:vAlign w:val="top"/>
          </w:tcPr>
          <w:p w14:paraId="4E6B6245">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sz w:val="32"/>
                <w:szCs w:val="32"/>
                <w:highlight w:val="none"/>
                <w:u w:val="single"/>
                <w:lang w:val="en-US" w:eastAsia="zh-CN"/>
              </w:rPr>
              <w:t>87%</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c>
          <w:tcPr>
            <w:tcW w:w="2084" w:type="dxa"/>
            <w:noWrap w:val="0"/>
            <w:vAlign w:val="top"/>
          </w:tcPr>
          <w:p w14:paraId="0C0C0CA3">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r>
      <w:tr w14:paraId="4E04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183" w:type="dxa"/>
            <w:noWrap w:val="0"/>
            <w:vAlign w:val="top"/>
          </w:tcPr>
          <w:p w14:paraId="26D0B266">
            <w:pPr>
              <w:spacing w:line="360" w:lineRule="auto"/>
              <w:ind w:left="0" w:leftChars="0" w:firstLine="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sz w:val="32"/>
                <w:szCs w:val="32"/>
                <w:highlight w:val="none"/>
                <w:lang w:val="en-US" w:eastAsia="zh-CN"/>
              </w:rPr>
              <w:t>最后</w:t>
            </w:r>
            <w:r>
              <w:rPr>
                <w:rFonts w:hint="eastAsia" w:ascii="仿宋_GB2312" w:hAnsi="宋体" w:eastAsia="仿宋_GB2312"/>
                <w:sz w:val="32"/>
                <w:szCs w:val="32"/>
                <w:highlight w:val="none"/>
              </w:rPr>
              <w:t>付款]</w:t>
            </w:r>
          </w:p>
        </w:tc>
        <w:tc>
          <w:tcPr>
            <w:tcW w:w="1987" w:type="dxa"/>
            <w:noWrap w:val="0"/>
            <w:vAlign w:val="top"/>
          </w:tcPr>
          <w:p w14:paraId="1E666C97">
            <w:pPr>
              <w:spacing w:line="360" w:lineRule="auto"/>
              <w:ind w:left="0" w:leftChars="0" w:firstLine="0" w:firstLineChars="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sz w:val="32"/>
                <w:szCs w:val="32"/>
                <w:highlight w:val="none"/>
                <w:lang w:val="en-US" w:eastAsia="zh-CN"/>
              </w:rPr>
              <w:t>配电项目质保期结束后</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w:t>
            </w:r>
          </w:p>
        </w:tc>
        <w:tc>
          <w:tcPr>
            <w:tcW w:w="1826" w:type="dxa"/>
            <w:noWrap w:val="0"/>
            <w:vAlign w:val="top"/>
          </w:tcPr>
          <w:p w14:paraId="7A3960E9">
            <w:pPr>
              <w:spacing w:line="360" w:lineRule="auto"/>
              <w:ind w:left="0" w:leftChars="0" w:firstLine="0" w:firstLineChars="0"/>
              <w:jc w:val="both"/>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sz w:val="32"/>
                <w:szCs w:val="32"/>
                <w:highlight w:val="none"/>
                <w:u w:val="single"/>
                <w:lang w:val="en-US" w:eastAsia="zh-CN"/>
              </w:rPr>
              <w:t>3%</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c>
          <w:tcPr>
            <w:tcW w:w="2084" w:type="dxa"/>
            <w:noWrap w:val="0"/>
            <w:vAlign w:val="top"/>
          </w:tcPr>
          <w:p w14:paraId="533C2D8E">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tc>
      </w:tr>
    </w:tbl>
    <w:p w14:paraId="5AEF69F0">
      <w:pPr>
        <w:spacing w:line="360" w:lineRule="auto"/>
        <w:ind w:firstLine="636" w:firstLineChars="198"/>
        <w:outlineLvl w:val="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六、期限</w:t>
      </w:r>
    </w:p>
    <w:p w14:paraId="5445691E">
      <w:pPr>
        <w:adjustRightInd w:val="0"/>
        <w:snapToGrid w:val="0"/>
        <w:spacing w:line="360" w:lineRule="auto"/>
        <w:ind w:firstLine="800" w:firstLineChars="250"/>
        <w:jc w:val="left"/>
        <w:rPr>
          <w:rFonts w:hint="eastAsia" w:ascii="仿宋_GB2312" w:eastAsia="仿宋_GB2312"/>
          <w:sz w:val="32"/>
          <w:szCs w:val="32"/>
          <w:highlight w:val="none"/>
        </w:rPr>
      </w:pPr>
      <w:r>
        <w:rPr>
          <w:rFonts w:hint="eastAsia" w:ascii="仿宋_GB2312" w:hAnsi="宋体" w:eastAsia="仿宋_GB2312"/>
          <w:kern w:val="0"/>
          <w:sz w:val="32"/>
          <w:szCs w:val="32"/>
          <w:highlight w:val="none"/>
        </w:rPr>
        <w:t xml:space="preserve">1. </w:t>
      </w:r>
      <w:r>
        <w:rPr>
          <w:rFonts w:hint="eastAsia" w:ascii="仿宋_GB2312" w:hAnsi="宋体" w:eastAsia="仿宋_GB2312"/>
          <w:sz w:val="32"/>
          <w:szCs w:val="32"/>
          <w:highlight w:val="none"/>
        </w:rPr>
        <w:t>监理期限：</w:t>
      </w:r>
    </w:p>
    <w:p w14:paraId="2511F615">
      <w:pPr>
        <w:adjustRightInd w:val="0"/>
        <w:snapToGrid w:val="0"/>
        <w:spacing w:line="360" w:lineRule="auto"/>
        <w:ind w:firstLine="800" w:firstLineChars="250"/>
        <w:jc w:val="left"/>
        <w:rPr>
          <w:rFonts w:hint="eastAsia" w:ascii="仿宋_GB2312" w:eastAsia="仿宋_GB2312"/>
          <w:sz w:val="32"/>
          <w:szCs w:val="32"/>
          <w:highlight w:val="none"/>
        </w:rPr>
      </w:pPr>
      <w:r>
        <w:rPr>
          <w:rFonts w:hint="eastAsia" w:ascii="仿宋_GB2312" w:hAnsi="宋体" w:eastAsia="仿宋_GB2312"/>
          <w:sz w:val="32"/>
          <w:szCs w:val="32"/>
          <w:highlight w:val="none"/>
        </w:rPr>
        <w:t>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14:paraId="7386CDCF">
      <w:pPr>
        <w:spacing w:line="360" w:lineRule="auto"/>
        <w:ind w:firstLine="636" w:firstLineChars="198"/>
        <w:outlineLvl w:val="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七、双方承诺</w:t>
      </w:r>
    </w:p>
    <w:p w14:paraId="07EE7673">
      <w:pPr>
        <w:spacing w:line="360" w:lineRule="auto"/>
        <w:ind w:firstLine="633" w:firstLineChars="198"/>
        <w:outlineLvl w:val="0"/>
        <w:rPr>
          <w:rFonts w:hint="eastAsia" w:ascii="仿宋_GB2312" w:hAnsi="宋体" w:eastAsia="仿宋_GB2312"/>
          <w:b/>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监理人向委托人承诺，按照本合同约定</w:t>
      </w:r>
      <w:r>
        <w:rPr>
          <w:rFonts w:hint="eastAsia" w:ascii="仿宋_GB2312" w:hAnsi="宋体" w:eastAsia="仿宋_GB2312"/>
          <w:kern w:val="0"/>
          <w:sz w:val="32"/>
          <w:szCs w:val="32"/>
          <w:highlight w:val="none"/>
        </w:rPr>
        <w:t>提供</w:t>
      </w:r>
      <w:r>
        <w:rPr>
          <w:rFonts w:hint="eastAsia" w:ascii="仿宋_GB2312" w:hAnsi="宋体" w:eastAsia="仿宋_GB2312"/>
          <w:sz w:val="32"/>
          <w:szCs w:val="32"/>
          <w:highlight w:val="none"/>
        </w:rPr>
        <w:t>监理与相关服务。</w:t>
      </w:r>
    </w:p>
    <w:p w14:paraId="404D0D2C">
      <w:pPr>
        <w:spacing w:line="360" w:lineRule="auto"/>
        <w:ind w:firstLine="633" w:firstLineChars="198"/>
        <w:outlineLvl w:val="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委托人向监理人承诺，按照本合同约定派遣相应的人员，提供</w:t>
      </w:r>
      <w:r>
        <w:rPr>
          <w:rFonts w:hint="eastAsia" w:ascii="仿宋_GB2312" w:hAnsi="宋体" w:eastAsia="仿宋_GB2312"/>
          <w:bCs/>
          <w:sz w:val="32"/>
          <w:szCs w:val="32"/>
          <w:highlight w:val="none"/>
        </w:rPr>
        <w:t>房屋、资料</w:t>
      </w:r>
      <w:r>
        <w:rPr>
          <w:rFonts w:hint="eastAsia" w:ascii="仿宋_GB2312" w:hAnsi="宋体" w:eastAsia="仿宋_GB2312"/>
          <w:sz w:val="32"/>
          <w:szCs w:val="32"/>
          <w:highlight w:val="none"/>
        </w:rPr>
        <w:t>、设备，并按本合同约定支付酬金。</w:t>
      </w:r>
    </w:p>
    <w:p w14:paraId="12A0F5C0">
      <w:pPr>
        <w:spacing w:line="360" w:lineRule="auto"/>
        <w:ind w:firstLine="636" w:firstLineChars="198"/>
        <w:outlineLvl w:val="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八、合同订立</w:t>
      </w:r>
    </w:p>
    <w:p w14:paraId="00A86D9A">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订立时间：[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w:t>
      </w:r>
    </w:p>
    <w:p w14:paraId="1C1C93EF">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订立地点：[</w:t>
      </w:r>
      <w:r>
        <w:rPr>
          <w:rFonts w:hint="eastAsia" w:ascii="仿宋_GB2312" w:eastAsia="仿宋_GB2312"/>
          <w:sz w:val="32"/>
          <w:szCs w:val="32"/>
          <w:highlight w:val="none"/>
          <w:u w:val="single"/>
        </w:rPr>
        <w:t xml:space="preserve"> </w:t>
      </w:r>
      <w:r>
        <w:rPr>
          <w:rFonts w:hint="eastAsia" w:ascii="仿宋_GB2312"/>
          <w:sz w:val="32"/>
          <w:szCs w:val="32"/>
          <w:highlight w:val="none"/>
          <w:u w:val="single"/>
          <w:lang w:val="en-US" w:eastAsia="zh-CN"/>
        </w:rPr>
        <w:t>德阳市南海路东段2号</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14:paraId="4FC75510">
      <w:pPr>
        <w:adjustRightInd w:val="0"/>
        <w:snapToGrid w:val="0"/>
        <w:spacing w:line="360" w:lineRule="auto"/>
        <w:ind w:left="963" w:leftChars="301"/>
        <w:rPr>
          <w:rFonts w:hint="eastAsia" w:ascii="仿宋_GB2312" w:hAnsi="宋体" w:eastAsia="仿宋_GB2312"/>
          <w:sz w:val="32"/>
          <w:szCs w:val="32"/>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本合同一式[</w:t>
      </w:r>
      <w:r>
        <w:rPr>
          <w:rFonts w:hint="eastAsia" w:ascii="仿宋_GB2312" w:hAnsi="宋体"/>
          <w:sz w:val="32"/>
          <w:szCs w:val="32"/>
          <w:highlight w:val="none"/>
          <w:u w:val="single"/>
          <w:lang w:val="en-US" w:eastAsia="zh-CN"/>
        </w:rPr>
        <w:t>肆</w:t>
      </w:r>
      <w:r>
        <w:rPr>
          <w:rFonts w:hint="eastAsia" w:ascii="仿宋_GB2312" w:hAnsi="宋体" w:eastAsia="仿宋_GB2312"/>
          <w:sz w:val="32"/>
          <w:szCs w:val="32"/>
          <w:highlight w:val="none"/>
          <w:u w:val="single"/>
        </w:rPr>
        <w:t>]</w:t>
      </w:r>
      <w:r>
        <w:rPr>
          <w:rFonts w:hint="eastAsia" w:ascii="仿宋_GB2312" w:hAnsi="宋体" w:eastAsia="仿宋_GB2312"/>
          <w:sz w:val="32"/>
          <w:szCs w:val="32"/>
          <w:highlight w:val="none"/>
        </w:rPr>
        <w:t>份，具有同等法律效力，双方各执</w:t>
      </w:r>
      <w:r>
        <w:rPr>
          <w:rFonts w:hint="eastAsia" w:ascii="仿宋_GB2312" w:eastAsia="仿宋_GB2312"/>
          <w:sz w:val="32"/>
          <w:szCs w:val="32"/>
          <w:highlight w:val="none"/>
          <w:u w:val="single"/>
        </w:rPr>
        <w:t>[</w:t>
      </w:r>
      <w:r>
        <w:rPr>
          <w:rFonts w:hint="eastAsia" w:ascii="仿宋_GB2312"/>
          <w:sz w:val="32"/>
          <w:szCs w:val="32"/>
          <w:highlight w:val="none"/>
          <w:u w:val="single"/>
          <w:lang w:val="en-US" w:eastAsia="zh-CN"/>
        </w:rPr>
        <w:t>贰</w:t>
      </w:r>
      <w:r>
        <w:rPr>
          <w:rFonts w:hint="eastAsia" w:ascii="仿宋_GB2312" w:eastAsia="仿宋_GB2312"/>
          <w:sz w:val="32"/>
          <w:szCs w:val="32"/>
          <w:highlight w:val="none"/>
          <w:u w:val="single"/>
        </w:rPr>
        <w:t>]</w:t>
      </w:r>
      <w:r>
        <w:rPr>
          <w:rFonts w:hint="eastAsia" w:ascii="仿宋_GB2312" w:hAnsi="宋体" w:eastAsia="仿宋_GB2312"/>
          <w:sz w:val="32"/>
          <w:szCs w:val="32"/>
          <w:highlight w:val="none"/>
        </w:rPr>
        <w:t>份。</w:t>
      </w:r>
      <w:r>
        <w:rPr>
          <w:rFonts w:hint="eastAsia" w:ascii="仿宋_GB2312" w:hAnsi="宋体" w:eastAsia="仿宋_GB2312"/>
          <w:sz w:val="32"/>
          <w:szCs w:val="32"/>
          <w:highlight w:val="none"/>
          <w:lang w:val="en-US" w:eastAsia="zh-CN"/>
        </w:rPr>
        <w:t>合同签字并盖章后生效</w:t>
      </w:r>
      <w:r>
        <w:rPr>
          <w:rFonts w:hint="eastAsia" w:ascii="仿宋_GB2312" w:hAnsi="宋体" w:eastAsia="仿宋_GB2312"/>
          <w:sz w:val="32"/>
          <w:szCs w:val="32"/>
          <w:highlight w:val="none"/>
        </w:rPr>
        <w:t>。</w:t>
      </w:r>
    </w:p>
    <w:p w14:paraId="2A9FB2A2">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[委托人：</w:t>
      </w:r>
      <w:r>
        <w:rPr>
          <w:rFonts w:hint="eastAsia" w:ascii="仿宋_GB2312" w:hAnsi="宋体" w:eastAsia="仿宋_GB2312"/>
          <w:sz w:val="32"/>
          <w:szCs w:val="32"/>
          <w:highlight w:val="none"/>
          <w:u w:val="single"/>
        </w:rPr>
        <w:t xml:space="preserve">   （盖章）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监理人：</w:t>
      </w:r>
      <w:r>
        <w:rPr>
          <w:rFonts w:hint="eastAsia" w:ascii="仿宋_GB2312" w:hAnsi="宋体" w:eastAsia="仿宋_GB2312"/>
          <w:sz w:val="32"/>
          <w:szCs w:val="32"/>
          <w:highlight w:val="none"/>
          <w:u w:val="single"/>
        </w:rPr>
        <w:t xml:space="preserve">   （盖章）    </w:t>
      </w:r>
    </w:p>
    <w:p w14:paraId="53F20409">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法定代表人或其授权       法定代表人或其授权</w:t>
      </w:r>
    </w:p>
    <w:p w14:paraId="7663237B">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的代理人：</w:t>
      </w:r>
      <w:r>
        <w:rPr>
          <w:rFonts w:hint="eastAsia" w:ascii="仿宋_GB2312" w:hAnsi="宋体" w:eastAsia="仿宋_GB2312"/>
          <w:sz w:val="32"/>
          <w:szCs w:val="32"/>
          <w:highlight w:val="none"/>
          <w:u w:val="single"/>
        </w:rPr>
        <w:t xml:space="preserve">（签字）      </w:t>
      </w:r>
      <w:r>
        <w:rPr>
          <w:rFonts w:hint="eastAsia" w:ascii="仿宋_GB2312" w:hAnsi="宋体" w:eastAsia="仿宋_GB2312"/>
          <w:sz w:val="32"/>
          <w:szCs w:val="32"/>
          <w:highlight w:val="none"/>
        </w:rPr>
        <w:t xml:space="preserve">  的代理人：</w:t>
      </w:r>
      <w:r>
        <w:rPr>
          <w:rFonts w:hint="eastAsia" w:ascii="仿宋_GB2312" w:hAnsi="宋体" w:eastAsia="仿宋_GB2312"/>
          <w:sz w:val="32"/>
          <w:szCs w:val="32"/>
          <w:highlight w:val="none"/>
          <w:u w:val="single"/>
        </w:rPr>
        <w:t xml:space="preserve">（签字）      </w:t>
      </w:r>
      <w:r>
        <w:rPr>
          <w:rFonts w:hint="eastAsia" w:ascii="仿宋_GB2312" w:hAnsi="宋体" w:eastAsia="仿宋_GB2312"/>
          <w:sz w:val="24"/>
          <w:highlight w:val="none"/>
          <w:u w:val="single"/>
        </w:rPr>
        <w:t xml:space="preserve">    </w:t>
      </w:r>
    </w:p>
    <w:p w14:paraId="4D12F44B">
      <w:pPr>
        <w:tabs>
          <w:tab w:val="left" w:pos="5643"/>
        </w:tabs>
        <w:adjustRightInd w:val="0"/>
        <w:snapToGrid w:val="0"/>
        <w:spacing w:line="360" w:lineRule="auto"/>
        <w:ind w:left="0" w:leftChars="0" w:firstLine="0" w:firstLineChars="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开户银行：中国农业银</w:t>
      </w:r>
      <w:r>
        <w:rPr>
          <w:rFonts w:hint="eastAsia" w:ascii="仿宋_GB2312" w:hAnsi="宋体"/>
          <w:sz w:val="32"/>
          <w:szCs w:val="32"/>
          <w:highlight w:val="none"/>
          <w:lang w:val="en-US" w:eastAsia="zh-CN"/>
        </w:rPr>
        <w:t xml:space="preserve">            </w:t>
      </w:r>
      <w:r>
        <w:rPr>
          <w:rFonts w:hint="eastAsia" w:ascii="仿宋_GB2312" w:hAnsi="宋体" w:eastAsia="仿宋_GB2312"/>
          <w:sz w:val="32"/>
          <w:szCs w:val="32"/>
          <w:highlight w:val="none"/>
        </w:rPr>
        <w:t>开户银行：</w:t>
      </w:r>
      <w:r>
        <w:rPr>
          <w:rFonts w:hint="eastAsia" w:ascii="仿宋_GB2312" w:hAnsi="宋体" w:eastAsia="仿宋_GB2312"/>
          <w:sz w:val="24"/>
          <w:highlight w:val="none"/>
          <w:u w:val="single"/>
        </w:rPr>
        <w:t xml:space="preserve">    </w:t>
      </w:r>
      <w:r>
        <w:rPr>
          <w:rFonts w:hint="eastAsia" w:ascii="仿宋_GB2312" w:hAnsi="宋体"/>
          <w:sz w:val="24"/>
          <w:highlight w:val="none"/>
          <w:u w:val="single"/>
          <w:lang w:val="en-US" w:eastAsia="zh-CN"/>
        </w:rPr>
        <w:t xml:space="preserve">      </w:t>
      </w:r>
      <w:r>
        <w:rPr>
          <w:rFonts w:hint="eastAsia" w:ascii="仿宋_GB2312" w:hAnsi="宋体" w:eastAsia="仿宋_GB2312"/>
          <w:sz w:val="24"/>
          <w:highlight w:val="none"/>
          <w:u w:val="single"/>
        </w:rPr>
        <w:t xml:space="preserve">       </w:t>
      </w:r>
    </w:p>
    <w:p w14:paraId="4A3168DC">
      <w:pPr>
        <w:adjustRightInd w:val="0"/>
        <w:snapToGrid w:val="0"/>
        <w:spacing w:line="360" w:lineRule="auto"/>
        <w:ind w:left="0"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行德阳市旌阳支行                    </w:t>
      </w:r>
    </w:p>
    <w:p w14:paraId="4F13108C">
      <w:pPr>
        <w:adjustRightInd w:val="0"/>
        <w:snapToGrid w:val="0"/>
        <w:spacing w:line="360" w:lineRule="auto"/>
        <w:ind w:left="0" w:leftChars="0" w:firstLine="0" w:firstLineChars="0"/>
        <w:rPr>
          <w:rFonts w:hint="eastAsia" w:ascii="仿宋_GB2312" w:hAnsi="宋体" w:eastAsia="仿宋_GB2312"/>
          <w:sz w:val="24"/>
          <w:highlight w:val="none"/>
          <w:u w:val="single"/>
        </w:rPr>
      </w:pPr>
      <w:r>
        <w:rPr>
          <w:rFonts w:hint="eastAsia" w:ascii="仿宋_GB2312" w:hAnsi="宋体" w:eastAsia="仿宋_GB2312"/>
          <w:sz w:val="32"/>
          <w:szCs w:val="32"/>
          <w:highlight w:val="none"/>
          <w:lang w:val="en-US" w:eastAsia="zh-CN"/>
        </w:rPr>
        <w:t>开户行号</w:t>
      </w:r>
      <w:r>
        <w:rPr>
          <w:rFonts w:hint="eastAsia" w:ascii="仿宋_GB2312" w:hAnsi="宋体" w:eastAsia="仿宋_GB2312"/>
          <w:sz w:val="32"/>
          <w:szCs w:val="32"/>
          <w:highlight w:val="none"/>
        </w:rPr>
        <w:t>：</w:t>
      </w:r>
      <w:r>
        <w:rPr>
          <w:rFonts w:hint="eastAsia" w:ascii="仿宋" w:hAnsi="仿宋" w:eastAsia="仿宋" w:cs="仿宋"/>
          <w:sz w:val="36"/>
          <w:szCs w:val="36"/>
        </w:rPr>
        <w:t>22-200201040003651</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lang w:val="en-US" w:eastAsia="zh-CN"/>
        </w:rPr>
        <w:t>开户行号</w:t>
      </w:r>
      <w:r>
        <w:rPr>
          <w:rFonts w:hint="eastAsia" w:ascii="仿宋_GB2312" w:hAnsi="宋体" w:eastAsia="仿宋_GB2312"/>
          <w:sz w:val="32"/>
          <w:szCs w:val="32"/>
          <w:highlight w:val="none"/>
        </w:rPr>
        <w:t>：</w:t>
      </w:r>
      <w:r>
        <w:rPr>
          <w:rFonts w:hint="eastAsia" w:ascii="仿宋_GB2312" w:hAnsi="宋体" w:eastAsia="仿宋_GB2312"/>
          <w:sz w:val="24"/>
          <w:highlight w:val="none"/>
          <w:u w:val="single"/>
        </w:rPr>
        <w:t xml:space="preserve">                  </w:t>
      </w:r>
    </w:p>
    <w:p w14:paraId="743F011E">
      <w:pPr>
        <w:adjustRightInd w:val="0"/>
        <w:snapToGrid w:val="0"/>
        <w:spacing w:line="360" w:lineRule="auto"/>
        <w:ind w:firstLine="633" w:firstLineChars="198"/>
        <w:rPr>
          <w:rFonts w:hint="default" w:ascii="仿宋_GB2312" w:hAnsi="宋体" w:eastAsia="仿宋_GB2312"/>
          <w:sz w:val="32"/>
          <w:szCs w:val="32"/>
          <w:highlight w:val="none"/>
          <w:lang w:val="en-US" w:eastAsia="zh-CN"/>
        </w:rPr>
      </w:pPr>
    </w:p>
    <w:p w14:paraId="4998B59A">
      <w:pPr>
        <w:pageBreakBefore/>
        <w:spacing w:line="360" w:lineRule="auto"/>
        <w:jc w:val="center"/>
        <w:rPr>
          <w:rFonts w:hint="eastAsia" w:ascii="华文中宋" w:hAnsi="华文中宋" w:eastAsia="华文中宋"/>
          <w:b/>
          <w:sz w:val="44"/>
          <w:szCs w:val="44"/>
          <w:highlight w:val="none"/>
        </w:rPr>
      </w:pPr>
      <w:r>
        <w:rPr>
          <w:rFonts w:hint="eastAsia" w:ascii="华文中宋" w:hAnsi="华文中宋" w:eastAsia="华文中宋"/>
          <w:b/>
          <w:sz w:val="44"/>
          <w:szCs w:val="44"/>
          <w:highlight w:val="none"/>
        </w:rPr>
        <w:t>第二部分  通用条件</w:t>
      </w:r>
    </w:p>
    <w:p w14:paraId="680A3027">
      <w:pPr>
        <w:spacing w:line="360" w:lineRule="auto"/>
        <w:jc w:val="center"/>
        <w:rPr>
          <w:rFonts w:hint="eastAsia" w:ascii="仿宋_GB2312" w:hAnsi="宋体" w:eastAsia="仿宋_GB2312"/>
          <w:b/>
          <w:sz w:val="24"/>
          <w:highlight w:val="none"/>
        </w:rPr>
      </w:pPr>
    </w:p>
    <w:p w14:paraId="117A2BB3">
      <w:pPr>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1. 定义与解释</w:t>
      </w:r>
    </w:p>
    <w:p w14:paraId="52C365D2">
      <w:pPr>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1.1 </w:t>
      </w:r>
      <w:r>
        <w:rPr>
          <w:rFonts w:hint="eastAsia" w:ascii="仿宋_GB2312" w:hAnsi="宋体" w:eastAsia="仿宋_GB2312"/>
          <w:bCs/>
          <w:sz w:val="32"/>
          <w:szCs w:val="32"/>
          <w:highlight w:val="none"/>
        </w:rPr>
        <w:t>定义</w:t>
      </w:r>
    </w:p>
    <w:p w14:paraId="5380B35C">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除根据上下文另有其意义外</w:t>
      </w:r>
      <w:r>
        <w:rPr>
          <w:rFonts w:hint="eastAsia" w:ascii="仿宋_GB2312" w:eastAsia="仿宋_GB2312"/>
          <w:sz w:val="32"/>
          <w:szCs w:val="32"/>
          <w:highlight w:val="none"/>
        </w:rPr>
        <w:t>，组成</w:t>
      </w:r>
      <w:r>
        <w:rPr>
          <w:rFonts w:hint="eastAsia" w:ascii="仿宋_GB2312" w:hAnsi="宋体" w:eastAsia="仿宋_GB2312"/>
          <w:sz w:val="32"/>
          <w:szCs w:val="32"/>
          <w:highlight w:val="none"/>
        </w:rPr>
        <w:t>本合同</w:t>
      </w:r>
      <w:r>
        <w:rPr>
          <w:rFonts w:hint="eastAsia" w:ascii="仿宋_GB2312" w:eastAsia="仿宋_GB2312"/>
          <w:sz w:val="32"/>
          <w:szCs w:val="32"/>
          <w:highlight w:val="none"/>
        </w:rPr>
        <w:t>的全部文件中的</w:t>
      </w:r>
      <w:r>
        <w:rPr>
          <w:rFonts w:hint="eastAsia" w:ascii="仿宋_GB2312" w:hAnsi="宋体" w:eastAsia="仿宋_GB2312"/>
          <w:sz w:val="32"/>
          <w:szCs w:val="32"/>
          <w:highlight w:val="none"/>
        </w:rPr>
        <w:t>下列名词和用语应具有本款所赋予的含义</w:t>
      </w:r>
      <w:r>
        <w:rPr>
          <w:rFonts w:hint="eastAsia" w:ascii="仿宋_GB2312" w:eastAsia="仿宋_GB2312"/>
          <w:sz w:val="32"/>
          <w:szCs w:val="32"/>
          <w:highlight w:val="none"/>
        </w:rPr>
        <w:t>：</w:t>
      </w:r>
    </w:p>
    <w:p w14:paraId="1BA233D0">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1.1.1 </w:t>
      </w:r>
      <w:r>
        <w:rPr>
          <w:rFonts w:hint="eastAsia" w:ascii="仿宋_GB2312" w:hAnsi="宋体" w:eastAsia="仿宋_GB2312"/>
          <w:sz w:val="32"/>
          <w:szCs w:val="32"/>
          <w:highlight w:val="none"/>
        </w:rPr>
        <w:t>“</w:t>
      </w:r>
      <w:r>
        <w:rPr>
          <w:rFonts w:hint="eastAsia" w:ascii="仿宋_GB2312" w:eastAsia="仿宋_GB2312"/>
          <w:sz w:val="32"/>
          <w:szCs w:val="32"/>
          <w:highlight w:val="none"/>
        </w:rPr>
        <w:t>工程</w:t>
      </w:r>
      <w:r>
        <w:rPr>
          <w:rFonts w:hint="eastAsia" w:ascii="仿宋_GB2312" w:hAnsi="宋体" w:eastAsia="仿宋_GB2312"/>
          <w:sz w:val="32"/>
          <w:szCs w:val="32"/>
          <w:highlight w:val="none"/>
        </w:rPr>
        <w:t>”</w:t>
      </w:r>
      <w:r>
        <w:rPr>
          <w:rFonts w:hint="eastAsia" w:ascii="仿宋_GB2312" w:eastAsia="仿宋_GB2312"/>
          <w:sz w:val="32"/>
          <w:szCs w:val="32"/>
          <w:highlight w:val="none"/>
        </w:rPr>
        <w:t>是指按照本合同约定实施监理与相关服务的建设</w:t>
      </w:r>
      <w:r>
        <w:rPr>
          <w:rFonts w:hint="eastAsia" w:ascii="仿宋_GB2312" w:hAnsi="ˎ̥" w:eastAsia="仿宋_GB2312"/>
          <w:sz w:val="32"/>
          <w:szCs w:val="32"/>
          <w:highlight w:val="none"/>
        </w:rPr>
        <w:t>工程</w:t>
      </w:r>
      <w:r>
        <w:rPr>
          <w:rFonts w:hint="eastAsia" w:ascii="仿宋_GB2312" w:eastAsia="仿宋_GB2312"/>
          <w:sz w:val="32"/>
          <w:szCs w:val="32"/>
          <w:highlight w:val="none"/>
        </w:rPr>
        <w:t>。</w:t>
      </w:r>
    </w:p>
    <w:p w14:paraId="1DC69AD6">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1.1.2 “委托人”</w:t>
      </w:r>
      <w:r>
        <w:rPr>
          <w:rFonts w:hint="eastAsia" w:ascii="仿宋_GB2312" w:hAnsi="宋体" w:eastAsia="仿宋_GB2312"/>
          <w:sz w:val="32"/>
          <w:szCs w:val="32"/>
          <w:highlight w:val="none"/>
        </w:rPr>
        <w:t>是指本合同中委托监理与相关服务的一方，及其合法的继承人或受让人。</w:t>
      </w:r>
    </w:p>
    <w:p w14:paraId="6F31E8A3">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1.1.3 </w:t>
      </w:r>
      <w:r>
        <w:rPr>
          <w:rFonts w:hint="eastAsia" w:ascii="仿宋_GB2312" w:hAnsi="宋体" w:eastAsia="仿宋_GB2312"/>
          <w:sz w:val="32"/>
          <w:szCs w:val="32"/>
          <w:highlight w:val="none"/>
        </w:rPr>
        <w:t>“监理人”是指本合同中提供监理与相关服务的一方，及其合法的继承人。</w:t>
      </w:r>
    </w:p>
    <w:p w14:paraId="5CAE6421">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1.1.4 “承包人”是指在工程范围内与委托人签订勘察、设计、施工等有关合同的当事人，及其合法的继承人。</w:t>
      </w:r>
    </w:p>
    <w:p w14:paraId="76FB14CA">
      <w:pPr>
        <w:pStyle w:val="9"/>
        <w:spacing w:line="360" w:lineRule="auto"/>
        <w:ind w:firstLine="570"/>
        <w:rPr>
          <w:rFonts w:hint="eastAsia" w:ascii="仿宋_GB2312" w:eastAsia="仿宋_GB2312"/>
          <w:sz w:val="32"/>
          <w:szCs w:val="32"/>
          <w:highlight w:val="none"/>
        </w:rPr>
      </w:pPr>
      <w:r>
        <w:rPr>
          <w:rFonts w:hint="eastAsia" w:ascii="仿宋_GB2312" w:eastAsia="仿宋_GB2312"/>
          <w:sz w:val="32"/>
          <w:szCs w:val="32"/>
          <w:highlight w:val="none"/>
        </w:rPr>
        <w:t>1.1.5</w:t>
      </w:r>
      <w:r>
        <w:rPr>
          <w:rFonts w:hint="eastAsia" w:ascii="仿宋_GB2312" w:hAnsi="宋体" w:eastAsia="仿宋_GB2312"/>
          <w:sz w:val="32"/>
          <w:szCs w:val="32"/>
          <w:highlight w:val="none"/>
        </w:rPr>
        <w:t xml:space="preserve"> “监理”是指监理人受</w:t>
      </w:r>
      <w:r>
        <w:rPr>
          <w:rFonts w:hint="eastAsia" w:ascii="仿宋_GB2312" w:eastAsia="仿宋_GB2312"/>
          <w:sz w:val="32"/>
          <w:szCs w:val="32"/>
          <w:highlight w:val="none"/>
        </w:rPr>
        <w:t xml:space="preserve">委托人的委托 </w:t>
      </w:r>
      <w:r>
        <w:rPr>
          <w:rFonts w:hint="eastAsia" w:ascii="仿宋_GB2312" w:hAnsi="宋体" w:eastAsia="仿宋_GB2312"/>
          <w:sz w:val="32"/>
          <w:szCs w:val="32"/>
          <w:highlight w:val="none"/>
        </w:rPr>
        <w:t>，</w:t>
      </w:r>
      <w:r>
        <w:rPr>
          <w:rFonts w:hint="eastAsia" w:ascii="仿宋_GB2312" w:eastAsia="仿宋_GB2312"/>
          <w:sz w:val="32"/>
          <w:szCs w:val="32"/>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97F7ECA">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1.1.6</w:t>
      </w:r>
      <w:r>
        <w:rPr>
          <w:rFonts w:hint="eastAsia" w:ascii="仿宋_GB2312" w:hAnsi="宋体" w:eastAsia="仿宋_GB2312"/>
          <w:sz w:val="32"/>
          <w:szCs w:val="32"/>
          <w:highlight w:val="none"/>
        </w:rPr>
        <w:t xml:space="preserve"> “相关服务”是指监理人受</w:t>
      </w:r>
      <w:r>
        <w:rPr>
          <w:rFonts w:hint="eastAsia" w:ascii="仿宋_GB2312" w:eastAsia="仿宋_GB2312"/>
          <w:sz w:val="32"/>
          <w:szCs w:val="32"/>
          <w:highlight w:val="none"/>
        </w:rPr>
        <w:t xml:space="preserve">委托人的委托 </w:t>
      </w:r>
      <w:r>
        <w:rPr>
          <w:rFonts w:hint="eastAsia" w:ascii="仿宋_GB2312" w:hAnsi="宋体" w:eastAsia="仿宋_GB2312"/>
          <w:sz w:val="32"/>
          <w:szCs w:val="32"/>
          <w:highlight w:val="none"/>
        </w:rPr>
        <w:t>，</w:t>
      </w:r>
      <w:r>
        <w:rPr>
          <w:rFonts w:hint="eastAsia" w:ascii="仿宋_GB2312" w:eastAsia="仿宋_GB2312"/>
          <w:sz w:val="32"/>
          <w:szCs w:val="32"/>
          <w:highlight w:val="none"/>
        </w:rPr>
        <w:t>按照本合同约定，在勘察、设计、保修等阶段提供的服务活动</w:t>
      </w:r>
      <w:r>
        <w:rPr>
          <w:rFonts w:hint="eastAsia" w:ascii="仿宋_GB2312" w:hAnsi="宋体" w:eastAsia="仿宋_GB2312"/>
          <w:sz w:val="32"/>
          <w:szCs w:val="32"/>
          <w:highlight w:val="none"/>
        </w:rPr>
        <w:t>。</w:t>
      </w:r>
    </w:p>
    <w:p w14:paraId="79E0D296">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1.1.7</w:t>
      </w:r>
      <w:r>
        <w:rPr>
          <w:rFonts w:hint="eastAsia" w:ascii="仿宋_GB2312" w:hAnsi="宋体" w:eastAsia="仿宋_GB2312"/>
          <w:sz w:val="32"/>
          <w:szCs w:val="32"/>
          <w:highlight w:val="none"/>
        </w:rPr>
        <w:t xml:space="preserve"> “正常工作”指本合同订立时通用条件和专用条件中约定的监理人的</w:t>
      </w:r>
      <w:r>
        <w:rPr>
          <w:rFonts w:hint="eastAsia" w:ascii="仿宋_GB2312" w:hAnsi="宋体" w:eastAsia="仿宋_GB2312"/>
          <w:color w:val="000000"/>
          <w:sz w:val="32"/>
          <w:szCs w:val="32"/>
          <w:highlight w:val="none"/>
        </w:rPr>
        <w:t>工作</w:t>
      </w:r>
      <w:r>
        <w:rPr>
          <w:rFonts w:hint="eastAsia" w:ascii="仿宋_GB2312" w:hAnsi="宋体" w:eastAsia="仿宋_GB2312"/>
          <w:sz w:val="32"/>
          <w:szCs w:val="32"/>
          <w:highlight w:val="none"/>
        </w:rPr>
        <w:t>。</w:t>
      </w:r>
    </w:p>
    <w:p w14:paraId="25ECDE9A">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1.1.8</w:t>
      </w:r>
      <w:r>
        <w:rPr>
          <w:rFonts w:hint="eastAsia" w:ascii="仿宋_GB2312" w:hAnsi="宋体" w:eastAsia="仿宋_GB2312"/>
          <w:sz w:val="32"/>
          <w:szCs w:val="32"/>
          <w:highlight w:val="none"/>
        </w:rPr>
        <w:t xml:space="preserve"> “附加工作”是指本合同约定的正常工作以外监理人的工作。</w:t>
      </w:r>
    </w:p>
    <w:p w14:paraId="7FFA2800">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1.1.9</w:t>
      </w:r>
      <w:r>
        <w:rPr>
          <w:rFonts w:hint="eastAsia" w:ascii="仿宋_GB2312" w:hAnsi="宋体" w:eastAsia="仿宋_GB2312"/>
          <w:sz w:val="32"/>
          <w:szCs w:val="32"/>
          <w:highlight w:val="none"/>
        </w:rPr>
        <w:t xml:space="preserve"> “项目监理机构”是指监理人派驻工程负责履行本合同的组织机构。</w:t>
      </w:r>
    </w:p>
    <w:p w14:paraId="29CEA3F1">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1.1.10 </w:t>
      </w:r>
      <w:r>
        <w:rPr>
          <w:rFonts w:hint="eastAsia" w:ascii="仿宋_GB2312" w:hAnsi="宋体" w:eastAsia="仿宋_GB2312"/>
          <w:sz w:val="32"/>
          <w:szCs w:val="32"/>
          <w:highlight w:val="none"/>
        </w:rPr>
        <w:t>“总监理工程师”是指由监理人的法定代表人书面授权，全面负责履行本合同、主持项目监理机构工作的注册监理工程师。</w:t>
      </w:r>
    </w:p>
    <w:p w14:paraId="00568841">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1.1.11</w:t>
      </w:r>
      <w:r>
        <w:rPr>
          <w:rFonts w:hint="eastAsia" w:ascii="仿宋_GB2312" w:hAnsi="宋体" w:eastAsia="仿宋_GB2312"/>
          <w:sz w:val="32"/>
          <w:szCs w:val="32"/>
          <w:highlight w:val="none"/>
        </w:rPr>
        <w:t xml:space="preserve"> “酬金”是指监理人履行本合同义务，委托人按照本合同约定给付监理人的金额。</w:t>
      </w:r>
    </w:p>
    <w:p w14:paraId="6AA50BF2">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1.1.12 </w:t>
      </w:r>
      <w:r>
        <w:rPr>
          <w:rFonts w:hint="eastAsia" w:ascii="仿宋_GB2312" w:hAnsi="宋体" w:eastAsia="仿宋_GB2312"/>
          <w:sz w:val="32"/>
          <w:szCs w:val="32"/>
          <w:highlight w:val="none"/>
        </w:rPr>
        <w:t>“正常工作</w:t>
      </w:r>
      <w:r>
        <w:rPr>
          <w:rFonts w:hint="eastAsia" w:ascii="仿宋_GB2312" w:hAnsi="ˎ̥" w:eastAsia="仿宋_GB2312" w:cs="宋体"/>
          <w:kern w:val="0"/>
          <w:sz w:val="32"/>
          <w:szCs w:val="32"/>
          <w:highlight w:val="none"/>
        </w:rPr>
        <w:t>酬金”</w:t>
      </w:r>
      <w:r>
        <w:rPr>
          <w:rFonts w:hint="eastAsia" w:ascii="仿宋_GB2312" w:hAnsi="宋体" w:eastAsia="仿宋_GB2312"/>
          <w:sz w:val="32"/>
          <w:szCs w:val="32"/>
          <w:highlight w:val="none"/>
        </w:rPr>
        <w:t>是指监理人完成正常工作，委托人应给付监理人并在协议书中载明的签约</w:t>
      </w:r>
      <w:r>
        <w:rPr>
          <w:rFonts w:hint="eastAsia" w:ascii="仿宋_GB2312" w:hAnsi="ˎ̥" w:eastAsia="仿宋_GB2312" w:cs="宋体"/>
          <w:kern w:val="0"/>
          <w:sz w:val="32"/>
          <w:szCs w:val="32"/>
          <w:highlight w:val="none"/>
        </w:rPr>
        <w:t>酬金额</w:t>
      </w:r>
      <w:r>
        <w:rPr>
          <w:rFonts w:hint="eastAsia" w:ascii="仿宋_GB2312" w:hAnsi="宋体" w:eastAsia="仿宋_GB2312"/>
          <w:sz w:val="32"/>
          <w:szCs w:val="32"/>
          <w:highlight w:val="none"/>
        </w:rPr>
        <w:t>。</w:t>
      </w:r>
    </w:p>
    <w:p w14:paraId="2BCDED92">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1.1.13 </w:t>
      </w:r>
      <w:r>
        <w:rPr>
          <w:rFonts w:hint="eastAsia" w:ascii="仿宋_GB2312" w:hAnsi="宋体" w:eastAsia="仿宋_GB2312"/>
          <w:sz w:val="32"/>
          <w:szCs w:val="32"/>
          <w:highlight w:val="none"/>
        </w:rPr>
        <w:t>“附加工作酬金”是指监理人完成附加工作，委托人应给付监理人的金额。</w:t>
      </w:r>
    </w:p>
    <w:p w14:paraId="0531B489">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1.1.14 </w:t>
      </w:r>
      <w:r>
        <w:rPr>
          <w:rFonts w:hint="eastAsia" w:ascii="仿宋_GB2312" w:hAnsi="宋体" w:eastAsia="仿宋_GB2312"/>
          <w:sz w:val="32"/>
          <w:szCs w:val="32"/>
          <w:highlight w:val="none"/>
        </w:rPr>
        <w:t>“一方”是指委托人或监理人</w:t>
      </w:r>
      <w:r>
        <w:rPr>
          <w:rFonts w:hint="eastAsia" w:ascii="仿宋_GB2312" w:eastAsia="仿宋_GB2312"/>
          <w:sz w:val="32"/>
          <w:szCs w:val="32"/>
          <w:highlight w:val="none"/>
        </w:rPr>
        <w:t>；</w:t>
      </w:r>
      <w:r>
        <w:rPr>
          <w:rFonts w:hint="eastAsia" w:ascii="仿宋_GB2312" w:hAnsi="宋体" w:eastAsia="仿宋_GB2312"/>
          <w:sz w:val="32"/>
          <w:szCs w:val="32"/>
          <w:highlight w:val="none"/>
        </w:rPr>
        <w:t>“双方”是指委托人和监理人</w:t>
      </w:r>
      <w:r>
        <w:rPr>
          <w:rFonts w:hint="eastAsia" w:ascii="仿宋_GB2312" w:eastAsia="仿宋_GB2312"/>
          <w:sz w:val="32"/>
          <w:szCs w:val="32"/>
          <w:highlight w:val="none"/>
        </w:rPr>
        <w:t>；</w:t>
      </w:r>
      <w:r>
        <w:rPr>
          <w:rFonts w:hint="eastAsia" w:ascii="仿宋_GB2312" w:hAnsi="宋体" w:eastAsia="仿宋_GB2312"/>
          <w:sz w:val="32"/>
          <w:szCs w:val="32"/>
          <w:highlight w:val="none"/>
        </w:rPr>
        <w:t>“第三方”是指除委托人和监理人以外的有关方。</w:t>
      </w:r>
    </w:p>
    <w:p w14:paraId="12CC6D74">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1.1.15 “书面形式”是指合同书、信件和数据电文（包括电报、电传、传真、电子数据交换和电子邮件）等可以有形地表现所载内容的形式。</w:t>
      </w:r>
    </w:p>
    <w:p w14:paraId="4711B6E1">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1.1.16 </w:t>
      </w:r>
      <w:r>
        <w:rPr>
          <w:rFonts w:hint="eastAsia" w:ascii="仿宋_GB2312" w:hAnsi="宋体" w:eastAsia="仿宋_GB2312"/>
          <w:sz w:val="32"/>
          <w:szCs w:val="32"/>
          <w:highlight w:val="none"/>
        </w:rPr>
        <w:t>“天”是指第一天零时至第二天零时的时间。</w:t>
      </w:r>
    </w:p>
    <w:p w14:paraId="6409EA8B">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1.1.17</w:t>
      </w:r>
      <w:r>
        <w:rPr>
          <w:rFonts w:hint="eastAsia" w:ascii="仿宋_GB2312" w:hAnsi="宋体" w:eastAsia="仿宋_GB2312"/>
          <w:sz w:val="32"/>
          <w:szCs w:val="32"/>
          <w:highlight w:val="none"/>
        </w:rPr>
        <w:t>“月”是指按公历从一个月中任何一天开始的一个公历月时间。</w:t>
      </w:r>
    </w:p>
    <w:p w14:paraId="0290EBDD">
      <w:pPr>
        <w:adjustRightInd w:val="0"/>
        <w:snapToGrid w:val="0"/>
        <w:spacing w:line="360" w:lineRule="auto"/>
        <w:ind w:firstLine="645"/>
        <w:rPr>
          <w:rFonts w:hint="eastAsia"/>
          <w:sz w:val="30"/>
          <w:szCs w:val="30"/>
          <w:highlight w:val="none"/>
        </w:rPr>
      </w:pPr>
      <w:r>
        <w:rPr>
          <w:rFonts w:hint="eastAsia" w:ascii="仿宋_GB2312" w:eastAsia="仿宋_GB2312"/>
          <w:sz w:val="32"/>
          <w:szCs w:val="32"/>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FA2C50E">
      <w:pPr>
        <w:adjustRightInd w:val="0"/>
        <w:snapToGrid w:val="0"/>
        <w:spacing w:line="360" w:lineRule="auto"/>
        <w:ind w:left="320" w:leftChars="100"/>
        <w:rPr>
          <w:rFonts w:hint="eastAsia" w:ascii="仿宋_GB2312" w:eastAsia="仿宋_GB2312"/>
          <w:sz w:val="32"/>
          <w:szCs w:val="32"/>
          <w:highlight w:val="none"/>
        </w:rPr>
      </w:pPr>
      <w:r>
        <w:rPr>
          <w:rFonts w:hint="eastAsia" w:ascii="仿宋_GB2312" w:eastAsia="仿宋_GB2312"/>
          <w:bCs/>
          <w:sz w:val="32"/>
          <w:szCs w:val="32"/>
          <w:highlight w:val="none"/>
        </w:rPr>
        <w:t xml:space="preserve">1.2 </w:t>
      </w:r>
      <w:r>
        <w:rPr>
          <w:rFonts w:hint="eastAsia" w:ascii="仿宋_GB2312" w:hAnsi="宋体" w:eastAsia="仿宋_GB2312"/>
          <w:sz w:val="32"/>
          <w:szCs w:val="32"/>
          <w:highlight w:val="none"/>
        </w:rPr>
        <w:t>解释</w:t>
      </w:r>
    </w:p>
    <w:p w14:paraId="7B62069A">
      <w:pPr>
        <w:tabs>
          <w:tab w:val="left" w:pos="6140"/>
        </w:tabs>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1.2.1</w:t>
      </w:r>
      <w:r>
        <w:rPr>
          <w:rFonts w:hint="eastAsia" w:ascii="仿宋_GB2312" w:hAnsi="宋体" w:eastAsia="仿宋_GB2312"/>
          <w:sz w:val="32"/>
          <w:szCs w:val="32"/>
          <w:highlight w:val="none"/>
        </w:rPr>
        <w:t>本合同使用中文书写、解释和说明。如专用条件约定使用两种及以上语言文字时，应以中文为准。</w:t>
      </w:r>
    </w:p>
    <w:p w14:paraId="3E51AAAF">
      <w:pPr>
        <w:tabs>
          <w:tab w:val="left" w:pos="6140"/>
        </w:tabs>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1.2.2 </w:t>
      </w:r>
      <w:r>
        <w:rPr>
          <w:rFonts w:hint="eastAsia" w:ascii="仿宋_GB2312" w:hAnsi="宋体" w:eastAsia="仿宋_GB2312"/>
          <w:sz w:val="32"/>
          <w:szCs w:val="32"/>
          <w:highlight w:val="none"/>
        </w:rPr>
        <w:t>组成本合同的下列文件彼此应能相互解释、互为说明。除专用条件另有约定外，本合同文件的解释顺序如下：</w:t>
      </w:r>
    </w:p>
    <w:p w14:paraId="7D40B50B">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）协议书；</w:t>
      </w:r>
    </w:p>
    <w:p w14:paraId="0AF18498">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）中标通知书（适用于招标工程）或委托书（适用于非招标工程）；</w:t>
      </w:r>
    </w:p>
    <w:p w14:paraId="2462AE0F">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（3）专用条件及附录</w:t>
      </w:r>
      <w:r>
        <w:rPr>
          <w:rFonts w:hint="eastAsia" w:ascii="仿宋_GB2312" w:eastAsia="仿宋_GB2312"/>
          <w:sz w:val="32"/>
          <w:szCs w:val="32"/>
          <w:highlight w:val="none"/>
        </w:rPr>
        <w:t>A</w:t>
      </w:r>
      <w:r>
        <w:rPr>
          <w:rFonts w:hint="eastAsia" w:ascii="仿宋_GB2312" w:hAnsi="宋体" w:eastAsia="仿宋_GB2312"/>
          <w:sz w:val="32"/>
          <w:szCs w:val="32"/>
          <w:highlight w:val="none"/>
        </w:rPr>
        <w:t>、附录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w:t>
      </w:r>
    </w:p>
    <w:p w14:paraId="320A53F3">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4</w:t>
      </w:r>
      <w:r>
        <w:rPr>
          <w:rFonts w:hint="eastAsia" w:ascii="仿宋_GB2312" w:hAnsi="宋体" w:eastAsia="仿宋_GB2312"/>
          <w:sz w:val="32"/>
          <w:szCs w:val="32"/>
          <w:highlight w:val="none"/>
        </w:rPr>
        <w:t>）通用条件；</w:t>
      </w:r>
    </w:p>
    <w:p w14:paraId="3A96AA33">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（5）投标文件（适用于招标工程）或监理与相关服务建议书（适用于非招标工程）。</w:t>
      </w:r>
    </w:p>
    <w:p w14:paraId="07E40EB9">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双方签订的补充协议与其他文件发生矛盾或歧义时，属于同一类内容的文件，应以最新签署的为准。</w:t>
      </w:r>
    </w:p>
    <w:p w14:paraId="4D638E46">
      <w:pPr>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2. 监理人的义务</w:t>
      </w:r>
    </w:p>
    <w:p w14:paraId="04D7749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w:t>
      </w:r>
      <w:r>
        <w:rPr>
          <w:rFonts w:hint="eastAsia" w:ascii="仿宋_GB2312" w:eastAsia="仿宋_GB2312"/>
          <w:sz w:val="32"/>
          <w:szCs w:val="32"/>
          <w:highlight w:val="none"/>
        </w:rPr>
        <w:t>收到工程设计文件后</w:t>
      </w:r>
      <w:r>
        <w:rPr>
          <w:rFonts w:hint="eastAsia" w:ascii="仿宋_GB2312" w:hAnsi="宋体" w:eastAsia="仿宋_GB2312"/>
          <w:sz w:val="32"/>
          <w:szCs w:val="32"/>
          <w:highlight w:val="none"/>
        </w:rPr>
        <w:t>编制监理规划，并在第一次工地会议7天前报委托人。根据有关规定和监理工作需要，编制监理实施细则；</w:t>
      </w:r>
    </w:p>
    <w:p w14:paraId="071F39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）熟悉工程设计文件，并参加由委托人主持的图纸会审和设计交底会议；</w:t>
      </w:r>
    </w:p>
    <w:p w14:paraId="0987628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3</w:t>
      </w:r>
      <w:r>
        <w:rPr>
          <w:rFonts w:hint="eastAsia" w:ascii="仿宋_GB2312" w:hAnsi="宋体" w:eastAsia="仿宋_GB2312"/>
          <w:sz w:val="32"/>
          <w:szCs w:val="32"/>
          <w:highlight w:val="none"/>
        </w:rPr>
        <w:t>）参加由委托人主持的第一次工地会议；主持监理例会并根据工程需要主持或参加专题会议；</w:t>
      </w:r>
    </w:p>
    <w:p w14:paraId="0C997B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4</w:t>
      </w:r>
      <w:r>
        <w:rPr>
          <w:rFonts w:hint="eastAsia" w:ascii="仿宋_GB2312" w:hAnsi="宋体" w:eastAsia="仿宋_GB2312"/>
          <w:sz w:val="32"/>
          <w:szCs w:val="32"/>
          <w:highlight w:val="none"/>
        </w:rPr>
        <w:t>）审查施工承包人提交的施工组织设计，重点审查其中的质量安全技术措施、专项施工方案与工程建设强制性标准的符合性；</w:t>
      </w:r>
    </w:p>
    <w:p w14:paraId="7520E472">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5</w:t>
      </w:r>
      <w:r>
        <w:rPr>
          <w:rFonts w:hint="eastAsia" w:ascii="仿宋_GB2312" w:hAnsi="宋体" w:eastAsia="仿宋_GB2312"/>
          <w:sz w:val="32"/>
          <w:szCs w:val="32"/>
          <w:highlight w:val="none"/>
        </w:rPr>
        <w:t>）检查施工承包人工程质量、安全生产管理制度及组织机构和人员资格；</w:t>
      </w:r>
      <w:r>
        <w:rPr>
          <w:rFonts w:hint="eastAsia" w:ascii="仿宋_GB2312" w:eastAsia="仿宋_GB2312"/>
          <w:sz w:val="32"/>
          <w:szCs w:val="32"/>
          <w:highlight w:val="none"/>
        </w:rPr>
        <w:t xml:space="preserve"> </w:t>
      </w:r>
    </w:p>
    <w:p w14:paraId="041FA0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6</w:t>
      </w:r>
      <w:r>
        <w:rPr>
          <w:rFonts w:hint="eastAsia" w:ascii="仿宋_GB2312" w:hAnsi="宋体" w:eastAsia="仿宋_GB2312"/>
          <w:sz w:val="32"/>
          <w:szCs w:val="32"/>
          <w:highlight w:val="none"/>
        </w:rPr>
        <w:t>）检查施工承包人专职安全生产管理人员的配备情况；</w:t>
      </w:r>
    </w:p>
    <w:p w14:paraId="1A29B5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7</w:t>
      </w:r>
      <w:r>
        <w:rPr>
          <w:rFonts w:hint="eastAsia" w:ascii="仿宋_GB2312" w:hAnsi="宋体" w:eastAsia="仿宋_GB2312"/>
          <w:sz w:val="32"/>
          <w:szCs w:val="32"/>
          <w:highlight w:val="none"/>
        </w:rPr>
        <w:t>）审查施工承包人提交的施工进度计划，核查承包人对施工进度计划的调整；</w:t>
      </w:r>
    </w:p>
    <w:p w14:paraId="44392A61">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8</w:t>
      </w:r>
      <w:r>
        <w:rPr>
          <w:rFonts w:hint="eastAsia" w:ascii="仿宋_GB2312" w:hAnsi="宋体" w:eastAsia="仿宋_GB2312"/>
          <w:sz w:val="32"/>
          <w:szCs w:val="32"/>
          <w:highlight w:val="none"/>
        </w:rPr>
        <w:t>）检查</w:t>
      </w:r>
      <w:r>
        <w:rPr>
          <w:rFonts w:hint="eastAsia" w:ascii="仿宋_GB2312" w:hAnsi="宋体"/>
          <w:sz w:val="32"/>
          <w:szCs w:val="32"/>
          <w:highlight w:val="none"/>
          <w:lang w:val="en-US" w:eastAsia="zh-CN"/>
        </w:rPr>
        <w:t>项目的各种设备的品牌以及质量是否符合设计需求，需做好项目相关设备器件的验收工作</w:t>
      </w:r>
      <w:r>
        <w:rPr>
          <w:rFonts w:hint="eastAsia" w:ascii="仿宋_GB2312" w:hAnsi="宋体" w:eastAsia="仿宋_GB2312"/>
          <w:sz w:val="32"/>
          <w:szCs w:val="32"/>
          <w:highlight w:val="none"/>
        </w:rPr>
        <w:t>；</w:t>
      </w:r>
    </w:p>
    <w:p w14:paraId="7EB7A8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9</w:t>
      </w:r>
      <w:r>
        <w:rPr>
          <w:rFonts w:hint="eastAsia" w:ascii="仿宋_GB2312" w:hAnsi="宋体" w:eastAsia="仿宋_GB2312"/>
          <w:sz w:val="32"/>
          <w:szCs w:val="32"/>
          <w:highlight w:val="none"/>
        </w:rPr>
        <w:t>）审核施工分包人资质条件；</w:t>
      </w:r>
    </w:p>
    <w:p w14:paraId="37C8DCD9">
      <w:pPr>
        <w:keepNext w:val="0"/>
        <w:keepLines w:val="0"/>
        <w:pageBreakBefore w:val="0"/>
        <w:widowControl w:val="0"/>
        <w:kinsoku/>
        <w:wordWrap/>
        <w:overflowPunct/>
        <w:topLinePunct w:val="0"/>
        <w:autoSpaceDE/>
        <w:autoSpaceDN/>
        <w:bidi w:val="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10</w:t>
      </w:r>
      <w:r>
        <w:rPr>
          <w:rFonts w:hint="eastAsia" w:ascii="仿宋_GB2312" w:hAnsi="宋体" w:eastAsia="仿宋_GB2312"/>
          <w:sz w:val="32"/>
          <w:szCs w:val="32"/>
          <w:highlight w:val="none"/>
        </w:rPr>
        <w:t>）查验施工承包人的施工测量放线成果；</w:t>
      </w:r>
    </w:p>
    <w:p w14:paraId="1971F887">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11</w:t>
      </w:r>
      <w:r>
        <w:rPr>
          <w:rFonts w:hint="eastAsia" w:ascii="仿宋_GB2312" w:hAnsi="宋体" w:eastAsia="仿宋_GB2312"/>
          <w:sz w:val="32"/>
          <w:szCs w:val="32"/>
          <w:highlight w:val="none"/>
        </w:rPr>
        <w:t>）审查工程开工条件</w:t>
      </w:r>
      <w:r>
        <w:rPr>
          <w:rFonts w:hint="eastAsia" w:ascii="仿宋_GB2312" w:eastAsia="仿宋_GB2312"/>
          <w:sz w:val="32"/>
          <w:szCs w:val="32"/>
          <w:highlight w:val="none"/>
        </w:rPr>
        <w:t>，对条件具备的</w:t>
      </w:r>
      <w:r>
        <w:rPr>
          <w:rFonts w:hint="eastAsia" w:ascii="仿宋_GB2312" w:hAnsi="宋体" w:eastAsia="仿宋_GB2312"/>
          <w:sz w:val="32"/>
          <w:szCs w:val="32"/>
          <w:highlight w:val="none"/>
        </w:rPr>
        <w:t>签发开工令；</w:t>
      </w:r>
    </w:p>
    <w:p w14:paraId="10D59462">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12</w:t>
      </w:r>
      <w:r>
        <w:rPr>
          <w:rFonts w:hint="eastAsia" w:ascii="仿宋_GB2312" w:hAnsi="宋体" w:eastAsia="仿宋_GB2312"/>
          <w:sz w:val="32"/>
          <w:szCs w:val="32"/>
          <w:highlight w:val="none"/>
        </w:rPr>
        <w:t>）审查施工承包人报送的工程材料、构配件、设备质量证明文件的有效性和符合性，并按规定对用于工程的材料采取平行检验或见证取样方式进行抽检；</w:t>
      </w:r>
    </w:p>
    <w:p w14:paraId="66DF22C0">
      <w:pPr>
        <w:keepNext w:val="0"/>
        <w:keepLines w:val="0"/>
        <w:pageBreakBefore w:val="0"/>
        <w:widowControl w:val="0"/>
        <w:kinsoku/>
        <w:wordWrap/>
        <w:overflowPunct/>
        <w:topLinePunct w:val="0"/>
        <w:autoSpaceDE/>
        <w:autoSpaceDN/>
        <w:bidi w:val="0"/>
        <w:adjustRightInd w:val="0"/>
        <w:snapToGrid w:val="0"/>
        <w:spacing w:line="360" w:lineRule="auto"/>
        <w:ind w:left="-147" w:leftChars="-46"/>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13</w:t>
      </w:r>
      <w:r>
        <w:rPr>
          <w:rFonts w:hint="eastAsia" w:ascii="仿宋_GB2312" w:hAnsi="宋体" w:eastAsia="仿宋_GB2312"/>
          <w:sz w:val="32"/>
          <w:szCs w:val="32"/>
          <w:highlight w:val="none"/>
        </w:rPr>
        <w:t>）审核施工承包人提交的工程款支付申请，签发或出具工程款支付证书，并报委托人审核、批准；</w:t>
      </w:r>
    </w:p>
    <w:p w14:paraId="1C0C600D">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14</w:t>
      </w:r>
      <w:r>
        <w:rPr>
          <w:rFonts w:hint="eastAsia" w:ascii="仿宋_GB2312" w:hAnsi="宋体" w:eastAsia="仿宋_GB2312"/>
          <w:sz w:val="32"/>
          <w:szCs w:val="32"/>
          <w:highlight w:val="none"/>
        </w:rPr>
        <w:t>）在巡视、旁站和检验过程中，发现工程质量、施工安全存在事故隐患的</w:t>
      </w:r>
      <w:r>
        <w:rPr>
          <w:rFonts w:hint="eastAsia" w:ascii="仿宋_GB2312" w:eastAsia="仿宋_GB2312"/>
          <w:sz w:val="32"/>
          <w:szCs w:val="32"/>
          <w:highlight w:val="none"/>
        </w:rPr>
        <w:t>，</w:t>
      </w:r>
      <w:r>
        <w:rPr>
          <w:rFonts w:hint="eastAsia" w:ascii="仿宋_GB2312" w:hAnsi="宋体" w:eastAsia="仿宋_GB2312"/>
          <w:sz w:val="32"/>
          <w:szCs w:val="32"/>
          <w:highlight w:val="none"/>
        </w:rPr>
        <w:t>要求施工承包人整改并报委托人；</w:t>
      </w:r>
    </w:p>
    <w:p w14:paraId="4B07F9F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15</w:t>
      </w:r>
      <w:r>
        <w:rPr>
          <w:rFonts w:hint="eastAsia" w:ascii="仿宋_GB2312" w:hAnsi="宋体" w:eastAsia="仿宋_GB2312"/>
          <w:sz w:val="32"/>
          <w:szCs w:val="32"/>
          <w:highlight w:val="none"/>
        </w:rPr>
        <w:t>）经委托人同意，签发工程暂停令和复工令；</w:t>
      </w:r>
    </w:p>
    <w:p w14:paraId="33B293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16</w:t>
      </w:r>
      <w:r>
        <w:rPr>
          <w:rFonts w:hint="eastAsia" w:ascii="仿宋_GB2312" w:hAnsi="宋体" w:eastAsia="仿宋_GB2312"/>
          <w:sz w:val="32"/>
          <w:szCs w:val="32"/>
          <w:highlight w:val="none"/>
        </w:rPr>
        <w:t>）审查施工承包人提交的采用新材料、新工艺、新技术、新设备的论证材料及相关验收标准；</w:t>
      </w:r>
    </w:p>
    <w:p w14:paraId="147BA3F3">
      <w:pPr>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17</w:t>
      </w:r>
      <w:r>
        <w:rPr>
          <w:rFonts w:hint="eastAsia" w:ascii="仿宋_GB2312" w:hAnsi="宋体" w:eastAsia="仿宋_GB2312"/>
          <w:sz w:val="32"/>
          <w:szCs w:val="32"/>
          <w:highlight w:val="none"/>
        </w:rPr>
        <w:t>）验收隐蔽工程、分部分项工程；</w:t>
      </w:r>
    </w:p>
    <w:p w14:paraId="67FD0C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18</w:t>
      </w:r>
      <w:r>
        <w:rPr>
          <w:rFonts w:hint="eastAsia" w:ascii="仿宋_GB2312" w:hAnsi="宋体" w:eastAsia="仿宋_GB2312"/>
          <w:sz w:val="32"/>
          <w:szCs w:val="32"/>
          <w:highlight w:val="none"/>
        </w:rPr>
        <w:t>）审查施工承包人提交的工程变更申请，协调处理施工进度调整、费用索赔、合同争议等事项；</w:t>
      </w:r>
    </w:p>
    <w:p w14:paraId="45BF25EE">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19</w:t>
      </w:r>
      <w:r>
        <w:rPr>
          <w:rFonts w:hint="eastAsia" w:ascii="仿宋_GB2312" w:hAnsi="宋体" w:eastAsia="仿宋_GB2312"/>
          <w:sz w:val="32"/>
          <w:szCs w:val="32"/>
          <w:highlight w:val="none"/>
        </w:rPr>
        <w:t>）审查施工承包人提交的竣工验收申请，编写工程质量评估报告；</w:t>
      </w:r>
    </w:p>
    <w:p w14:paraId="34C82E3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（20）参加工程竣工验收，签署竣工验收意见；</w:t>
      </w:r>
    </w:p>
    <w:p w14:paraId="5482FAF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21</w:t>
      </w:r>
      <w:r>
        <w:rPr>
          <w:rFonts w:hint="eastAsia" w:ascii="仿宋_GB2312" w:hAnsi="宋体" w:eastAsia="仿宋_GB2312"/>
          <w:sz w:val="32"/>
          <w:szCs w:val="32"/>
          <w:highlight w:val="none"/>
        </w:rPr>
        <w:t>）审查施工承包人提交的竣工结算申请并报委托人；</w:t>
      </w:r>
    </w:p>
    <w:p w14:paraId="14DF2DD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22</w:t>
      </w:r>
      <w:r>
        <w:rPr>
          <w:rFonts w:hint="eastAsia" w:ascii="仿宋_GB2312" w:hAnsi="宋体" w:eastAsia="仿宋_GB2312"/>
          <w:sz w:val="32"/>
          <w:szCs w:val="32"/>
          <w:highlight w:val="none"/>
        </w:rPr>
        <w:t>）编制、整理工程监理归档文件并报委托人。</w:t>
      </w:r>
    </w:p>
    <w:p w14:paraId="240D2708">
      <w:pPr>
        <w:spacing w:line="360" w:lineRule="auto"/>
        <w:ind w:left="640" w:leftChars="200" w:firstLine="160" w:firstLineChars="5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2.1.3 </w:t>
      </w:r>
      <w:r>
        <w:rPr>
          <w:rFonts w:hint="eastAsia" w:ascii="仿宋_GB2312" w:hAnsi="宋体" w:eastAsia="仿宋_GB2312"/>
          <w:sz w:val="32"/>
          <w:szCs w:val="32"/>
          <w:highlight w:val="none"/>
        </w:rPr>
        <w:t>相关服务的范围和内容在附录</w:t>
      </w:r>
      <w:r>
        <w:rPr>
          <w:rFonts w:hint="eastAsia" w:ascii="仿宋_GB2312" w:eastAsia="仿宋_GB2312"/>
          <w:sz w:val="32"/>
          <w:szCs w:val="32"/>
          <w:highlight w:val="none"/>
        </w:rPr>
        <w:t>A</w:t>
      </w:r>
      <w:r>
        <w:rPr>
          <w:rFonts w:hint="eastAsia" w:ascii="仿宋_GB2312" w:hAnsi="宋体" w:eastAsia="仿宋_GB2312"/>
          <w:sz w:val="32"/>
          <w:szCs w:val="32"/>
          <w:highlight w:val="none"/>
        </w:rPr>
        <w:t>中约定。</w:t>
      </w:r>
    </w:p>
    <w:p w14:paraId="07196923">
      <w:pPr>
        <w:spacing w:line="360" w:lineRule="auto"/>
        <w:ind w:firstLine="320" w:firstLine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2.2 </w:t>
      </w:r>
      <w:r>
        <w:rPr>
          <w:rFonts w:hint="eastAsia" w:ascii="仿宋_GB2312" w:hAnsi="宋体" w:eastAsia="仿宋_GB2312"/>
          <w:bCs/>
          <w:sz w:val="32"/>
          <w:szCs w:val="32"/>
          <w:highlight w:val="none"/>
        </w:rPr>
        <w:t>监理与相关服务依据</w:t>
      </w:r>
    </w:p>
    <w:p w14:paraId="30F40E3F">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2.2.1 监理依据包括：</w:t>
      </w:r>
    </w:p>
    <w:p w14:paraId="21329CA1">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）适用的法律、行政法规及部门规章；</w:t>
      </w:r>
    </w:p>
    <w:p w14:paraId="419F8D06">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）与工程有关的标准；</w:t>
      </w:r>
    </w:p>
    <w:p w14:paraId="21C1CEC5">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（3）工程设计及有关文件；</w:t>
      </w:r>
    </w:p>
    <w:p w14:paraId="79FA1B56">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4</w:t>
      </w:r>
      <w:r>
        <w:rPr>
          <w:rFonts w:hint="eastAsia" w:ascii="仿宋_GB2312" w:hAnsi="宋体" w:eastAsia="仿宋_GB2312"/>
          <w:sz w:val="32"/>
          <w:szCs w:val="32"/>
          <w:highlight w:val="none"/>
        </w:rPr>
        <w:t>）本合同及委托人与第三方签订的与实施工程有关的其他合同。</w:t>
      </w:r>
    </w:p>
    <w:p w14:paraId="535F36F6">
      <w:pPr>
        <w:spacing w:line="360" w:lineRule="auto"/>
        <w:ind w:left="320" w:leftChars="100"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双方根据工程的行业和地域特点，在专用条件中具体约定监理依据。</w:t>
      </w:r>
    </w:p>
    <w:p w14:paraId="5FC70BB7">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2.2.2 相关服务依据在专用条件中约定。</w:t>
      </w:r>
    </w:p>
    <w:p w14:paraId="27364AAC">
      <w:pPr>
        <w:spacing w:line="360" w:lineRule="auto"/>
        <w:ind w:firstLine="320" w:firstLine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2.3 </w:t>
      </w:r>
      <w:r>
        <w:rPr>
          <w:rFonts w:hint="eastAsia" w:ascii="仿宋_GB2312" w:hAnsi="宋体" w:eastAsia="仿宋_GB2312" w:cs="宋体"/>
          <w:kern w:val="0"/>
          <w:sz w:val="32"/>
          <w:szCs w:val="32"/>
          <w:highlight w:val="none"/>
        </w:rPr>
        <w:t>项目监理机构和人员</w:t>
      </w:r>
    </w:p>
    <w:p w14:paraId="19ED585A">
      <w:pPr>
        <w:adjustRightInd w:val="0"/>
        <w:snapToGrid w:val="0"/>
        <w:spacing w:line="360" w:lineRule="auto"/>
        <w:ind w:firstLine="645"/>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2.3.1 </w:t>
      </w:r>
      <w:r>
        <w:rPr>
          <w:rFonts w:hint="eastAsia" w:ascii="仿宋_GB2312" w:hAnsi="宋体" w:eastAsia="仿宋_GB2312"/>
          <w:kern w:val="0"/>
          <w:sz w:val="32"/>
          <w:szCs w:val="32"/>
          <w:highlight w:val="none"/>
        </w:rPr>
        <w:t>监理人应组建满足工作需要的项目监理机构，配备必要的检测设备。项目监理机构的主要人员应具有相应的资格条件。</w:t>
      </w:r>
    </w:p>
    <w:p w14:paraId="08D48253">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2.3.2</w:t>
      </w:r>
      <w:r>
        <w:rPr>
          <w:rFonts w:hint="eastAsia" w:ascii="仿宋_GB2312" w:hAnsi="宋体" w:eastAsia="仿宋_GB2312"/>
          <w:kern w:val="0"/>
          <w:sz w:val="32"/>
          <w:szCs w:val="32"/>
          <w:highlight w:val="none"/>
        </w:rPr>
        <w:t>本合同履行过程中，总监理工程师及重要岗位监理人员应保持相对稳定，以保证监理工作正常进行。</w:t>
      </w:r>
    </w:p>
    <w:p w14:paraId="071ECA7A">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2.3.3</w:t>
      </w:r>
      <w:r>
        <w:rPr>
          <w:rFonts w:hint="eastAsia" w:ascii="仿宋_GB2312" w:hAnsi="宋体" w:eastAsia="仿宋_GB2312"/>
          <w:kern w:val="0"/>
          <w:sz w:val="32"/>
          <w:szCs w:val="32"/>
          <w:highlight w:val="none"/>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1C1CC68">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2.3.4 </w:t>
      </w:r>
      <w:r>
        <w:rPr>
          <w:rFonts w:hint="eastAsia" w:ascii="仿宋_GB2312" w:hAnsi="宋体" w:eastAsia="仿宋_GB2312"/>
          <w:kern w:val="0"/>
          <w:sz w:val="32"/>
          <w:szCs w:val="32"/>
          <w:highlight w:val="none"/>
        </w:rPr>
        <w:t>监理人应及时更换有下列情形之一的监理人员：</w:t>
      </w:r>
    </w:p>
    <w:p w14:paraId="750A36D8">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1</w:t>
      </w:r>
      <w:r>
        <w:rPr>
          <w:rFonts w:hint="eastAsia" w:ascii="仿宋_GB2312" w:hAnsi="宋体" w:eastAsia="仿宋_GB2312"/>
          <w:kern w:val="0"/>
          <w:sz w:val="32"/>
          <w:szCs w:val="32"/>
          <w:highlight w:val="none"/>
        </w:rPr>
        <w:t>）严重过失行为的；</w:t>
      </w:r>
    </w:p>
    <w:p w14:paraId="46EA03C1">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2</w:t>
      </w:r>
      <w:r>
        <w:rPr>
          <w:rFonts w:hint="eastAsia" w:ascii="仿宋_GB2312" w:hAnsi="宋体" w:eastAsia="仿宋_GB2312"/>
          <w:kern w:val="0"/>
          <w:sz w:val="32"/>
          <w:szCs w:val="32"/>
          <w:highlight w:val="none"/>
        </w:rPr>
        <w:t>）有违法行为不能履行职责的；</w:t>
      </w:r>
    </w:p>
    <w:p w14:paraId="69BEEDD9">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3</w:t>
      </w:r>
      <w:r>
        <w:rPr>
          <w:rFonts w:hint="eastAsia" w:ascii="仿宋_GB2312" w:hAnsi="宋体" w:eastAsia="仿宋_GB2312"/>
          <w:kern w:val="0"/>
          <w:sz w:val="32"/>
          <w:szCs w:val="32"/>
          <w:highlight w:val="none"/>
        </w:rPr>
        <w:t>）涉嫌犯罪的；</w:t>
      </w:r>
    </w:p>
    <w:p w14:paraId="6B50ACDF">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4</w:t>
      </w:r>
      <w:r>
        <w:rPr>
          <w:rFonts w:hint="eastAsia" w:ascii="仿宋_GB2312" w:hAnsi="宋体" w:eastAsia="仿宋_GB2312"/>
          <w:kern w:val="0"/>
          <w:sz w:val="32"/>
          <w:szCs w:val="32"/>
          <w:highlight w:val="none"/>
        </w:rPr>
        <w:t>）不能胜任岗位职责的；</w:t>
      </w:r>
    </w:p>
    <w:p w14:paraId="4B451EE1">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5</w:t>
      </w:r>
      <w:r>
        <w:rPr>
          <w:rFonts w:hint="eastAsia" w:ascii="仿宋_GB2312" w:hAnsi="宋体" w:eastAsia="仿宋_GB2312"/>
          <w:kern w:val="0"/>
          <w:sz w:val="32"/>
          <w:szCs w:val="32"/>
          <w:highlight w:val="none"/>
        </w:rPr>
        <w:t>）严重违反职业道德的；</w:t>
      </w:r>
    </w:p>
    <w:p w14:paraId="2ECE02DC">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6</w:t>
      </w:r>
      <w:r>
        <w:rPr>
          <w:rFonts w:hint="eastAsia" w:ascii="仿宋_GB2312" w:hAnsi="宋体" w:eastAsia="仿宋_GB2312"/>
          <w:kern w:val="0"/>
          <w:sz w:val="32"/>
          <w:szCs w:val="32"/>
          <w:highlight w:val="none"/>
        </w:rPr>
        <w:t>）专用条件约定的其他情形。</w:t>
      </w:r>
    </w:p>
    <w:p w14:paraId="4E7531CE">
      <w:pPr>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2.3.5 委托人可要求监理人更换不能</w:t>
      </w:r>
      <w:r>
        <w:rPr>
          <w:rFonts w:hint="eastAsia" w:ascii="仿宋_GB2312" w:hAnsi="宋体" w:eastAsia="仿宋_GB2312"/>
          <w:kern w:val="0"/>
          <w:sz w:val="32"/>
          <w:szCs w:val="32"/>
          <w:highlight w:val="none"/>
        </w:rPr>
        <w:t>胜任本职工作</w:t>
      </w:r>
      <w:r>
        <w:rPr>
          <w:rFonts w:hint="eastAsia" w:ascii="仿宋_GB2312" w:eastAsia="仿宋_GB2312"/>
          <w:kern w:val="0"/>
          <w:sz w:val="32"/>
          <w:szCs w:val="32"/>
          <w:highlight w:val="none"/>
        </w:rPr>
        <w:t>的</w:t>
      </w:r>
      <w:r>
        <w:rPr>
          <w:rFonts w:hint="eastAsia" w:ascii="仿宋_GB2312" w:hAnsi="宋体" w:eastAsia="仿宋_GB2312"/>
          <w:kern w:val="0"/>
          <w:sz w:val="32"/>
          <w:szCs w:val="32"/>
          <w:highlight w:val="none"/>
        </w:rPr>
        <w:t>项目监理机构</w:t>
      </w:r>
      <w:r>
        <w:rPr>
          <w:rFonts w:hint="eastAsia" w:ascii="仿宋_GB2312" w:eastAsia="仿宋_GB2312"/>
          <w:kern w:val="0"/>
          <w:sz w:val="32"/>
          <w:szCs w:val="32"/>
          <w:highlight w:val="none"/>
        </w:rPr>
        <w:t>人员。</w:t>
      </w:r>
    </w:p>
    <w:p w14:paraId="79D80A93">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2.4 </w:t>
      </w:r>
      <w:r>
        <w:rPr>
          <w:rFonts w:hint="eastAsia" w:ascii="仿宋_GB2312" w:hAnsi="宋体" w:eastAsia="仿宋_GB2312" w:cs="宋体"/>
          <w:kern w:val="0"/>
          <w:sz w:val="32"/>
          <w:szCs w:val="32"/>
          <w:highlight w:val="none"/>
        </w:rPr>
        <w:t>履行职责</w:t>
      </w:r>
    </w:p>
    <w:p w14:paraId="4D1CE390">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kern w:val="0"/>
          <w:sz w:val="32"/>
          <w:szCs w:val="32"/>
          <w:highlight w:val="none"/>
        </w:rPr>
        <w:t>监理人应遵循职业道德准则和行为规范，严格按照法律法规、工程建设有关标准及本合同履行职责。</w:t>
      </w:r>
    </w:p>
    <w:p w14:paraId="59A7B007">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2.4.1 </w:t>
      </w:r>
      <w:r>
        <w:rPr>
          <w:rFonts w:hint="eastAsia" w:ascii="仿宋_GB2312" w:hAnsi="宋体" w:eastAsia="仿宋_GB2312"/>
          <w:kern w:val="0"/>
          <w:sz w:val="32"/>
          <w:szCs w:val="32"/>
          <w:highlight w:val="none"/>
        </w:rPr>
        <w:t>在监理与相关服务范围内，委托人和承包人提出的意见和要求，监理人应及时提出处置意见。当委托人与承包人之间发生合同争议时，监理人应协助委托人、承包人协商解决。</w:t>
      </w:r>
    </w:p>
    <w:p w14:paraId="7F1FC118">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2.4.2 </w:t>
      </w:r>
      <w:r>
        <w:rPr>
          <w:rFonts w:hint="eastAsia" w:ascii="仿宋_GB2312" w:hAnsi="宋体" w:eastAsia="仿宋_GB2312"/>
          <w:kern w:val="0"/>
          <w:sz w:val="32"/>
          <w:szCs w:val="32"/>
          <w:highlight w:val="none"/>
        </w:rPr>
        <w:t>当委托人与承包人之间的合同争议提交仲裁机构仲裁或人民法院审理时，监理人应提供必要的证明资料。</w:t>
      </w:r>
    </w:p>
    <w:p w14:paraId="54D668BE">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2.4.3 </w:t>
      </w:r>
      <w:r>
        <w:rPr>
          <w:rFonts w:hint="eastAsia" w:ascii="仿宋_GB2312" w:hAnsi="宋体" w:eastAsia="仿宋_GB2312"/>
          <w:kern w:val="0"/>
          <w:sz w:val="32"/>
          <w:szCs w:val="32"/>
          <w:highlight w:val="none"/>
        </w:rPr>
        <w:t>监理人应在专用条件约定的授权范围内，处理委托人与承包人所签订合同的变更事宜。如果变更超过授权范围，应以书面形式报委托人批准。</w:t>
      </w:r>
    </w:p>
    <w:p w14:paraId="246D8D49">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在紧急情况下，为了保护财产和人身安全，监理人所发出的指令未能事先报委托人批准时，应在发出指令后的</w:t>
      </w:r>
      <w:r>
        <w:rPr>
          <w:rFonts w:hint="eastAsia" w:ascii="仿宋_GB2312" w:eastAsia="仿宋_GB2312"/>
          <w:kern w:val="0"/>
          <w:sz w:val="32"/>
          <w:szCs w:val="32"/>
          <w:highlight w:val="none"/>
        </w:rPr>
        <w:t>24</w:t>
      </w:r>
      <w:r>
        <w:rPr>
          <w:rFonts w:hint="eastAsia" w:ascii="仿宋_GB2312" w:hAnsi="宋体" w:eastAsia="仿宋_GB2312"/>
          <w:kern w:val="0"/>
          <w:sz w:val="32"/>
          <w:szCs w:val="32"/>
          <w:highlight w:val="none"/>
        </w:rPr>
        <w:t>小时内以书面形式报委托人。</w:t>
      </w:r>
    </w:p>
    <w:p w14:paraId="70C3343D">
      <w:pPr>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2.4.4 除专用条件另有约定外，监理人发现承包人的人员不能胜任本职工作的，有权要求承包人予以调换。</w:t>
      </w:r>
    </w:p>
    <w:p w14:paraId="33C11300">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2.5 提交</w:t>
      </w:r>
      <w:r>
        <w:rPr>
          <w:rFonts w:hint="eastAsia" w:ascii="仿宋_GB2312" w:hAnsi="宋体" w:eastAsia="仿宋_GB2312" w:cs="宋体"/>
          <w:kern w:val="0"/>
          <w:sz w:val="32"/>
          <w:szCs w:val="32"/>
          <w:highlight w:val="none"/>
        </w:rPr>
        <w:t>报告</w:t>
      </w:r>
    </w:p>
    <w:p w14:paraId="56F5DC87">
      <w:pPr>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监理人应按专用条件约定的种类、时间和份数向委托人提交监理与相关服务的报告。</w:t>
      </w:r>
    </w:p>
    <w:p w14:paraId="4A531746">
      <w:pPr>
        <w:spacing w:line="360" w:lineRule="auto"/>
        <w:ind w:left="320" w:leftChars="1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2.6 </w:t>
      </w:r>
      <w:r>
        <w:rPr>
          <w:rFonts w:hint="eastAsia" w:ascii="仿宋_GB2312" w:hAnsi="宋体" w:eastAsia="仿宋_GB2312"/>
          <w:kern w:val="0"/>
          <w:sz w:val="32"/>
          <w:szCs w:val="32"/>
          <w:highlight w:val="none"/>
        </w:rPr>
        <w:t>文件资料</w:t>
      </w:r>
    </w:p>
    <w:p w14:paraId="387B250E">
      <w:pPr>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kern w:val="0"/>
          <w:sz w:val="32"/>
          <w:szCs w:val="32"/>
          <w:highlight w:val="none"/>
        </w:rPr>
        <w:t>在本合同履行期内，监理人应在现场保留工作所用的图纸、报告及记录监理工</w:t>
      </w:r>
      <w:r>
        <w:rPr>
          <w:rFonts w:hint="eastAsia" w:ascii="仿宋_GB2312" w:hAnsi="宋体" w:eastAsia="仿宋_GB2312"/>
          <w:sz w:val="32"/>
          <w:szCs w:val="32"/>
          <w:highlight w:val="none"/>
        </w:rPr>
        <w:t>作的相关文件。工程竣工后，应当按照档案管理规定将监理有关文件归档。</w:t>
      </w:r>
    </w:p>
    <w:p w14:paraId="664FA202">
      <w:pPr>
        <w:spacing w:line="360" w:lineRule="auto"/>
        <w:rPr>
          <w:rFonts w:hint="eastAsia" w:ascii="仿宋_GB2312" w:hAnsi="黑体" w:eastAsia="仿宋_GB2312"/>
          <w:b/>
          <w:kern w:val="0"/>
          <w:sz w:val="32"/>
          <w:szCs w:val="32"/>
          <w:highlight w:val="none"/>
        </w:rPr>
      </w:pPr>
      <w:r>
        <w:rPr>
          <w:rFonts w:hint="eastAsia" w:ascii="仿宋_GB2312" w:hAnsi="黑体" w:eastAsia="仿宋_GB2312"/>
          <w:b/>
          <w:kern w:val="0"/>
          <w:sz w:val="32"/>
          <w:szCs w:val="32"/>
          <w:highlight w:val="none"/>
        </w:rPr>
        <w:t>3．委托人的义务</w:t>
      </w:r>
    </w:p>
    <w:p w14:paraId="32D8B43C">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3.1 </w:t>
      </w:r>
      <w:r>
        <w:rPr>
          <w:rFonts w:hint="eastAsia" w:ascii="仿宋_GB2312" w:hAnsi="宋体" w:eastAsia="仿宋_GB2312" w:cs="宋体"/>
          <w:kern w:val="0"/>
          <w:sz w:val="32"/>
          <w:szCs w:val="32"/>
          <w:highlight w:val="none"/>
        </w:rPr>
        <w:t>告知</w:t>
      </w:r>
    </w:p>
    <w:p w14:paraId="5C15BA67">
      <w:pPr>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委托人应在委托人与承包人签订的合同中明确监理人、总监理工程师和授予项目监理机构的权限。如有变更，应及时通知承包人。</w:t>
      </w:r>
    </w:p>
    <w:p w14:paraId="7B074A0F">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3.2 </w:t>
      </w:r>
      <w:r>
        <w:rPr>
          <w:rFonts w:hint="eastAsia" w:ascii="仿宋_GB2312" w:hAnsi="宋体" w:eastAsia="仿宋_GB2312" w:cs="宋体"/>
          <w:kern w:val="0"/>
          <w:sz w:val="32"/>
          <w:szCs w:val="32"/>
          <w:highlight w:val="none"/>
        </w:rPr>
        <w:t>提供资料</w:t>
      </w:r>
    </w:p>
    <w:p w14:paraId="65C34CEF">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kern w:val="0"/>
          <w:sz w:val="32"/>
          <w:szCs w:val="32"/>
          <w:highlight w:val="none"/>
        </w:rPr>
        <w:t>委托人应按照附录B约定，</w:t>
      </w:r>
      <w:r>
        <w:rPr>
          <w:rFonts w:hint="eastAsia" w:ascii="仿宋_GB2312" w:hAnsi="宋体" w:eastAsia="仿宋_GB2312"/>
          <w:color w:val="000000"/>
          <w:kern w:val="0"/>
          <w:sz w:val="32"/>
          <w:szCs w:val="32"/>
          <w:highlight w:val="none"/>
        </w:rPr>
        <w:t>无偿</w:t>
      </w:r>
      <w:r>
        <w:rPr>
          <w:rFonts w:hint="eastAsia" w:ascii="仿宋_GB2312" w:hAnsi="宋体" w:eastAsia="仿宋_GB2312"/>
          <w:kern w:val="0"/>
          <w:sz w:val="32"/>
          <w:szCs w:val="32"/>
          <w:highlight w:val="none"/>
        </w:rPr>
        <w:t>向监理人提供工程有关的资料。</w:t>
      </w:r>
      <w:r>
        <w:rPr>
          <w:rFonts w:hint="eastAsia" w:ascii="仿宋_GB2312" w:hAnsi="宋体" w:eastAsia="仿宋_GB2312"/>
          <w:sz w:val="32"/>
          <w:szCs w:val="32"/>
          <w:highlight w:val="none"/>
        </w:rPr>
        <w:t>在本合同履行过程中，委托人应及时向监理人提供最新的与工程有关的资料。</w:t>
      </w:r>
    </w:p>
    <w:p w14:paraId="26631716">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3.3 </w:t>
      </w:r>
      <w:r>
        <w:rPr>
          <w:rFonts w:hint="eastAsia" w:ascii="仿宋_GB2312" w:hAnsi="宋体" w:eastAsia="仿宋_GB2312" w:cs="宋体"/>
          <w:kern w:val="0"/>
          <w:sz w:val="32"/>
          <w:szCs w:val="32"/>
          <w:highlight w:val="none"/>
        </w:rPr>
        <w:t>提供工作条件</w:t>
      </w:r>
    </w:p>
    <w:p w14:paraId="6711C479">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委托人应为监理人完成监理与相关服务提供必要的条件。</w:t>
      </w:r>
    </w:p>
    <w:p w14:paraId="6917BF69">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kern w:val="0"/>
          <w:sz w:val="32"/>
          <w:szCs w:val="32"/>
          <w:highlight w:val="none"/>
        </w:rPr>
        <w:t xml:space="preserve">3.3.1 </w:t>
      </w:r>
      <w:r>
        <w:rPr>
          <w:rFonts w:hint="eastAsia" w:ascii="仿宋_GB2312" w:hAnsi="宋体" w:eastAsia="仿宋_GB2312"/>
          <w:sz w:val="32"/>
          <w:szCs w:val="32"/>
          <w:highlight w:val="none"/>
        </w:rPr>
        <w:t>委托人应按照附录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约定，派遣相应的人员，提供房屋、设备，供监理人</w:t>
      </w:r>
      <w:r>
        <w:rPr>
          <w:rFonts w:hint="eastAsia" w:ascii="仿宋_GB2312" w:hAnsi="宋体" w:eastAsia="仿宋_GB2312"/>
          <w:kern w:val="0"/>
          <w:sz w:val="32"/>
          <w:szCs w:val="32"/>
          <w:highlight w:val="none"/>
        </w:rPr>
        <w:t>无偿</w:t>
      </w:r>
      <w:r>
        <w:rPr>
          <w:rFonts w:hint="eastAsia" w:ascii="仿宋_GB2312" w:hAnsi="宋体" w:eastAsia="仿宋_GB2312"/>
          <w:sz w:val="32"/>
          <w:szCs w:val="32"/>
          <w:highlight w:val="none"/>
        </w:rPr>
        <w:t>使用。</w:t>
      </w:r>
    </w:p>
    <w:p w14:paraId="550E94D3">
      <w:pPr>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kern w:val="0"/>
          <w:sz w:val="32"/>
          <w:szCs w:val="32"/>
          <w:highlight w:val="none"/>
        </w:rPr>
        <w:t xml:space="preserve">3.3.2 </w:t>
      </w:r>
      <w:r>
        <w:rPr>
          <w:rFonts w:hint="eastAsia" w:ascii="仿宋_GB2312" w:hAnsi="宋体" w:eastAsia="仿宋_GB2312"/>
          <w:sz w:val="32"/>
          <w:szCs w:val="32"/>
          <w:highlight w:val="none"/>
        </w:rPr>
        <w:t>委托人应负责协调工程建设中所有外部关系，为监理人履行本合同提供必要的外部条件。</w:t>
      </w:r>
    </w:p>
    <w:p w14:paraId="4D2161BE">
      <w:pPr>
        <w:snapToGrid w:val="0"/>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3.4 </w:t>
      </w:r>
      <w:r>
        <w:rPr>
          <w:rFonts w:hint="eastAsia" w:ascii="仿宋_GB2312" w:hAnsi="宋体" w:eastAsia="仿宋_GB2312" w:cs="宋体"/>
          <w:kern w:val="0"/>
          <w:sz w:val="32"/>
          <w:szCs w:val="32"/>
          <w:highlight w:val="none"/>
        </w:rPr>
        <w:t>委托人代表</w:t>
      </w:r>
    </w:p>
    <w:p w14:paraId="4154F6BF">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sz w:val="32"/>
          <w:szCs w:val="32"/>
          <w:highlight w:val="none"/>
        </w:rPr>
        <w:t>7天</w:t>
      </w:r>
      <w:r>
        <w:rPr>
          <w:rFonts w:hint="eastAsia" w:ascii="仿宋_GB2312" w:hAnsi="宋体" w:eastAsia="仿宋_GB2312"/>
          <w:sz w:val="32"/>
          <w:szCs w:val="32"/>
          <w:highlight w:val="none"/>
        </w:rPr>
        <w:t>通知监理人。</w:t>
      </w:r>
    </w:p>
    <w:p w14:paraId="03419CE9">
      <w:pPr>
        <w:snapToGrid w:val="0"/>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3.5 </w:t>
      </w:r>
      <w:r>
        <w:rPr>
          <w:rFonts w:hint="eastAsia" w:ascii="仿宋_GB2312" w:hAnsi="宋体" w:eastAsia="仿宋_GB2312" w:cs="宋体"/>
          <w:kern w:val="0"/>
          <w:sz w:val="32"/>
          <w:szCs w:val="32"/>
          <w:highlight w:val="none"/>
        </w:rPr>
        <w:t>委托人意见或要求</w:t>
      </w:r>
    </w:p>
    <w:p w14:paraId="7A1ED6F2">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在本合同约定的监理与相关服务工作范围内，委托人对承包人的任何意见或要求应通知监理人，由监理人向承包人发出相应指令。</w:t>
      </w:r>
    </w:p>
    <w:p w14:paraId="0A683231">
      <w:pPr>
        <w:snapToGrid w:val="0"/>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3.6 </w:t>
      </w:r>
      <w:r>
        <w:rPr>
          <w:rFonts w:hint="eastAsia" w:ascii="仿宋_GB2312" w:hAnsi="宋体" w:eastAsia="仿宋_GB2312" w:cs="宋体"/>
          <w:kern w:val="0"/>
          <w:sz w:val="32"/>
          <w:szCs w:val="32"/>
          <w:highlight w:val="none"/>
        </w:rPr>
        <w:t>答复</w:t>
      </w:r>
    </w:p>
    <w:p w14:paraId="3A5D1251">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委托人应在专用条件约定的时间内，对监理人以书面形式提交并要求作出决定的事宜，给予书面答复。逾期未答复的，视为委托人认可。</w:t>
      </w:r>
    </w:p>
    <w:p w14:paraId="615001E0">
      <w:pPr>
        <w:snapToGrid w:val="0"/>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3.7 </w:t>
      </w:r>
      <w:r>
        <w:rPr>
          <w:rFonts w:hint="eastAsia" w:ascii="仿宋_GB2312" w:hAnsi="宋体" w:eastAsia="仿宋_GB2312" w:cs="宋体"/>
          <w:kern w:val="0"/>
          <w:sz w:val="32"/>
          <w:szCs w:val="32"/>
          <w:highlight w:val="none"/>
        </w:rPr>
        <w:t>支付</w:t>
      </w:r>
    </w:p>
    <w:p w14:paraId="27B4DECC">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委托人应按本合同约定，向监理人支付酬金。</w:t>
      </w:r>
    </w:p>
    <w:p w14:paraId="500682F4">
      <w:pPr>
        <w:snapToGrid w:val="0"/>
        <w:spacing w:line="360" w:lineRule="auto"/>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4. 违约责任</w:t>
      </w:r>
    </w:p>
    <w:p w14:paraId="631D1C55">
      <w:pPr>
        <w:spacing w:line="360" w:lineRule="auto"/>
        <w:ind w:left="32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4.1 </w:t>
      </w:r>
      <w:r>
        <w:rPr>
          <w:rFonts w:hint="eastAsia" w:ascii="仿宋_GB2312" w:hAnsi="宋体" w:eastAsia="仿宋_GB2312" w:cs="宋体"/>
          <w:kern w:val="0"/>
          <w:sz w:val="32"/>
          <w:szCs w:val="32"/>
          <w:highlight w:val="none"/>
        </w:rPr>
        <w:t>监理人的违约责任</w:t>
      </w:r>
    </w:p>
    <w:p w14:paraId="59931910">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kern w:val="0"/>
          <w:sz w:val="32"/>
          <w:szCs w:val="32"/>
          <w:highlight w:val="none"/>
        </w:rPr>
        <w:t>监理人未履行本合同义务的，应承担相应的责任。</w:t>
      </w:r>
    </w:p>
    <w:p w14:paraId="0FE9E9B9">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4.1.1 </w:t>
      </w:r>
      <w:r>
        <w:rPr>
          <w:rFonts w:hint="eastAsia" w:ascii="仿宋_GB2312" w:hAnsi="宋体" w:eastAsia="仿宋_GB2312"/>
          <w:kern w:val="0"/>
          <w:sz w:val="32"/>
          <w:szCs w:val="32"/>
          <w:highlight w:val="none"/>
        </w:rPr>
        <w:t>因监理人</w:t>
      </w:r>
      <w:r>
        <w:rPr>
          <w:rFonts w:hint="eastAsia" w:ascii="仿宋_GB2312" w:hAnsi="宋体" w:eastAsia="仿宋_GB2312" w:cs="宋体"/>
          <w:kern w:val="0"/>
          <w:sz w:val="32"/>
          <w:szCs w:val="32"/>
          <w:highlight w:val="none"/>
        </w:rPr>
        <w:t>违反本合同约定</w:t>
      </w:r>
      <w:r>
        <w:rPr>
          <w:rFonts w:hint="eastAsia" w:ascii="仿宋_GB2312" w:hAnsi="宋体" w:eastAsia="仿宋_GB2312"/>
          <w:sz w:val="32"/>
          <w:szCs w:val="32"/>
          <w:highlight w:val="none"/>
        </w:rPr>
        <w:t>给委托人造成损失的，监理人应当赔偿委托人损失</w:t>
      </w:r>
      <w:r>
        <w:rPr>
          <w:rFonts w:hint="eastAsia" w:ascii="仿宋_GB2312" w:hAnsi="宋体" w:eastAsia="仿宋_GB2312"/>
          <w:kern w:val="0"/>
          <w:sz w:val="32"/>
          <w:szCs w:val="32"/>
          <w:highlight w:val="none"/>
        </w:rPr>
        <w:t>。赔偿金额的确定方法在专用条件中约定。</w:t>
      </w:r>
      <w:r>
        <w:rPr>
          <w:rFonts w:hint="eastAsia" w:ascii="仿宋_GB2312" w:eastAsia="仿宋_GB2312"/>
          <w:kern w:val="0"/>
          <w:sz w:val="32"/>
          <w:szCs w:val="32"/>
          <w:highlight w:val="none"/>
        </w:rPr>
        <w:t>监理人承担部分赔偿责任的，其承担赔偿金额由双方协商确定。</w:t>
      </w:r>
    </w:p>
    <w:p w14:paraId="1E9EA43E">
      <w:pPr>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4.1.2 </w:t>
      </w:r>
      <w:r>
        <w:rPr>
          <w:rFonts w:hint="eastAsia" w:ascii="仿宋_GB2312" w:hAnsi="宋体" w:eastAsia="仿宋_GB2312"/>
          <w:kern w:val="0"/>
          <w:sz w:val="32"/>
          <w:szCs w:val="32"/>
          <w:highlight w:val="none"/>
        </w:rPr>
        <w:t>监理人向委托人的索赔不成立时，监理人应赔偿委托人由此发生的费用。</w:t>
      </w:r>
    </w:p>
    <w:p w14:paraId="5DF01EFD">
      <w:pPr>
        <w:snapToGrid w:val="0"/>
        <w:spacing w:line="360" w:lineRule="auto"/>
        <w:ind w:firstLine="320" w:firstLine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4.2 委</w:t>
      </w:r>
      <w:r>
        <w:rPr>
          <w:rFonts w:hint="eastAsia" w:ascii="仿宋_GB2312" w:hAnsi="宋体" w:eastAsia="仿宋_GB2312" w:cs="宋体"/>
          <w:kern w:val="0"/>
          <w:sz w:val="32"/>
          <w:szCs w:val="32"/>
          <w:highlight w:val="none"/>
        </w:rPr>
        <w:t>托人的违约责任</w:t>
      </w:r>
    </w:p>
    <w:p w14:paraId="315DCBC5">
      <w:pPr>
        <w:adjustRightInd w:val="0"/>
        <w:snapToGrid w:val="0"/>
        <w:spacing w:line="360" w:lineRule="auto"/>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kern w:val="0"/>
          <w:sz w:val="32"/>
          <w:szCs w:val="32"/>
          <w:highlight w:val="none"/>
        </w:rPr>
        <w:t>委托人未履行本合同义务的，应承担相应的责任。</w:t>
      </w:r>
    </w:p>
    <w:p w14:paraId="2538C423">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4.2.1 </w:t>
      </w:r>
      <w:r>
        <w:rPr>
          <w:rFonts w:hint="eastAsia" w:ascii="仿宋_GB2312" w:hAnsi="宋体" w:eastAsia="仿宋_GB2312"/>
          <w:kern w:val="0"/>
          <w:sz w:val="32"/>
          <w:szCs w:val="32"/>
          <w:highlight w:val="none"/>
        </w:rPr>
        <w:t>委托人违反本合同约定造成监理人损失的，委托人应予以赔偿。</w:t>
      </w:r>
    </w:p>
    <w:p w14:paraId="47784A88">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4.2.2 </w:t>
      </w:r>
      <w:r>
        <w:rPr>
          <w:rFonts w:hint="eastAsia" w:ascii="仿宋_GB2312" w:hAnsi="宋体" w:eastAsia="仿宋_GB2312"/>
          <w:kern w:val="0"/>
          <w:sz w:val="32"/>
          <w:szCs w:val="32"/>
          <w:highlight w:val="none"/>
        </w:rPr>
        <w:t>委托人向监理人的索赔不成立时，应赔偿监理人由此引起的费用。</w:t>
      </w:r>
    </w:p>
    <w:p w14:paraId="1B54ED63">
      <w:pPr>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sz w:val="32"/>
          <w:szCs w:val="32"/>
          <w:highlight w:val="none"/>
        </w:rPr>
        <w:t xml:space="preserve">4.2.3 </w:t>
      </w:r>
      <w:r>
        <w:rPr>
          <w:rFonts w:hint="eastAsia" w:ascii="仿宋_GB2312" w:hAnsi="宋体" w:eastAsia="仿宋_GB2312"/>
          <w:kern w:val="0"/>
          <w:sz w:val="32"/>
          <w:szCs w:val="32"/>
          <w:highlight w:val="none"/>
        </w:rPr>
        <w:t>委托人未能按期支付</w:t>
      </w:r>
      <w:r>
        <w:rPr>
          <w:rFonts w:hint="eastAsia" w:ascii="仿宋_GB2312" w:hAnsi="宋体" w:eastAsia="仿宋_GB2312"/>
          <w:sz w:val="32"/>
          <w:szCs w:val="32"/>
          <w:highlight w:val="none"/>
        </w:rPr>
        <w:t>酬金</w:t>
      </w:r>
      <w:r>
        <w:rPr>
          <w:rFonts w:hint="eastAsia" w:ascii="仿宋_GB2312" w:hAnsi="宋体" w:eastAsia="仿宋_GB2312"/>
          <w:kern w:val="0"/>
          <w:sz w:val="32"/>
          <w:szCs w:val="32"/>
          <w:highlight w:val="none"/>
        </w:rPr>
        <w:t>超过</w:t>
      </w:r>
      <w:r>
        <w:rPr>
          <w:rFonts w:hint="eastAsia" w:ascii="仿宋_GB2312" w:eastAsia="仿宋_GB2312"/>
          <w:kern w:val="0"/>
          <w:sz w:val="32"/>
          <w:szCs w:val="32"/>
          <w:highlight w:val="none"/>
        </w:rPr>
        <w:t>28</w:t>
      </w:r>
      <w:r>
        <w:rPr>
          <w:rFonts w:hint="eastAsia" w:ascii="仿宋_GB2312" w:hAnsi="宋体" w:eastAsia="仿宋_GB2312"/>
          <w:kern w:val="0"/>
          <w:sz w:val="32"/>
          <w:szCs w:val="32"/>
          <w:highlight w:val="none"/>
        </w:rPr>
        <w:t>天，</w:t>
      </w:r>
      <w:r>
        <w:rPr>
          <w:rFonts w:hint="eastAsia" w:ascii="仿宋_GB2312" w:hAnsi="宋体" w:eastAsia="仿宋_GB2312" w:cs="宋体"/>
          <w:kern w:val="0"/>
          <w:sz w:val="32"/>
          <w:szCs w:val="32"/>
          <w:highlight w:val="none"/>
        </w:rPr>
        <w:t>应按专用条件约定支付逾期付款利息</w:t>
      </w:r>
      <w:r>
        <w:rPr>
          <w:rFonts w:hint="eastAsia" w:ascii="仿宋_GB2312" w:hAnsi="宋体" w:eastAsia="仿宋_GB2312"/>
          <w:kern w:val="0"/>
          <w:sz w:val="32"/>
          <w:szCs w:val="32"/>
          <w:highlight w:val="none"/>
        </w:rPr>
        <w:t>。</w:t>
      </w:r>
    </w:p>
    <w:p w14:paraId="05EF1969">
      <w:pPr>
        <w:spacing w:line="360" w:lineRule="auto"/>
        <w:ind w:firstLine="320" w:firstLineChars="1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4.3 </w:t>
      </w:r>
      <w:r>
        <w:rPr>
          <w:rFonts w:hint="eastAsia" w:ascii="仿宋_GB2312" w:hAnsi="宋体" w:eastAsia="仿宋_GB2312"/>
          <w:kern w:val="0"/>
          <w:sz w:val="32"/>
          <w:szCs w:val="32"/>
          <w:highlight w:val="none"/>
        </w:rPr>
        <w:t>除外责任</w:t>
      </w:r>
    </w:p>
    <w:p w14:paraId="78CCE468">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因非监理人的原因，且监理人无过错，发生工程质量事故、安全事故、工期延误等造成的损失，监理人不承担赔偿责任。</w:t>
      </w:r>
    </w:p>
    <w:p w14:paraId="0EEE5D75">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因不可抗力导致本合同全部或部分不能履行时，双方各自承担其因此而造成的损失、损害。</w:t>
      </w:r>
    </w:p>
    <w:p w14:paraId="52F500FA">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5. 支付</w:t>
      </w:r>
    </w:p>
    <w:p w14:paraId="38F34821">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5.1 </w:t>
      </w:r>
      <w:r>
        <w:rPr>
          <w:rFonts w:hint="eastAsia" w:ascii="仿宋_GB2312" w:hAnsi="宋体" w:eastAsia="仿宋_GB2312"/>
          <w:bCs/>
          <w:sz w:val="32"/>
          <w:szCs w:val="32"/>
          <w:highlight w:val="none"/>
        </w:rPr>
        <w:t>支付货币</w:t>
      </w:r>
    </w:p>
    <w:p w14:paraId="03715305">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eastAsia="仿宋_GB2312"/>
          <w:sz w:val="32"/>
          <w:szCs w:val="32"/>
          <w:highlight w:val="none"/>
        </w:rPr>
        <w:t>除专用条件另有约定外，酬金均以人民币支付。涉及外币支付的，</w:t>
      </w:r>
      <w:r>
        <w:rPr>
          <w:rFonts w:hint="eastAsia" w:ascii="仿宋_GB2312" w:hAnsi="宋体" w:eastAsia="仿宋_GB2312"/>
          <w:sz w:val="32"/>
          <w:szCs w:val="32"/>
          <w:highlight w:val="none"/>
        </w:rPr>
        <w:t>所采用的货币种类、比例和汇率在专用条件中约定。</w:t>
      </w:r>
    </w:p>
    <w:p w14:paraId="38041BFA">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5.2 </w:t>
      </w:r>
      <w:r>
        <w:rPr>
          <w:rFonts w:hint="eastAsia" w:ascii="仿宋_GB2312" w:hAnsi="宋体" w:eastAsia="仿宋_GB2312"/>
          <w:sz w:val="32"/>
          <w:szCs w:val="32"/>
          <w:highlight w:val="none"/>
        </w:rPr>
        <w:t>支付申请</w:t>
      </w:r>
    </w:p>
    <w:p w14:paraId="204371C7">
      <w:pPr>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监理人应在本合同约定的每次应付款时间的7天前，向委托人提交支付申请书。支付申请书应当说明当期应付款总额，并列出当期应支付的款项及其金额。</w:t>
      </w:r>
    </w:p>
    <w:p w14:paraId="19726A6A">
      <w:pPr>
        <w:snapToGrid w:val="0"/>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 5.3 支付酬金</w:t>
      </w:r>
    </w:p>
    <w:p w14:paraId="5CD06D2B">
      <w:pPr>
        <w:snapToGrid w:val="0"/>
        <w:spacing w:line="360" w:lineRule="auto"/>
        <w:ind w:firstLine="480"/>
        <w:rPr>
          <w:rFonts w:hint="eastAsia" w:ascii="仿宋_GB2312" w:eastAsia="仿宋_GB2312"/>
          <w:sz w:val="32"/>
          <w:szCs w:val="32"/>
          <w:highlight w:val="none"/>
        </w:rPr>
      </w:pPr>
      <w:r>
        <w:rPr>
          <w:rFonts w:hint="eastAsia" w:ascii="仿宋_GB2312" w:eastAsia="仿宋_GB2312"/>
          <w:sz w:val="32"/>
          <w:szCs w:val="32"/>
          <w:highlight w:val="none"/>
        </w:rPr>
        <w:t>支付的</w:t>
      </w:r>
      <w:r>
        <w:rPr>
          <w:rFonts w:hint="eastAsia" w:ascii="仿宋_GB2312" w:hAnsi="宋体" w:eastAsia="仿宋_GB2312"/>
          <w:sz w:val="32"/>
          <w:szCs w:val="32"/>
          <w:highlight w:val="none"/>
        </w:rPr>
        <w:t>酬金</w:t>
      </w:r>
      <w:r>
        <w:rPr>
          <w:rFonts w:hint="eastAsia" w:ascii="仿宋_GB2312" w:eastAsia="仿宋_GB2312"/>
          <w:sz w:val="32"/>
          <w:szCs w:val="32"/>
          <w:highlight w:val="none"/>
        </w:rPr>
        <w:t>包括正常工作酬金、附加工作酬金、合理化建议奖励金额及费用。</w:t>
      </w:r>
    </w:p>
    <w:p w14:paraId="72276E9A">
      <w:pPr>
        <w:snapToGrid w:val="0"/>
        <w:spacing w:line="360" w:lineRule="auto"/>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  5.4 </w:t>
      </w:r>
      <w:r>
        <w:rPr>
          <w:rFonts w:hint="eastAsia" w:ascii="仿宋_GB2312" w:hAnsi="宋体" w:eastAsia="仿宋_GB2312"/>
          <w:bCs/>
          <w:sz w:val="32"/>
          <w:szCs w:val="32"/>
          <w:highlight w:val="none"/>
        </w:rPr>
        <w:t>有争议部分的付款</w:t>
      </w:r>
    </w:p>
    <w:p w14:paraId="23B7FA35">
      <w:pPr>
        <w:snapToGrid w:val="0"/>
        <w:spacing w:line="360" w:lineRule="auto"/>
        <w:ind w:firstLine="640" w:firstLineChars="200"/>
        <w:rPr>
          <w:rFonts w:hint="eastAsia" w:ascii="仿宋_GB2312" w:hAnsi="宋体" w:eastAsia="仿宋_GB2312"/>
          <w:sz w:val="24"/>
          <w:highlight w:val="none"/>
        </w:rPr>
      </w:pPr>
      <w:r>
        <w:rPr>
          <w:rFonts w:hint="eastAsia" w:ascii="仿宋_GB2312" w:hAnsi="宋体" w:eastAsia="仿宋_GB2312"/>
          <w:sz w:val="32"/>
          <w:szCs w:val="32"/>
          <w:highlight w:val="none"/>
        </w:rPr>
        <w:t>委托人对监理人提交的支付申请书有异议时，应当在收到监理人提交的支付申请书后</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天内，以书面形式向监理人发出异议通知。无异议部分的款项应按期支付，有异议部分的款项按第7条约定办理。</w:t>
      </w:r>
    </w:p>
    <w:p w14:paraId="299C29E9">
      <w:pPr>
        <w:snapToGrid w:val="0"/>
        <w:spacing w:line="360" w:lineRule="auto"/>
        <w:rPr>
          <w:rFonts w:hint="eastAsia" w:ascii="仿宋_GB2312" w:hAnsi="黑体" w:eastAsia="仿宋_GB2312"/>
          <w:b/>
          <w:bCs/>
          <w:color w:val="FF0000"/>
          <w:sz w:val="32"/>
          <w:szCs w:val="32"/>
          <w:highlight w:val="none"/>
        </w:rPr>
      </w:pPr>
      <w:r>
        <w:rPr>
          <w:rFonts w:hint="eastAsia" w:ascii="仿宋_GB2312" w:hAnsi="黑体" w:eastAsia="仿宋_GB2312"/>
          <w:b/>
          <w:bCs/>
          <w:sz w:val="32"/>
          <w:szCs w:val="32"/>
          <w:highlight w:val="none"/>
        </w:rPr>
        <w:t>6. 合同生效、变更、暂停、解除与终止</w:t>
      </w:r>
    </w:p>
    <w:p w14:paraId="0EBADE48">
      <w:pPr>
        <w:spacing w:line="360" w:lineRule="auto"/>
        <w:ind w:left="320" w:leftChars="100"/>
        <w:rPr>
          <w:rFonts w:hint="eastAsia" w:ascii="仿宋_GB2312" w:hAnsi="宋体" w:eastAsia="仿宋_GB2312"/>
          <w:sz w:val="32"/>
          <w:szCs w:val="32"/>
          <w:highlight w:val="none"/>
        </w:rPr>
      </w:pPr>
      <w:r>
        <w:rPr>
          <w:rFonts w:hint="eastAsia" w:ascii="仿宋_GB2312" w:eastAsia="仿宋_GB2312"/>
          <w:sz w:val="32"/>
          <w:szCs w:val="32"/>
          <w:highlight w:val="none"/>
        </w:rPr>
        <w:t>6.1</w:t>
      </w:r>
      <w:r>
        <w:rPr>
          <w:rFonts w:hint="eastAsia" w:ascii="仿宋_GB2312" w:hAnsi="宋体" w:eastAsia="仿宋_GB2312"/>
          <w:sz w:val="32"/>
          <w:szCs w:val="32"/>
          <w:highlight w:val="none"/>
        </w:rPr>
        <w:t>生效</w:t>
      </w:r>
    </w:p>
    <w:p w14:paraId="7B736AF4">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除法律另有规定或者专用条件另有约定外，委托人和监理人的法定代表人或其授权代理人在协议书上签字并盖单位章后本合同生效。</w:t>
      </w:r>
    </w:p>
    <w:p w14:paraId="3FB0DF39">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6.2</w:t>
      </w:r>
      <w:r>
        <w:rPr>
          <w:rFonts w:hint="eastAsia" w:ascii="仿宋_GB2312" w:hAnsi="宋体" w:eastAsia="仿宋_GB2312"/>
          <w:bCs/>
          <w:sz w:val="32"/>
          <w:szCs w:val="32"/>
          <w:highlight w:val="none"/>
        </w:rPr>
        <w:t>变更</w:t>
      </w:r>
    </w:p>
    <w:p w14:paraId="5C64C179">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6.2.1 任何一方提出变更请求时，双方经协商一致后可进行变更。</w:t>
      </w:r>
    </w:p>
    <w:p w14:paraId="20DD33EA">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6.2.2除不可抗力外，因非监理人原因导致监理人履行合同期限延长</w:t>
      </w:r>
      <w:r>
        <w:rPr>
          <w:rFonts w:hint="eastAsia" w:ascii="仿宋_GB2312" w:hAnsi="宋体" w:eastAsia="仿宋_GB2312"/>
          <w:sz w:val="32"/>
          <w:szCs w:val="32"/>
          <w:highlight w:val="none"/>
        </w:rPr>
        <w:t>、内容增加</w:t>
      </w:r>
      <w:r>
        <w:rPr>
          <w:rFonts w:hint="eastAsia" w:ascii="仿宋_GB2312" w:eastAsia="仿宋_GB2312"/>
          <w:sz w:val="32"/>
          <w:szCs w:val="32"/>
          <w:highlight w:val="none"/>
        </w:rPr>
        <w:t>时，监理人应当将此情况与可能产生的影响及时通知委托人。增加的监理工作时间、工作内容应视为附加工作。附加工作酬金的确定方法在</w:t>
      </w:r>
      <w:r>
        <w:rPr>
          <w:rFonts w:hint="eastAsia" w:ascii="仿宋_GB2312" w:hAnsi="宋体" w:eastAsia="仿宋_GB2312"/>
          <w:sz w:val="32"/>
          <w:szCs w:val="32"/>
          <w:highlight w:val="none"/>
        </w:rPr>
        <w:t>专用条件中约定</w:t>
      </w:r>
      <w:r>
        <w:rPr>
          <w:rFonts w:hint="eastAsia" w:ascii="仿宋_GB2312" w:eastAsia="仿宋_GB2312"/>
          <w:sz w:val="32"/>
          <w:szCs w:val="32"/>
          <w:highlight w:val="none"/>
        </w:rPr>
        <w:t>。</w:t>
      </w:r>
    </w:p>
    <w:p w14:paraId="463BA7E1">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6.2.3</w:t>
      </w:r>
      <w:r>
        <w:rPr>
          <w:rFonts w:hint="eastAsia" w:ascii="仿宋_GB2312" w:hAnsi="宋体" w:eastAsia="仿宋_GB2312"/>
          <w:sz w:val="32"/>
          <w:szCs w:val="32"/>
          <w:highlight w:val="none"/>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sz w:val="32"/>
          <w:szCs w:val="32"/>
          <w:highlight w:val="none"/>
        </w:rPr>
        <w:t>附加工作酬金的确定方法在</w:t>
      </w:r>
      <w:r>
        <w:rPr>
          <w:rFonts w:hint="eastAsia" w:ascii="仿宋_GB2312" w:hAnsi="宋体" w:eastAsia="仿宋_GB2312"/>
          <w:sz w:val="32"/>
          <w:szCs w:val="32"/>
          <w:highlight w:val="none"/>
        </w:rPr>
        <w:t>专用条件中约定。监理人用于恢复服务的准备时间不应超过</w:t>
      </w:r>
      <w:r>
        <w:rPr>
          <w:rFonts w:hint="eastAsia" w:ascii="仿宋_GB2312" w:eastAsia="仿宋_GB2312"/>
          <w:sz w:val="32"/>
          <w:szCs w:val="32"/>
          <w:highlight w:val="none"/>
        </w:rPr>
        <w:t>28</w:t>
      </w:r>
      <w:r>
        <w:rPr>
          <w:rFonts w:hint="eastAsia" w:ascii="仿宋_GB2312" w:hAnsi="宋体" w:eastAsia="仿宋_GB2312"/>
          <w:sz w:val="32"/>
          <w:szCs w:val="32"/>
          <w:highlight w:val="none"/>
        </w:rPr>
        <w:t>天。</w:t>
      </w:r>
    </w:p>
    <w:p w14:paraId="26CE9741">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6.2.4</w:t>
      </w:r>
      <w:r>
        <w:rPr>
          <w:rFonts w:hint="eastAsia" w:ascii="仿宋_GB2312" w:hAnsi="宋体" w:eastAsia="仿宋_GB2312"/>
          <w:sz w:val="32"/>
          <w:szCs w:val="32"/>
          <w:highlight w:val="none"/>
        </w:rPr>
        <w:t>合同签订后，遇有与工程相关的法律法规、标准颁布或修订的，双方应遵照执行。由此引起监理与相关服务的范围、时间、酬金变化的，双方应通过协商进行相应调整。</w:t>
      </w:r>
    </w:p>
    <w:p w14:paraId="37A92889">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6.2.5 因非监理人原因造成工程概算投资额或建筑安装工程费增加时，正常工作酬金应作相应调整。调整方法在专用条件中约定。</w:t>
      </w:r>
    </w:p>
    <w:p w14:paraId="3460DBFD">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6.2.6 因工程规模、监理范围的变化导致监理人的正常工作量减少时，正常工作酬金应作相应调整。调整方法在专用条件中约定。</w:t>
      </w:r>
    </w:p>
    <w:p w14:paraId="5DCBEFC3">
      <w:pPr>
        <w:snapToGrid w:val="0"/>
        <w:spacing w:line="360" w:lineRule="auto"/>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 xml:space="preserve">  6.3 暂停与</w:t>
      </w:r>
      <w:r>
        <w:rPr>
          <w:rFonts w:hint="eastAsia" w:ascii="仿宋_GB2312" w:hAnsi="宋体" w:eastAsia="仿宋_GB2312"/>
          <w:bCs/>
          <w:sz w:val="32"/>
          <w:szCs w:val="32"/>
          <w:highlight w:val="none"/>
        </w:rPr>
        <w:t>解除</w:t>
      </w:r>
    </w:p>
    <w:p w14:paraId="12660455">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除</w:t>
      </w:r>
      <w:r>
        <w:rPr>
          <w:rFonts w:hint="eastAsia" w:ascii="仿宋_GB2312" w:hAnsi="宋体" w:eastAsia="仿宋_GB2312"/>
          <w:sz w:val="32"/>
          <w:szCs w:val="32"/>
          <w:highlight w:val="none"/>
        </w:rPr>
        <w:t>双方协商一致可以解除本合同外，当一方无正当理由未履行本合同约定的义务时，另一方可以根据本合同约定暂停履行本合同直至解除本合同。</w:t>
      </w:r>
    </w:p>
    <w:p w14:paraId="03FF5CA5">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6.3.1 </w:t>
      </w:r>
      <w:r>
        <w:rPr>
          <w:rFonts w:hint="eastAsia" w:ascii="仿宋_GB2312" w:hAnsi="宋体" w:eastAsia="仿宋_GB2312"/>
          <w:sz w:val="32"/>
          <w:szCs w:val="32"/>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D8E33DC">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因解除本合同或解除监理人的部分义务导致监理人遭受的损失，除依法可以免除责任的情况外，应由委托人予以补偿，补偿金额由双方协商确定。</w:t>
      </w:r>
    </w:p>
    <w:p w14:paraId="54F35D6D">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解除本合同的协议必须采取书面形式，协议未达成之前，本合同仍然有效。</w:t>
      </w:r>
    </w:p>
    <w:p w14:paraId="43336497">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6.3.2 </w:t>
      </w:r>
      <w:r>
        <w:rPr>
          <w:rFonts w:hint="eastAsia" w:ascii="仿宋_GB2312" w:hAnsi="宋体" w:eastAsia="仿宋_GB2312"/>
          <w:sz w:val="32"/>
          <w:szCs w:val="32"/>
          <w:highlight w:val="none"/>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sz w:val="32"/>
          <w:szCs w:val="32"/>
          <w:highlight w:val="none"/>
        </w:rPr>
        <w:t>除不可抗力外，</w:t>
      </w:r>
      <w:r>
        <w:rPr>
          <w:rFonts w:hint="eastAsia" w:ascii="仿宋_GB2312" w:hAnsi="宋体" w:eastAsia="仿宋_GB2312"/>
          <w:sz w:val="32"/>
          <w:szCs w:val="32"/>
          <w:highlight w:val="none"/>
        </w:rPr>
        <w:t>由此导致监理人遭受的损失应由委托人予以补偿。</w:t>
      </w:r>
    </w:p>
    <w:p w14:paraId="25048179">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暂停部分监理与相关服务时间超过</w:t>
      </w:r>
      <w:r>
        <w:rPr>
          <w:rFonts w:hint="eastAsia" w:ascii="仿宋_GB2312" w:eastAsia="仿宋_GB2312"/>
          <w:sz w:val="32"/>
          <w:szCs w:val="32"/>
          <w:highlight w:val="none"/>
        </w:rPr>
        <w:t>182</w:t>
      </w:r>
      <w:r>
        <w:rPr>
          <w:rFonts w:hint="eastAsia" w:ascii="仿宋_GB2312" w:hAnsi="宋体" w:eastAsia="仿宋_GB2312"/>
          <w:sz w:val="32"/>
          <w:szCs w:val="32"/>
          <w:highlight w:val="none"/>
        </w:rPr>
        <w:t>天，监理人可发出解除本合同约定的该部分义务的通知；暂停全部工作时间超过</w:t>
      </w:r>
      <w:r>
        <w:rPr>
          <w:rFonts w:hint="eastAsia" w:ascii="仿宋_GB2312" w:eastAsia="仿宋_GB2312"/>
          <w:sz w:val="32"/>
          <w:szCs w:val="32"/>
          <w:highlight w:val="none"/>
        </w:rPr>
        <w:t>182</w:t>
      </w:r>
      <w:r>
        <w:rPr>
          <w:rFonts w:hint="eastAsia" w:ascii="仿宋_GB2312" w:hAnsi="宋体" w:eastAsia="仿宋_GB2312"/>
          <w:sz w:val="32"/>
          <w:szCs w:val="32"/>
          <w:highlight w:val="none"/>
        </w:rPr>
        <w:t>天，监理人可发出解除本合同的通知，本合同自通知到达委托人时解除。委托人应将监理与相关服务</w:t>
      </w:r>
      <w:r>
        <w:rPr>
          <w:rFonts w:hint="eastAsia" w:ascii="仿宋_GB2312" w:hAnsi="宋体" w:eastAsia="仿宋_GB2312"/>
          <w:kern w:val="0"/>
          <w:sz w:val="32"/>
          <w:szCs w:val="32"/>
          <w:highlight w:val="none"/>
        </w:rPr>
        <w:t>的</w:t>
      </w:r>
      <w:r>
        <w:rPr>
          <w:rFonts w:hint="eastAsia" w:ascii="仿宋_GB2312" w:hAnsi="宋体" w:eastAsia="仿宋_GB2312"/>
          <w:sz w:val="32"/>
          <w:szCs w:val="32"/>
          <w:highlight w:val="none"/>
        </w:rPr>
        <w:t>酬金支付至本合同解除日，且应承担第4.2款约定的责任。</w:t>
      </w:r>
    </w:p>
    <w:p w14:paraId="1D85D0EF">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6.3.3 </w:t>
      </w:r>
      <w:r>
        <w:rPr>
          <w:rFonts w:hint="eastAsia" w:ascii="仿宋_GB2312" w:hAnsi="宋体" w:eastAsia="仿宋_GB2312"/>
          <w:sz w:val="32"/>
          <w:szCs w:val="32"/>
          <w:highlight w:val="none"/>
        </w:rPr>
        <w:t>当监理人无正当理由未履行本合同约定的义务时，委托人应通知监理人限期改正。若委托人在监理人接到通知后的</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天内未收到监理人书面形式的合理解释，则可在</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天内发出解除本合同的通知，自通知到达监理人时本合同解除。委托人应将监理与相关服务</w:t>
      </w:r>
      <w:r>
        <w:rPr>
          <w:rFonts w:hint="eastAsia" w:ascii="仿宋_GB2312" w:hAnsi="宋体" w:eastAsia="仿宋_GB2312"/>
          <w:kern w:val="0"/>
          <w:sz w:val="32"/>
          <w:szCs w:val="32"/>
          <w:highlight w:val="none"/>
        </w:rPr>
        <w:t>的</w:t>
      </w:r>
      <w:r>
        <w:rPr>
          <w:rFonts w:hint="eastAsia" w:ascii="仿宋_GB2312" w:hAnsi="宋体" w:eastAsia="仿宋_GB2312"/>
          <w:sz w:val="32"/>
          <w:szCs w:val="32"/>
          <w:highlight w:val="none"/>
        </w:rPr>
        <w:t>酬金支付至</w:t>
      </w:r>
      <w:r>
        <w:rPr>
          <w:rFonts w:hint="eastAsia" w:ascii="仿宋_GB2312" w:hAnsi="宋体" w:eastAsia="仿宋_GB2312"/>
          <w:kern w:val="0"/>
          <w:sz w:val="32"/>
          <w:szCs w:val="32"/>
          <w:highlight w:val="none"/>
        </w:rPr>
        <w:t>限期改正通知到达监理人之日</w:t>
      </w:r>
      <w:r>
        <w:rPr>
          <w:rFonts w:hint="eastAsia" w:ascii="仿宋_GB2312" w:hAnsi="宋体" w:eastAsia="仿宋_GB2312"/>
          <w:sz w:val="32"/>
          <w:szCs w:val="32"/>
          <w:highlight w:val="none"/>
        </w:rPr>
        <w:t>，但监理人应承担第4.1款约定的责任。</w:t>
      </w:r>
    </w:p>
    <w:p w14:paraId="25247233">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6.3.4 </w:t>
      </w:r>
      <w:r>
        <w:rPr>
          <w:rFonts w:hint="eastAsia" w:ascii="仿宋_GB2312" w:hAnsi="宋体" w:eastAsia="仿宋_GB2312"/>
          <w:sz w:val="32"/>
          <w:szCs w:val="32"/>
          <w:highlight w:val="none"/>
        </w:rPr>
        <w:t>监理人在专用条件5.3中约定的支付之日起</w:t>
      </w:r>
      <w:r>
        <w:rPr>
          <w:rFonts w:hint="eastAsia" w:ascii="仿宋_GB2312" w:eastAsia="仿宋_GB2312"/>
          <w:sz w:val="32"/>
          <w:szCs w:val="32"/>
          <w:highlight w:val="none"/>
        </w:rPr>
        <w:t>28</w:t>
      </w:r>
      <w:r>
        <w:rPr>
          <w:rFonts w:hint="eastAsia" w:ascii="仿宋_GB2312" w:hAnsi="宋体" w:eastAsia="仿宋_GB2312"/>
          <w:sz w:val="32"/>
          <w:szCs w:val="32"/>
          <w:highlight w:val="none"/>
        </w:rPr>
        <w:t>天后仍未收到委托人按本合同约定应付的款项，可向委托人发出催付通知。委托人接到通知</w:t>
      </w:r>
      <w:r>
        <w:rPr>
          <w:rFonts w:hint="eastAsia" w:ascii="仿宋_GB2312" w:eastAsia="仿宋_GB2312"/>
          <w:sz w:val="32"/>
          <w:szCs w:val="32"/>
          <w:highlight w:val="none"/>
        </w:rPr>
        <w:t>14</w:t>
      </w:r>
      <w:r>
        <w:rPr>
          <w:rFonts w:hint="eastAsia" w:ascii="仿宋_GB2312" w:hAnsi="宋体" w:eastAsia="仿宋_GB2312"/>
          <w:sz w:val="32"/>
          <w:szCs w:val="32"/>
          <w:highlight w:val="none"/>
        </w:rPr>
        <w:t>天后仍未支付或未提出监理人可以接受的延期支付安排，监理人可向委托人发出暂停工作的通知并可自行暂停全部或部分工作。暂停工作后</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天内监理人仍未获得委托人应付酬金或委托人的合理答复，监理人可向委托人发出解除本合同的通知，自通知到达委托人时本合同解除。委托人应承担第4.2.3款约定的责任。</w:t>
      </w:r>
    </w:p>
    <w:p w14:paraId="243FCED2">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sz w:val="32"/>
          <w:szCs w:val="32"/>
          <w:highlight w:val="none"/>
        </w:rPr>
        <w:t>6.3.5 因不可抗力致使本合同部分或全部不能履行时，一方应立即通知另一方，可暂停或解除本合同。</w:t>
      </w:r>
    </w:p>
    <w:p w14:paraId="72333801">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6.3.6 </w:t>
      </w:r>
      <w:r>
        <w:rPr>
          <w:rFonts w:hint="eastAsia" w:ascii="仿宋_GB2312" w:hAnsi="宋体" w:eastAsia="仿宋_GB2312"/>
          <w:sz w:val="32"/>
          <w:szCs w:val="32"/>
          <w:highlight w:val="none"/>
        </w:rPr>
        <w:t>本合同解除后，本合同约定的有关结算、清理、争议解决方式的条件仍然有效。</w:t>
      </w:r>
    </w:p>
    <w:p w14:paraId="290F2115">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6.4 </w:t>
      </w:r>
      <w:r>
        <w:rPr>
          <w:rFonts w:hint="eastAsia" w:ascii="仿宋_GB2312" w:hAnsi="宋体" w:eastAsia="仿宋_GB2312"/>
          <w:bCs/>
          <w:sz w:val="32"/>
          <w:szCs w:val="32"/>
          <w:highlight w:val="none"/>
        </w:rPr>
        <w:t>终止</w:t>
      </w:r>
    </w:p>
    <w:p w14:paraId="19577448">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以下条件全部满足时，本合同即告终止：</w:t>
      </w:r>
    </w:p>
    <w:p w14:paraId="2E04FC99">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）监理人完成本合同约定的全部工作；</w:t>
      </w:r>
    </w:p>
    <w:p w14:paraId="40798028">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）委托人与监理人结清并支付全部酬金。</w:t>
      </w:r>
    </w:p>
    <w:p w14:paraId="083B69A0">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7. 争议解决</w:t>
      </w:r>
    </w:p>
    <w:p w14:paraId="341D358B">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7.1</w:t>
      </w:r>
      <w:r>
        <w:rPr>
          <w:rFonts w:hint="eastAsia" w:ascii="仿宋_GB2312" w:hAnsi="宋体" w:eastAsia="仿宋_GB2312"/>
          <w:bCs/>
          <w:sz w:val="32"/>
          <w:szCs w:val="32"/>
          <w:highlight w:val="none"/>
        </w:rPr>
        <w:t>协商</w:t>
      </w:r>
    </w:p>
    <w:p w14:paraId="79F45492">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双方应本着诚信原则协商解决彼此间的争议。</w:t>
      </w:r>
    </w:p>
    <w:p w14:paraId="3ACB524B">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7.2</w:t>
      </w:r>
      <w:r>
        <w:rPr>
          <w:rFonts w:hint="eastAsia" w:ascii="仿宋_GB2312" w:hAnsi="宋体" w:eastAsia="仿宋_GB2312"/>
          <w:bCs/>
          <w:sz w:val="32"/>
          <w:szCs w:val="32"/>
          <w:highlight w:val="none"/>
        </w:rPr>
        <w:t>调解</w:t>
      </w:r>
    </w:p>
    <w:p w14:paraId="702123C9">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如果双方不能在</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天内或双方商定的其他时间内解决本合同争议，可以将其提交给专用条件约定的或事后达成协议的调解人进行调解。</w:t>
      </w:r>
    </w:p>
    <w:p w14:paraId="2E40B981">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7.3</w:t>
      </w:r>
      <w:r>
        <w:rPr>
          <w:rFonts w:hint="eastAsia" w:ascii="仿宋_GB2312" w:hAnsi="宋体" w:eastAsia="仿宋_GB2312"/>
          <w:bCs/>
          <w:sz w:val="32"/>
          <w:szCs w:val="32"/>
          <w:highlight w:val="none"/>
        </w:rPr>
        <w:t>仲裁或诉讼</w:t>
      </w:r>
    </w:p>
    <w:p w14:paraId="29432307">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双方均有权不经调解直接向专用条件约定的仲裁机构申请仲裁或向有管辖权的人民法院提起诉讼。</w:t>
      </w:r>
    </w:p>
    <w:p w14:paraId="371B5F04">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8. 其他</w:t>
      </w:r>
    </w:p>
    <w:p w14:paraId="7871B1FC">
      <w:pPr>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8.1 </w:t>
      </w:r>
      <w:r>
        <w:rPr>
          <w:rFonts w:hint="eastAsia" w:ascii="仿宋_GB2312" w:hAnsi="宋体" w:eastAsia="仿宋_GB2312"/>
          <w:bCs/>
          <w:sz w:val="32"/>
          <w:szCs w:val="32"/>
          <w:highlight w:val="none"/>
        </w:rPr>
        <w:t>外出考察费用</w:t>
      </w:r>
    </w:p>
    <w:p w14:paraId="17265345">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经委托人同意，监理人员外出考察发生的费用由委托人审核后支付。</w:t>
      </w:r>
    </w:p>
    <w:p w14:paraId="733326AE">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8.2 </w:t>
      </w:r>
      <w:r>
        <w:rPr>
          <w:rFonts w:hint="eastAsia" w:ascii="仿宋_GB2312" w:hAnsi="宋体" w:eastAsia="仿宋_GB2312"/>
          <w:bCs/>
          <w:sz w:val="32"/>
          <w:szCs w:val="32"/>
          <w:highlight w:val="none"/>
        </w:rPr>
        <w:t>检测费用</w:t>
      </w:r>
    </w:p>
    <w:p w14:paraId="2E9D6CCC">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委托人要求监理人进行的材料和设备检测所发生的费用，由委托人支付，支付时间在专用条件中约定。</w:t>
      </w:r>
    </w:p>
    <w:p w14:paraId="7B3A540D">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8.3 </w:t>
      </w:r>
      <w:r>
        <w:rPr>
          <w:rFonts w:hint="eastAsia" w:ascii="仿宋_GB2312" w:hAnsi="宋体" w:eastAsia="仿宋_GB2312"/>
          <w:bCs/>
          <w:sz w:val="32"/>
          <w:szCs w:val="32"/>
          <w:highlight w:val="none"/>
        </w:rPr>
        <w:t>咨询费用</w:t>
      </w:r>
    </w:p>
    <w:p w14:paraId="54F32A28">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经委托人同意，根据工程需要由监理人组织的相关咨询论证会以及聘请相关专家等发生的费用由委托人支付，支付时间在专用条件中约定。</w:t>
      </w:r>
    </w:p>
    <w:p w14:paraId="50620E41">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8.4 </w:t>
      </w:r>
      <w:r>
        <w:rPr>
          <w:rFonts w:hint="eastAsia" w:ascii="仿宋_GB2312" w:hAnsi="宋体" w:eastAsia="仿宋_GB2312"/>
          <w:bCs/>
          <w:sz w:val="32"/>
          <w:szCs w:val="32"/>
          <w:highlight w:val="none"/>
        </w:rPr>
        <w:t>奖励</w:t>
      </w:r>
    </w:p>
    <w:p w14:paraId="10383934">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2EA35164">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8.5 </w:t>
      </w:r>
      <w:r>
        <w:rPr>
          <w:rFonts w:hint="eastAsia" w:ascii="仿宋_GB2312" w:hAnsi="宋体" w:eastAsia="仿宋_GB2312"/>
          <w:bCs/>
          <w:sz w:val="32"/>
          <w:szCs w:val="32"/>
          <w:highlight w:val="none"/>
        </w:rPr>
        <w:t>守法诚信</w:t>
      </w:r>
    </w:p>
    <w:p w14:paraId="1D9DA202">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监理人及其工作人员不得从与实施工程有关的第三方处获得任何经济利益。</w:t>
      </w:r>
    </w:p>
    <w:p w14:paraId="1F5290D1">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8.6 </w:t>
      </w:r>
      <w:r>
        <w:rPr>
          <w:rFonts w:hint="eastAsia" w:ascii="仿宋_GB2312" w:hAnsi="宋体" w:eastAsia="仿宋_GB2312"/>
          <w:bCs/>
          <w:sz w:val="32"/>
          <w:szCs w:val="32"/>
          <w:highlight w:val="none"/>
        </w:rPr>
        <w:t>保密</w:t>
      </w:r>
    </w:p>
    <w:p w14:paraId="5165719B">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双方不得泄露对方申明的保密资料，亦不得泄露与实施工程有关的第三方所提供的保密资料，保密事项在专用条件中约定。</w:t>
      </w:r>
    </w:p>
    <w:p w14:paraId="73AB6095">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8.7 </w:t>
      </w:r>
      <w:r>
        <w:rPr>
          <w:rFonts w:hint="eastAsia" w:ascii="仿宋_GB2312" w:hAnsi="宋体" w:eastAsia="仿宋_GB2312"/>
          <w:bCs/>
          <w:sz w:val="32"/>
          <w:szCs w:val="32"/>
          <w:highlight w:val="none"/>
        </w:rPr>
        <w:t>通知</w:t>
      </w:r>
    </w:p>
    <w:p w14:paraId="015333AA">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本合同涉及的通知均应当采用书面形式，并在送达对方时生效，收件人应书面签收。</w:t>
      </w:r>
    </w:p>
    <w:p w14:paraId="0104D0BD">
      <w:pPr>
        <w:snapToGrid w:val="0"/>
        <w:spacing w:line="360" w:lineRule="auto"/>
        <w:ind w:left="32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8.8 </w:t>
      </w:r>
      <w:r>
        <w:rPr>
          <w:rFonts w:hint="eastAsia" w:ascii="仿宋_GB2312" w:hAnsi="宋体" w:eastAsia="仿宋_GB2312"/>
          <w:bCs/>
          <w:sz w:val="32"/>
          <w:szCs w:val="32"/>
          <w:highlight w:val="none"/>
        </w:rPr>
        <w:t>著作权</w:t>
      </w:r>
    </w:p>
    <w:p w14:paraId="68CD0F1C">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监理人对其编制的文件拥有著作权。</w:t>
      </w:r>
    </w:p>
    <w:p w14:paraId="7B1F0B97">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5EE4354">
      <w:pPr>
        <w:adjustRightInd w:val="0"/>
        <w:snapToGrid w:val="0"/>
        <w:spacing w:line="360" w:lineRule="auto"/>
        <w:ind w:left="0" w:leftChars="0" w:firstLine="0" w:firstLineChars="0"/>
        <w:rPr>
          <w:rFonts w:hint="eastAsia" w:ascii="仿宋_GB2312" w:hAnsi="宋体" w:eastAsia="仿宋_GB2312"/>
          <w:sz w:val="24"/>
          <w:highlight w:val="none"/>
        </w:rPr>
      </w:pPr>
    </w:p>
    <w:p w14:paraId="70CA805C">
      <w:pPr>
        <w:spacing w:line="360" w:lineRule="auto"/>
        <w:rPr>
          <w:rFonts w:hint="eastAsia" w:ascii="仿宋_GB2312" w:eastAsia="仿宋_GB2312"/>
          <w:sz w:val="24"/>
          <w:highlight w:val="none"/>
        </w:rPr>
      </w:pPr>
    </w:p>
    <w:p w14:paraId="30C43304">
      <w:pPr>
        <w:rPr>
          <w:highlight w:val="none"/>
        </w:rPr>
      </w:pPr>
    </w:p>
    <w:p w14:paraId="13445CF3">
      <w:pPr>
        <w:jc w:val="center"/>
        <w:rPr>
          <w:rFonts w:ascii="宋体" w:hAnsi="宋体" w:cs="宋体"/>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p>
    <w:p w14:paraId="1D4ADBFE">
      <w:pPr>
        <w:pStyle w:val="2"/>
        <w:pageBreakBefore w:val="0"/>
        <w:kinsoku/>
        <w:overflowPunct/>
        <w:topLinePunct w:val="0"/>
        <w:bidi w:val="0"/>
        <w:snapToGrid/>
        <w:spacing w:beforeAutospacing="0"/>
        <w:ind w:firstLine="643" w:firstLineChars="200"/>
        <w:rPr>
          <w:highlight w:val="none"/>
        </w:rPr>
      </w:pPr>
      <w:r>
        <w:rPr>
          <w:rFonts w:hint="eastAsia"/>
          <w:highlight w:val="none"/>
        </w:rPr>
        <w:t>第三章 评审方法</w:t>
      </w:r>
    </w:p>
    <w:p w14:paraId="5F0B3730">
      <w:pPr>
        <w:pageBreakBefore w:val="0"/>
        <w:kinsoku/>
        <w:wordWrap w:val="0"/>
        <w:overflowPunct/>
        <w:topLinePunct w:val="0"/>
        <w:bidi w:val="0"/>
        <w:snapToGrid/>
        <w:spacing w:beforeAutospacing="0"/>
        <w:ind w:firstLine="640" w:firstLineChars="200"/>
        <w:rPr>
          <w:highlight w:val="none"/>
        </w:rPr>
      </w:pPr>
      <w:r>
        <w:rPr>
          <w:rFonts w:hint="eastAsia"/>
          <w:highlight w:val="none"/>
        </w:rPr>
        <w:t>本次采购工作，对供应商的评审采用“最低价中标”。如报价中税率不一致，比价均按照不含税价执行。</w:t>
      </w:r>
    </w:p>
    <w:p w14:paraId="07573CF9">
      <w:pPr>
        <w:pStyle w:val="2"/>
        <w:pageBreakBefore w:val="0"/>
        <w:kinsoku/>
        <w:overflowPunct/>
        <w:topLinePunct w:val="0"/>
        <w:bidi w:val="0"/>
        <w:snapToGrid/>
        <w:spacing w:beforeAutospacing="0"/>
        <w:ind w:firstLine="643" w:firstLineChars="200"/>
        <w:rPr>
          <w:highlight w:val="none"/>
        </w:rPr>
      </w:pPr>
      <w:r>
        <w:rPr>
          <w:rFonts w:hint="eastAsia"/>
          <w:highlight w:val="none"/>
        </w:rPr>
        <w:t>第四章 报价说明</w:t>
      </w:r>
    </w:p>
    <w:p w14:paraId="6109A35A">
      <w:pPr>
        <w:pageBreakBefore w:val="0"/>
        <w:kinsoku/>
        <w:wordWrap w:val="0"/>
        <w:overflowPunct/>
        <w:topLinePunct w:val="0"/>
        <w:bidi w:val="0"/>
        <w:snapToGrid/>
        <w:spacing w:beforeAutospacing="0"/>
        <w:ind w:firstLine="640" w:firstLineChars="200"/>
        <w:rPr>
          <w:highlight w:val="none"/>
        </w:rPr>
      </w:pPr>
      <w:r>
        <w:rPr>
          <w:rFonts w:hint="eastAsia"/>
          <w:highlight w:val="none"/>
        </w:rPr>
        <w:t>1.本次询比采购有效期为</w:t>
      </w:r>
      <w:r>
        <w:rPr>
          <w:rFonts w:hint="eastAsia"/>
          <w:highlight w:val="none"/>
          <w:lang w:val="en-US" w:eastAsia="zh-CN"/>
        </w:rPr>
        <w:t>30</w:t>
      </w:r>
      <w:r>
        <w:rPr>
          <w:rFonts w:hint="eastAsia"/>
          <w:highlight w:val="none"/>
        </w:rPr>
        <w:t>天。</w:t>
      </w:r>
    </w:p>
    <w:p w14:paraId="30038E23">
      <w:pPr>
        <w:pageBreakBefore w:val="0"/>
        <w:kinsoku/>
        <w:wordWrap w:val="0"/>
        <w:overflowPunct/>
        <w:topLinePunct w:val="0"/>
        <w:bidi w:val="0"/>
        <w:snapToGrid/>
        <w:spacing w:beforeAutospacing="0"/>
        <w:ind w:firstLine="640" w:firstLineChars="200"/>
        <w:rPr>
          <w:highlight w:val="none"/>
        </w:rPr>
      </w:pPr>
      <w:r>
        <w:rPr>
          <w:rFonts w:hint="eastAsia"/>
          <w:highlight w:val="none"/>
        </w:rPr>
        <w:t>2.本次报价时间截止至202</w:t>
      </w:r>
      <w:r>
        <w:rPr>
          <w:rFonts w:hint="eastAsia"/>
          <w:highlight w:val="none"/>
          <w:lang w:val="en-US" w:eastAsia="zh-CN"/>
        </w:rPr>
        <w:t>4</w:t>
      </w:r>
      <w:r>
        <w:rPr>
          <w:rFonts w:hint="eastAsia"/>
          <w:highlight w:val="none"/>
        </w:rPr>
        <w:t xml:space="preserve">年 </w:t>
      </w:r>
      <w:r>
        <w:rPr>
          <w:rFonts w:hint="eastAsia"/>
          <w:highlight w:val="none"/>
          <w:lang w:val="en-US" w:eastAsia="zh-CN"/>
        </w:rPr>
        <w:t>8</w:t>
      </w:r>
      <w:r>
        <w:rPr>
          <w:rFonts w:hint="eastAsia"/>
          <w:highlight w:val="none"/>
        </w:rPr>
        <w:t>月</w:t>
      </w:r>
      <w:r>
        <w:rPr>
          <w:rFonts w:hint="eastAsia"/>
          <w:highlight w:val="none"/>
          <w:lang w:val="en-US" w:eastAsia="zh-CN"/>
        </w:rPr>
        <w:t>9</w:t>
      </w:r>
      <w:r>
        <w:rPr>
          <w:rFonts w:hint="eastAsia"/>
          <w:highlight w:val="none"/>
        </w:rPr>
        <w:t>日。</w:t>
      </w:r>
    </w:p>
    <w:p w14:paraId="45D6833A">
      <w:pPr>
        <w:pageBreakBefore w:val="0"/>
        <w:kinsoku/>
        <w:wordWrap w:val="0"/>
        <w:overflowPunct/>
        <w:topLinePunct w:val="0"/>
        <w:bidi w:val="0"/>
        <w:snapToGrid/>
        <w:spacing w:beforeAutospacing="0"/>
        <w:ind w:firstLine="640" w:firstLineChars="200"/>
        <w:rPr>
          <w:highlight w:val="none"/>
        </w:rPr>
      </w:pPr>
      <w:r>
        <w:rPr>
          <w:rFonts w:hint="eastAsia"/>
          <w:highlight w:val="none"/>
        </w:rPr>
        <w:t>联系人：向晋锋     联系电话 18228073569</w:t>
      </w:r>
    </w:p>
    <w:p w14:paraId="5FA8CE0B">
      <w:pPr>
        <w:pageBreakBefore w:val="0"/>
        <w:numPr>
          <w:ilvl w:val="0"/>
          <w:numId w:val="1"/>
        </w:numPr>
        <w:kinsoku/>
        <w:wordWrap w:val="0"/>
        <w:overflowPunct/>
        <w:topLinePunct w:val="0"/>
        <w:bidi w:val="0"/>
        <w:snapToGrid/>
        <w:spacing w:beforeAutospacing="0"/>
        <w:ind w:firstLine="640" w:firstLineChars="200"/>
        <w:rPr>
          <w:highlight w:val="none"/>
        </w:rPr>
      </w:pPr>
      <w:r>
        <w:rPr>
          <w:rFonts w:hint="eastAsia"/>
          <w:highlight w:val="none"/>
        </w:rPr>
        <w:t>投标限价（含税）：</w:t>
      </w:r>
      <w:r>
        <w:rPr>
          <w:rFonts w:hint="eastAsia"/>
          <w:highlight w:val="none"/>
          <w:lang w:val="en-US" w:eastAsia="zh-CN"/>
        </w:rPr>
        <w:t>60000元</w:t>
      </w:r>
      <w:r>
        <w:rPr>
          <w:rFonts w:hint="eastAsia"/>
          <w:highlight w:val="none"/>
        </w:rPr>
        <w:t>，投标金额超过投标限价为无效报价；价格分计算、比价均按照不含税价执行，授标按照含税价格进行授标。</w:t>
      </w:r>
    </w:p>
    <w:p w14:paraId="4D00B7EE">
      <w:pPr>
        <w:pStyle w:val="2"/>
        <w:pageBreakBefore w:val="0"/>
        <w:kinsoku/>
        <w:overflowPunct/>
        <w:topLinePunct w:val="0"/>
        <w:bidi w:val="0"/>
        <w:snapToGrid/>
        <w:spacing w:beforeAutospacing="0"/>
        <w:ind w:firstLine="643" w:firstLineChars="200"/>
        <w:rPr>
          <w:highlight w:val="none"/>
        </w:rPr>
      </w:pPr>
      <w:r>
        <w:rPr>
          <w:rFonts w:hint="eastAsia"/>
          <w:highlight w:val="none"/>
        </w:rPr>
        <w:t>第五章 项目需求</w:t>
      </w:r>
      <w:bookmarkStart w:id="0" w:name="_GoBack"/>
      <w:bookmarkEnd w:id="0"/>
    </w:p>
    <w:p w14:paraId="60FD5224">
      <w:pPr>
        <w:pStyle w:val="3"/>
        <w:pageBreakBefore w:val="0"/>
        <w:kinsoku/>
        <w:overflowPunct/>
        <w:topLinePunct w:val="0"/>
        <w:bidi w:val="0"/>
        <w:snapToGrid/>
        <w:spacing w:beforeAutospacing="0"/>
        <w:ind w:firstLine="643" w:firstLineChars="200"/>
        <w:rPr>
          <w:highlight w:val="none"/>
        </w:rPr>
      </w:pPr>
      <w:r>
        <w:rPr>
          <w:rFonts w:hint="eastAsia"/>
          <w:highlight w:val="none"/>
        </w:rPr>
        <w:t xml:space="preserve">一、项目名称 </w:t>
      </w:r>
    </w:p>
    <w:p w14:paraId="236A851D">
      <w:pPr>
        <w:pageBreakBefore w:val="0"/>
        <w:kinsoku/>
        <w:overflowPunct/>
        <w:topLinePunct w:val="0"/>
        <w:bidi w:val="0"/>
        <w:snapToGrid/>
        <w:spacing w:beforeAutospacing="0"/>
        <w:ind w:left="0" w:leftChars="0" w:firstLine="640" w:firstLineChars="200"/>
        <w:rPr>
          <w:rFonts w:hint="eastAsia" w:ascii="仿宋_GB2312" w:eastAsia="仿宋_GB2312" w:hAnsiTheme="minorEastAsia"/>
          <w:b w:val="0"/>
          <w:bCs w:val="0"/>
          <w:sz w:val="32"/>
          <w:szCs w:val="32"/>
          <w:highlight w:val="none"/>
          <w:lang w:val="en-US" w:eastAsia="zh-CN"/>
        </w:rPr>
      </w:pPr>
      <w:r>
        <w:rPr>
          <w:rFonts w:hint="eastAsia" w:ascii="仿宋_GB2312" w:eastAsia="仿宋_GB2312" w:hAnsiTheme="minorEastAsia"/>
          <w:b w:val="0"/>
          <w:bCs w:val="0"/>
          <w:sz w:val="32"/>
          <w:szCs w:val="32"/>
          <w:highlight w:val="none"/>
          <w:lang w:val="en-US" w:eastAsia="zh-CN"/>
        </w:rPr>
        <w:t>四川中糖物流有限公司</w:t>
      </w:r>
      <w:r>
        <w:rPr>
          <w:rFonts w:hint="eastAsia" w:ascii="仿宋_GB2312" w:hAnsiTheme="minorEastAsia"/>
          <w:b w:val="0"/>
          <w:bCs w:val="0"/>
          <w:sz w:val="32"/>
          <w:szCs w:val="32"/>
          <w:highlight w:val="none"/>
          <w:lang w:eastAsia="zh-CN"/>
        </w:rPr>
        <w:t>高低压配电改造监理</w:t>
      </w:r>
      <w:r>
        <w:rPr>
          <w:rFonts w:hint="eastAsia" w:ascii="仿宋_GB2312" w:eastAsia="仿宋_GB2312" w:hAnsiTheme="minorEastAsia"/>
          <w:b w:val="0"/>
          <w:bCs w:val="0"/>
          <w:sz w:val="32"/>
          <w:szCs w:val="32"/>
          <w:highlight w:val="none"/>
          <w:lang w:val="en-US" w:eastAsia="zh-CN"/>
        </w:rPr>
        <w:t>项目</w:t>
      </w:r>
    </w:p>
    <w:p w14:paraId="2C54FBE4">
      <w:pPr>
        <w:pStyle w:val="3"/>
        <w:pageBreakBefore w:val="0"/>
        <w:kinsoku/>
        <w:overflowPunct/>
        <w:topLinePunct w:val="0"/>
        <w:bidi w:val="0"/>
        <w:snapToGrid/>
        <w:spacing w:beforeAutospacing="0"/>
        <w:ind w:firstLine="643" w:firstLineChars="200"/>
        <w:rPr>
          <w:highlight w:val="none"/>
        </w:rPr>
      </w:pPr>
      <w:r>
        <w:rPr>
          <w:rFonts w:hint="eastAsia"/>
          <w:highlight w:val="none"/>
        </w:rPr>
        <w:t>二、项目内容</w:t>
      </w:r>
    </w:p>
    <w:p w14:paraId="19E351F5">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p>
    <w:p w14:paraId="2E840E90">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r>
        <w:rPr>
          <w:rFonts w:hint="eastAsia" w:ascii="仿宋_GB2312" w:eastAsia="仿宋_GB2312" w:hAnsiTheme="minorEastAsia"/>
          <w:b w:val="0"/>
          <w:bCs w:val="0"/>
          <w:sz w:val="32"/>
          <w:szCs w:val="32"/>
          <w:highlight w:val="none"/>
        </w:rPr>
        <w:t>三、承包期限期</w:t>
      </w:r>
    </w:p>
    <w:p w14:paraId="61F19816">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p>
    <w:p w14:paraId="68646C3F">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r>
        <w:rPr>
          <w:rFonts w:hint="eastAsia" w:ascii="仿宋_GB2312" w:eastAsia="仿宋_GB2312" w:hAnsiTheme="minorEastAsia"/>
          <w:b w:val="0"/>
          <w:bCs w:val="0"/>
          <w:sz w:val="32"/>
          <w:szCs w:val="32"/>
          <w:highlight w:val="none"/>
        </w:rPr>
        <w:t>四、项目需求</w:t>
      </w:r>
    </w:p>
    <w:p w14:paraId="21101B96">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r>
        <w:rPr>
          <w:rFonts w:hint="eastAsia" w:ascii="仿宋_GB2312" w:eastAsia="仿宋_GB2312" w:hAnsiTheme="minorEastAsia"/>
          <w:b w:val="0"/>
          <w:bCs w:val="0"/>
          <w:sz w:val="32"/>
          <w:szCs w:val="32"/>
          <w:highlight w:val="none"/>
        </w:rPr>
        <w:t>五、基本要求</w:t>
      </w:r>
      <w:sdt>
        <w:sdtPr>
          <w:rPr>
            <w:rFonts w:hint="eastAsia" w:ascii="仿宋_GB2312" w:eastAsia="仿宋_GB2312" w:hAnsiTheme="minorEastAsia"/>
            <w:b w:val="0"/>
            <w:bCs w:val="0"/>
            <w:sz w:val="32"/>
            <w:szCs w:val="32"/>
            <w:highlight w:val="none"/>
          </w:rPr>
          <w:id w:val="15035004"/>
        </w:sdtPr>
        <w:sdtEndPr>
          <w:rPr>
            <w:rFonts w:hint="eastAsia" w:ascii="仿宋_GB2312" w:eastAsia="仿宋_GB2312" w:hAnsiTheme="minorEastAsia"/>
            <w:b w:val="0"/>
            <w:bCs w:val="0"/>
            <w:sz w:val="32"/>
            <w:szCs w:val="32"/>
            <w:highlight w:val="none"/>
          </w:rPr>
        </w:sdtEndPr>
        <w:sdtContent>
          <w:r>
            <w:rPr>
              <w:rFonts w:hint="eastAsia" w:ascii="仿宋_GB2312" w:eastAsia="仿宋_GB2312" w:hAnsiTheme="minorEastAsia"/>
              <w:b w:val="0"/>
              <w:bCs w:val="0"/>
              <w:sz w:val="32"/>
              <w:szCs w:val="32"/>
              <w:highlight w:val="none"/>
            </w:rPr>
            <w:t xml:space="preserve"> </w:t>
          </w:r>
        </w:sdtContent>
      </w:sdt>
    </w:p>
    <w:p w14:paraId="36E30FFC">
      <w:pPr>
        <w:pageBreakBefore w:val="0"/>
        <w:kinsoku/>
        <w:overflowPunct/>
        <w:topLinePunct w:val="0"/>
        <w:bidi w:val="0"/>
        <w:snapToGrid/>
        <w:spacing w:beforeAutospacing="0"/>
        <w:ind w:firstLine="640" w:firstLineChars="200"/>
        <w:rPr>
          <w:rFonts w:hint="eastAsia" w:ascii="仿宋_GB2312" w:eastAsia="仿宋_GB2312" w:hAnsiTheme="minorEastAsia"/>
          <w:b w:val="0"/>
          <w:bCs w:val="0"/>
          <w:sz w:val="32"/>
          <w:szCs w:val="32"/>
          <w:highlight w:val="none"/>
        </w:rPr>
      </w:pPr>
    </w:p>
    <w:p w14:paraId="4C111BD8">
      <w:pPr>
        <w:pageBreakBefore w:val="0"/>
        <w:kinsoku/>
        <w:overflowPunct/>
        <w:topLinePunct w:val="0"/>
        <w:bidi w:val="0"/>
        <w:snapToGrid/>
        <w:spacing w:beforeAutospacing="0"/>
        <w:ind w:firstLine="560" w:firstLineChars="200"/>
        <w:rPr>
          <w:rFonts w:hint="eastAsia" w:ascii="仿宋_GB2312" w:eastAsia="仿宋_GB2312" w:hAnsiTheme="minorEastAsia"/>
          <w:b w:val="0"/>
          <w:bCs w:val="0"/>
          <w:sz w:val="28"/>
          <w:szCs w:val="28"/>
          <w:highlight w:val="none"/>
        </w:rPr>
      </w:pPr>
    </w:p>
    <w:p w14:paraId="07869F73">
      <w:pPr>
        <w:pStyle w:val="2"/>
        <w:pageBreakBefore w:val="0"/>
        <w:kinsoku/>
        <w:overflowPunct/>
        <w:topLinePunct w:val="0"/>
        <w:bidi w:val="0"/>
        <w:snapToGrid/>
        <w:spacing w:beforeAutospacing="0"/>
        <w:ind w:firstLine="643" w:firstLineChars="200"/>
        <w:rPr>
          <w:highlight w:val="none"/>
        </w:rPr>
      </w:pPr>
      <w:r>
        <w:rPr>
          <w:rFonts w:hint="eastAsia"/>
          <w:highlight w:val="none"/>
        </w:rPr>
        <w:t>第六章 投标文件要求</w:t>
      </w:r>
    </w:p>
    <w:p w14:paraId="07EFF5A7">
      <w:pPr>
        <w:pageBreakBefore w:val="0"/>
        <w:kinsoku/>
        <w:wordWrap w:val="0"/>
        <w:overflowPunct/>
        <w:topLinePunct w:val="0"/>
        <w:bidi w:val="0"/>
        <w:snapToGrid/>
        <w:spacing w:beforeAutospacing="0"/>
        <w:ind w:firstLine="640" w:firstLineChars="200"/>
        <w:rPr>
          <w:highlight w:val="none"/>
        </w:rPr>
      </w:pPr>
      <w:r>
        <w:rPr>
          <w:rFonts w:hint="eastAsia"/>
          <w:highlight w:val="none"/>
        </w:rPr>
        <w:t>投标文件需按照以下顺序及相应文件提供：</w:t>
      </w:r>
    </w:p>
    <w:p w14:paraId="3420C469">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附件1：报价单及项目报价清单</w:t>
      </w:r>
    </w:p>
    <w:p w14:paraId="17489FE0">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附件2：资质证明文件（营业执照及相关资质文件）</w:t>
      </w:r>
    </w:p>
    <w:p w14:paraId="402920B8">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附件3：廉洁承诺书</w:t>
      </w:r>
    </w:p>
    <w:p w14:paraId="0F0E3841">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 xml:space="preserve">附件4：质量承诺书 </w:t>
      </w:r>
    </w:p>
    <w:p w14:paraId="39EB0DD5">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附件5：法定代表人资格证明书或法定代表人授权书</w:t>
      </w:r>
    </w:p>
    <w:p w14:paraId="3641C9C6">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w:t>
      </w:r>
      <w:r>
        <w:rPr>
          <w:rFonts w:hint="eastAsia" w:ascii="Times New Roman" w:hAnsi="Times New Roman"/>
          <w:highlight w:val="none"/>
          <w:lang w:val="en-US" w:eastAsia="zh-CN"/>
        </w:rPr>
        <w:t>6</w:t>
      </w:r>
      <w:r>
        <w:rPr>
          <w:rFonts w:hint="eastAsia" w:ascii="Times New Roman" w:hAnsi="Times New Roman"/>
          <w:highlight w:val="none"/>
        </w:rPr>
        <w:t>：声明书</w:t>
      </w:r>
    </w:p>
    <w:p w14:paraId="28237D92">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rPr>
        <w:t>附件</w:t>
      </w:r>
      <w:r>
        <w:rPr>
          <w:rFonts w:hint="eastAsia" w:ascii="Times New Roman" w:hAnsi="Times New Roman"/>
          <w:highlight w:val="none"/>
          <w:lang w:val="en-US" w:eastAsia="zh-CN"/>
        </w:rPr>
        <w:t>7</w:t>
      </w:r>
      <w:r>
        <w:rPr>
          <w:rFonts w:hint="eastAsia" w:ascii="Times New Roman" w:hAnsi="Times New Roman"/>
          <w:highlight w:val="none"/>
        </w:rPr>
        <w:t>：不存在串通投标行为承诺书</w:t>
      </w:r>
    </w:p>
    <w:p w14:paraId="3158A39F">
      <w:pPr>
        <w:pageBreakBefore w:val="0"/>
        <w:kinsoku/>
        <w:wordWrap w:val="0"/>
        <w:overflowPunct/>
        <w:topLinePunct w:val="0"/>
        <w:bidi w:val="0"/>
        <w:snapToGrid/>
        <w:spacing w:beforeAutospacing="0"/>
        <w:ind w:firstLine="640" w:firstLineChars="200"/>
        <w:rPr>
          <w:rFonts w:hint="eastAsia" w:ascii="Times New Roman" w:hAnsi="Times New Roman"/>
          <w:highlight w:val="none"/>
        </w:rPr>
      </w:pPr>
      <w:r>
        <w:rPr>
          <w:rFonts w:hint="eastAsia" w:ascii="Times New Roman" w:hAnsi="Times New Roman"/>
          <w:highlight w:val="none"/>
          <w:lang w:val="en-US" w:eastAsia="zh-CN"/>
        </w:rPr>
        <w:t>附件8：</w:t>
      </w:r>
      <w:r>
        <w:rPr>
          <w:rFonts w:hint="eastAsia" w:ascii="Times New Roman" w:hAnsi="Times New Roman"/>
          <w:highlight w:val="none"/>
        </w:rPr>
        <w:t>中粮糖业关于串通投标行为认定管理细则(试行)2022-A 版</w:t>
      </w:r>
    </w:p>
    <w:p w14:paraId="61941E1E">
      <w:pPr>
        <w:pageBreakBefore w:val="0"/>
        <w:widowControl/>
        <w:kinsoku/>
        <w:overflowPunct/>
        <w:topLinePunct w:val="0"/>
        <w:bidi w:val="0"/>
        <w:snapToGrid/>
        <w:spacing w:beforeAutospacing="0" w:line="240" w:lineRule="auto"/>
        <w:ind w:firstLine="640" w:firstLineChars="200"/>
        <w:jc w:val="left"/>
        <w:rPr>
          <w:highlight w:val="none"/>
        </w:rPr>
      </w:pPr>
      <w:r>
        <w:rPr>
          <w:highlight w:val="none"/>
        </w:rPr>
        <w:br w:type="page"/>
      </w:r>
    </w:p>
    <w:p w14:paraId="4E6A4663">
      <w:pPr>
        <w:pageBreakBefore w:val="0"/>
        <w:kinsoku/>
        <w:wordWrap w:val="0"/>
        <w:overflowPunct/>
        <w:topLinePunct w:val="0"/>
        <w:bidi w:val="0"/>
        <w:snapToGrid/>
        <w:spacing w:beforeAutospacing="0"/>
        <w:ind w:left="0" w:leftChars="0" w:firstLine="0" w:firstLineChars="0"/>
        <w:rPr>
          <w:highlight w:val="none"/>
        </w:rPr>
      </w:pPr>
      <w:r>
        <w:rPr>
          <w:rFonts w:hint="eastAsia"/>
          <w:highlight w:val="none"/>
        </w:rPr>
        <w:t>附件1：报价单</w:t>
      </w:r>
    </w:p>
    <w:p w14:paraId="5BBF3101">
      <w:pPr>
        <w:pageBreakBefore w:val="0"/>
        <w:kinsoku/>
        <w:wordWrap w:val="0"/>
        <w:overflowPunct/>
        <w:topLinePunct w:val="0"/>
        <w:bidi w:val="0"/>
        <w:snapToGrid/>
        <w:spacing w:beforeAutospacing="0"/>
        <w:ind w:firstLine="643" w:firstLineChars="200"/>
        <w:jc w:val="center"/>
        <w:rPr>
          <w:highlight w:val="none"/>
        </w:rPr>
      </w:pPr>
      <w:r>
        <w:rPr>
          <w:rFonts w:hint="eastAsia"/>
          <w:b/>
          <w:bCs/>
          <w:highlight w:val="none"/>
        </w:rPr>
        <w:t>报价单</w:t>
      </w:r>
    </w:p>
    <w:p w14:paraId="4818A902">
      <w:pPr>
        <w:pageBreakBefore w:val="0"/>
        <w:kinsoku/>
        <w:wordWrap w:val="0"/>
        <w:overflowPunct/>
        <w:topLinePunct w:val="0"/>
        <w:bidi w:val="0"/>
        <w:snapToGrid/>
        <w:spacing w:beforeAutospacing="0"/>
        <w:ind w:firstLine="640" w:firstLineChars="200"/>
        <w:jc w:val="right"/>
        <w:rPr>
          <w:highlight w:val="none"/>
        </w:rPr>
      </w:pPr>
      <w:r>
        <w:rPr>
          <w:rFonts w:hint="eastAsia"/>
          <w:highlight w:val="none"/>
        </w:rPr>
        <w:t>货币单位：元（人民币）</w:t>
      </w:r>
    </w:p>
    <w:tbl>
      <w:tblPr>
        <w:tblStyle w:val="16"/>
        <w:tblpPr w:leftFromText="180" w:rightFromText="180" w:vertAnchor="text" w:horzAnchor="page" w:tblpX="1372" w:tblpY="874"/>
        <w:tblOverlap w:val="never"/>
        <w:tblW w:w="88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7"/>
        <w:gridCol w:w="1155"/>
        <w:gridCol w:w="1178"/>
        <w:gridCol w:w="1237"/>
        <w:gridCol w:w="1185"/>
        <w:gridCol w:w="999"/>
      </w:tblGrid>
      <w:tr w14:paraId="2B64A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3107" w:type="dxa"/>
            <w:tcBorders>
              <w:top w:val="single" w:color="000000" w:sz="4" w:space="0"/>
              <w:left w:val="single" w:color="000000" w:sz="4" w:space="0"/>
              <w:bottom w:val="single" w:color="000000" w:sz="4" w:space="0"/>
              <w:right w:val="single" w:color="000000" w:sz="4" w:space="0"/>
            </w:tcBorders>
          </w:tcPr>
          <w:p w14:paraId="03DA4F6A">
            <w:pPr>
              <w:wordWrap w:val="0"/>
              <w:ind w:firstLine="640"/>
              <w:rPr>
                <w:highlight w:val="none"/>
              </w:rPr>
            </w:pPr>
            <w:r>
              <w:rPr>
                <w:rFonts w:hint="eastAsia"/>
                <w:highlight w:val="none"/>
              </w:rPr>
              <w:t>具体项目</w:t>
            </w:r>
          </w:p>
        </w:tc>
        <w:tc>
          <w:tcPr>
            <w:tcW w:w="1155" w:type="dxa"/>
            <w:tcBorders>
              <w:top w:val="single" w:color="000000" w:sz="4" w:space="0"/>
              <w:left w:val="single" w:color="000000" w:sz="4" w:space="0"/>
              <w:bottom w:val="single" w:color="000000" w:sz="4" w:space="0"/>
              <w:right w:val="single" w:color="000000" w:sz="4" w:space="0"/>
            </w:tcBorders>
          </w:tcPr>
          <w:p w14:paraId="30E2F3DA">
            <w:pPr>
              <w:wordWrap w:val="0"/>
              <w:ind w:firstLine="0" w:firstLineChars="0"/>
              <w:rPr>
                <w:highlight w:val="none"/>
              </w:rPr>
            </w:pPr>
            <w:r>
              <w:rPr>
                <w:rFonts w:hint="eastAsia"/>
                <w:highlight w:val="none"/>
              </w:rPr>
              <w:t>单价</w:t>
            </w:r>
          </w:p>
        </w:tc>
        <w:tc>
          <w:tcPr>
            <w:tcW w:w="1178" w:type="dxa"/>
            <w:tcBorders>
              <w:top w:val="single" w:color="000000" w:sz="4" w:space="0"/>
              <w:left w:val="single" w:color="000000" w:sz="4" w:space="0"/>
              <w:bottom w:val="single" w:color="000000" w:sz="4" w:space="0"/>
              <w:right w:val="single" w:color="000000" w:sz="4" w:space="0"/>
            </w:tcBorders>
          </w:tcPr>
          <w:p w14:paraId="7986430C">
            <w:pPr>
              <w:wordWrap w:val="0"/>
              <w:ind w:firstLine="0" w:firstLineChars="0"/>
              <w:rPr>
                <w:highlight w:val="none"/>
              </w:rPr>
            </w:pPr>
            <w:r>
              <w:rPr>
                <w:rFonts w:hint="eastAsia"/>
                <w:highlight w:val="none"/>
              </w:rPr>
              <w:t>含税合价</w:t>
            </w:r>
          </w:p>
        </w:tc>
        <w:tc>
          <w:tcPr>
            <w:tcW w:w="1237" w:type="dxa"/>
            <w:tcBorders>
              <w:top w:val="single" w:color="000000" w:sz="4" w:space="0"/>
              <w:left w:val="single" w:color="000000" w:sz="4" w:space="0"/>
              <w:bottom w:val="single" w:color="000000" w:sz="4" w:space="0"/>
              <w:right w:val="single" w:color="000000" w:sz="4" w:space="0"/>
            </w:tcBorders>
          </w:tcPr>
          <w:p w14:paraId="72C99A06">
            <w:pPr>
              <w:wordWrap w:val="0"/>
              <w:ind w:firstLine="0" w:firstLineChars="0"/>
              <w:rPr>
                <w:highlight w:val="none"/>
              </w:rPr>
            </w:pPr>
            <w:r>
              <w:rPr>
                <w:rFonts w:hint="eastAsia"/>
                <w:highlight w:val="none"/>
              </w:rPr>
              <w:t>税率（%）</w:t>
            </w:r>
          </w:p>
        </w:tc>
        <w:tc>
          <w:tcPr>
            <w:tcW w:w="1185" w:type="dxa"/>
            <w:tcBorders>
              <w:top w:val="single" w:color="000000" w:sz="4" w:space="0"/>
              <w:left w:val="single" w:color="000000" w:sz="4" w:space="0"/>
              <w:bottom w:val="single" w:color="000000" w:sz="4" w:space="0"/>
              <w:right w:val="single" w:color="000000" w:sz="4" w:space="0"/>
            </w:tcBorders>
          </w:tcPr>
          <w:p w14:paraId="3FFADA29">
            <w:pPr>
              <w:wordWrap w:val="0"/>
              <w:ind w:firstLine="0" w:firstLineChars="0"/>
              <w:rPr>
                <w:highlight w:val="none"/>
              </w:rPr>
            </w:pPr>
            <w:r>
              <w:rPr>
                <w:rFonts w:hint="eastAsia"/>
                <w:highlight w:val="none"/>
              </w:rPr>
              <w:t>不含税价格</w:t>
            </w:r>
          </w:p>
        </w:tc>
        <w:tc>
          <w:tcPr>
            <w:tcW w:w="999" w:type="dxa"/>
            <w:tcBorders>
              <w:top w:val="single" w:color="000000" w:sz="4" w:space="0"/>
              <w:left w:val="single" w:color="000000" w:sz="4" w:space="0"/>
              <w:bottom w:val="single" w:color="000000" w:sz="4" w:space="0"/>
              <w:right w:val="single" w:color="000000" w:sz="4" w:space="0"/>
            </w:tcBorders>
          </w:tcPr>
          <w:p w14:paraId="73DA4392">
            <w:pPr>
              <w:wordWrap w:val="0"/>
              <w:ind w:firstLine="0" w:firstLineChars="0"/>
              <w:rPr>
                <w:highlight w:val="none"/>
              </w:rPr>
            </w:pPr>
            <w:r>
              <w:rPr>
                <w:rFonts w:hint="eastAsia"/>
                <w:highlight w:val="none"/>
              </w:rPr>
              <w:t>备注</w:t>
            </w:r>
          </w:p>
        </w:tc>
      </w:tr>
      <w:tr w14:paraId="4F21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3107" w:type="dxa"/>
            <w:tcBorders>
              <w:top w:val="single" w:color="000000" w:sz="4" w:space="0"/>
              <w:left w:val="single" w:color="000000" w:sz="4" w:space="0"/>
              <w:bottom w:val="single" w:color="000000" w:sz="4" w:space="0"/>
              <w:right w:val="single" w:color="000000" w:sz="4" w:space="0"/>
            </w:tcBorders>
          </w:tcPr>
          <w:p w14:paraId="6AAA4D8A">
            <w:pPr>
              <w:wordWrap w:val="0"/>
              <w:ind w:firstLine="0" w:firstLineChars="0"/>
              <w:rPr>
                <w:highlight w:val="none"/>
              </w:rPr>
            </w:pPr>
          </w:p>
        </w:tc>
        <w:tc>
          <w:tcPr>
            <w:tcW w:w="1155" w:type="dxa"/>
            <w:tcBorders>
              <w:top w:val="single" w:color="000000" w:sz="4" w:space="0"/>
              <w:left w:val="single" w:color="000000" w:sz="4" w:space="0"/>
              <w:bottom w:val="single" w:color="000000" w:sz="4" w:space="0"/>
              <w:right w:val="single" w:color="000000" w:sz="4" w:space="0"/>
            </w:tcBorders>
          </w:tcPr>
          <w:p w14:paraId="38A0B5B5">
            <w:pPr>
              <w:wordWrap w:val="0"/>
              <w:ind w:firstLine="640"/>
              <w:rPr>
                <w:highlight w:val="none"/>
              </w:rPr>
            </w:pPr>
          </w:p>
        </w:tc>
        <w:tc>
          <w:tcPr>
            <w:tcW w:w="1178" w:type="dxa"/>
            <w:tcBorders>
              <w:top w:val="single" w:color="000000" w:sz="4" w:space="0"/>
              <w:left w:val="single" w:color="000000" w:sz="4" w:space="0"/>
              <w:bottom w:val="single" w:color="000000" w:sz="4" w:space="0"/>
              <w:right w:val="single" w:color="000000" w:sz="4" w:space="0"/>
            </w:tcBorders>
          </w:tcPr>
          <w:p w14:paraId="03146C71">
            <w:pPr>
              <w:wordWrap w:val="0"/>
              <w:ind w:firstLine="640"/>
              <w:rPr>
                <w:highlight w:val="none"/>
              </w:rPr>
            </w:pPr>
          </w:p>
        </w:tc>
        <w:tc>
          <w:tcPr>
            <w:tcW w:w="1237" w:type="dxa"/>
            <w:tcBorders>
              <w:top w:val="single" w:color="000000" w:sz="4" w:space="0"/>
              <w:left w:val="single" w:color="000000" w:sz="4" w:space="0"/>
              <w:bottom w:val="single" w:color="000000" w:sz="4" w:space="0"/>
              <w:right w:val="single" w:color="000000" w:sz="4" w:space="0"/>
            </w:tcBorders>
          </w:tcPr>
          <w:p w14:paraId="644DC9F7">
            <w:pPr>
              <w:wordWrap w:val="0"/>
              <w:ind w:firstLine="640"/>
              <w:rPr>
                <w:highlight w:val="none"/>
              </w:rPr>
            </w:pPr>
          </w:p>
        </w:tc>
        <w:tc>
          <w:tcPr>
            <w:tcW w:w="1185" w:type="dxa"/>
            <w:tcBorders>
              <w:top w:val="single" w:color="000000" w:sz="4" w:space="0"/>
              <w:left w:val="single" w:color="000000" w:sz="4" w:space="0"/>
              <w:bottom w:val="single" w:color="000000" w:sz="4" w:space="0"/>
              <w:right w:val="single" w:color="000000" w:sz="4" w:space="0"/>
            </w:tcBorders>
          </w:tcPr>
          <w:p w14:paraId="147C24B7">
            <w:pPr>
              <w:wordWrap w:val="0"/>
              <w:ind w:firstLine="640"/>
              <w:rPr>
                <w:highlight w:val="none"/>
              </w:rPr>
            </w:pPr>
          </w:p>
        </w:tc>
        <w:tc>
          <w:tcPr>
            <w:tcW w:w="999" w:type="dxa"/>
            <w:tcBorders>
              <w:top w:val="single" w:color="000000" w:sz="4" w:space="0"/>
              <w:left w:val="single" w:color="000000" w:sz="4" w:space="0"/>
              <w:bottom w:val="single" w:color="000000" w:sz="4" w:space="0"/>
              <w:right w:val="single" w:color="000000" w:sz="4" w:space="0"/>
            </w:tcBorders>
          </w:tcPr>
          <w:p w14:paraId="7EC72F51">
            <w:pPr>
              <w:wordWrap w:val="0"/>
              <w:ind w:firstLine="0" w:firstLineChars="0"/>
              <w:rPr>
                <w:highlight w:val="none"/>
              </w:rPr>
            </w:pPr>
          </w:p>
        </w:tc>
      </w:tr>
    </w:tbl>
    <w:p w14:paraId="311DBF18">
      <w:pPr>
        <w:pageBreakBefore w:val="0"/>
        <w:kinsoku/>
        <w:wordWrap w:val="0"/>
        <w:overflowPunct/>
        <w:topLinePunct w:val="0"/>
        <w:bidi w:val="0"/>
        <w:snapToGrid/>
        <w:spacing w:beforeAutospacing="0"/>
        <w:ind w:left="0" w:leftChars="0" w:firstLine="0" w:firstLineChars="0"/>
        <w:rPr>
          <w:highlight w:val="none"/>
        </w:rPr>
      </w:pPr>
    </w:p>
    <w:p w14:paraId="3F8AFE96">
      <w:pPr>
        <w:pageBreakBefore w:val="0"/>
        <w:kinsoku/>
        <w:wordWrap w:val="0"/>
        <w:overflowPunct/>
        <w:topLinePunct w:val="0"/>
        <w:bidi w:val="0"/>
        <w:snapToGrid/>
        <w:spacing w:beforeAutospacing="0"/>
        <w:ind w:firstLine="640" w:firstLineChars="200"/>
        <w:rPr>
          <w:highlight w:val="none"/>
        </w:rPr>
      </w:pPr>
      <w:r>
        <w:rPr>
          <w:rFonts w:hint="eastAsia"/>
          <w:highlight w:val="none"/>
        </w:rPr>
        <w:t>注：</w:t>
      </w:r>
    </w:p>
    <w:p w14:paraId="31979339">
      <w:pPr>
        <w:pageBreakBefore w:val="0"/>
        <w:numPr>
          <w:ilvl w:val="0"/>
          <w:numId w:val="2"/>
        </w:numPr>
        <w:kinsoku/>
        <w:wordWrap w:val="0"/>
        <w:overflowPunct/>
        <w:topLinePunct w:val="0"/>
        <w:bidi w:val="0"/>
        <w:snapToGrid/>
        <w:spacing w:beforeAutospacing="0"/>
        <w:ind w:firstLine="640" w:firstLineChars="200"/>
        <w:rPr>
          <w:highlight w:val="none"/>
        </w:rPr>
      </w:pPr>
      <w:r>
        <w:rPr>
          <w:rFonts w:hint="eastAsia"/>
          <w:highlight w:val="none"/>
        </w:rPr>
        <w:t xml:space="preserve">投标报价包含管理费及其他所有成本费用的总和。 </w:t>
      </w:r>
    </w:p>
    <w:p w14:paraId="74A62EC3">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2，因本项目发生的差旅费、通讯费、招待费、文印费用等其他费用，均由报价人自行承担。 </w:t>
      </w:r>
    </w:p>
    <w:p w14:paraId="2261FC9B">
      <w:pPr>
        <w:pageBreakBefore w:val="0"/>
        <w:kinsoku/>
        <w:wordWrap w:val="0"/>
        <w:overflowPunct/>
        <w:topLinePunct w:val="0"/>
        <w:bidi w:val="0"/>
        <w:snapToGrid/>
        <w:spacing w:beforeAutospacing="0"/>
        <w:ind w:firstLine="640" w:firstLineChars="200"/>
        <w:rPr>
          <w:highlight w:val="none"/>
        </w:rPr>
      </w:pPr>
      <w:r>
        <w:rPr>
          <w:rFonts w:hint="eastAsia"/>
          <w:highlight w:val="none"/>
        </w:rPr>
        <w:t>3，保留小数点后两位有效。</w:t>
      </w:r>
    </w:p>
    <w:p w14:paraId="42CD560C">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39EE901E">
      <w:pPr>
        <w:pageBreakBefore w:val="0"/>
        <w:kinsoku/>
        <w:wordWrap w:val="0"/>
        <w:overflowPunct/>
        <w:topLinePunct w:val="0"/>
        <w:bidi w:val="0"/>
        <w:snapToGrid/>
        <w:spacing w:beforeAutospacing="0"/>
        <w:ind w:firstLine="640" w:firstLineChars="200"/>
        <w:jc w:val="center"/>
        <w:rPr>
          <w:highlight w:val="none"/>
        </w:rPr>
      </w:pPr>
      <w:r>
        <w:rPr>
          <w:rFonts w:hint="eastAsia"/>
          <w:highlight w:val="none"/>
        </w:rPr>
        <w:t xml:space="preserve">                供应商：（盖章）</w:t>
      </w:r>
    </w:p>
    <w:p w14:paraId="36361743">
      <w:pPr>
        <w:pageBreakBefore w:val="0"/>
        <w:kinsoku/>
        <w:wordWrap w:val="0"/>
        <w:overflowPunct/>
        <w:topLinePunct w:val="0"/>
        <w:bidi w:val="0"/>
        <w:snapToGrid/>
        <w:spacing w:beforeAutospacing="0"/>
        <w:ind w:firstLine="640" w:firstLineChars="200"/>
        <w:jc w:val="right"/>
        <w:rPr>
          <w:highlight w:val="none"/>
        </w:rPr>
      </w:pPr>
      <w:r>
        <w:rPr>
          <w:rFonts w:hint="eastAsia"/>
          <w:highlight w:val="none"/>
        </w:rPr>
        <w:t>法定代表人或其授权代表：（签字或盖章）</w:t>
      </w:r>
    </w:p>
    <w:p w14:paraId="67F735B0">
      <w:pPr>
        <w:pageBreakBefore w:val="0"/>
        <w:kinsoku/>
        <w:wordWrap w:val="0"/>
        <w:overflowPunct/>
        <w:topLinePunct w:val="0"/>
        <w:bidi w:val="0"/>
        <w:snapToGrid/>
        <w:spacing w:beforeAutospacing="0"/>
        <w:ind w:firstLine="640" w:firstLineChars="200"/>
        <w:jc w:val="center"/>
        <w:rPr>
          <w:highlight w:val="none"/>
        </w:rPr>
      </w:pPr>
      <w:r>
        <w:rPr>
          <w:rFonts w:hint="eastAsia"/>
          <w:highlight w:val="none"/>
        </w:rPr>
        <w:t xml:space="preserve">                 日期：     年   月   日 </w:t>
      </w:r>
    </w:p>
    <w:p w14:paraId="04973E2F">
      <w:pPr>
        <w:pageBreakBefore w:val="0"/>
        <w:kinsoku/>
        <w:overflowPunct/>
        <w:topLinePunct w:val="0"/>
        <w:bidi w:val="0"/>
        <w:snapToGrid/>
        <w:spacing w:beforeAutospacing="0"/>
        <w:ind w:firstLine="640" w:firstLineChars="200"/>
        <w:rPr>
          <w:highlight w:val="none"/>
        </w:rPr>
      </w:pPr>
      <w:r>
        <w:rPr>
          <w:rFonts w:hint="eastAsia"/>
          <w:highlight w:val="none"/>
        </w:rPr>
        <w:br w:type="page"/>
      </w:r>
    </w:p>
    <w:p w14:paraId="1435AE91">
      <w:pPr>
        <w:pageBreakBefore w:val="0"/>
        <w:kinsoku/>
        <w:wordWrap w:val="0"/>
        <w:overflowPunct/>
        <w:topLinePunct w:val="0"/>
        <w:bidi w:val="0"/>
        <w:snapToGrid/>
        <w:spacing w:beforeAutospacing="0"/>
        <w:ind w:firstLine="640" w:firstLineChars="200"/>
        <w:rPr>
          <w:highlight w:val="none"/>
        </w:rPr>
      </w:pPr>
      <w:r>
        <w:rPr>
          <w:rFonts w:hint="eastAsia"/>
          <w:highlight w:val="none"/>
        </w:rPr>
        <w:t>附件2：资质证明文件（营业执照及相关资质文件）</w:t>
      </w:r>
    </w:p>
    <w:p w14:paraId="6CCE604A">
      <w:pPr>
        <w:pageBreakBefore w:val="0"/>
        <w:widowControl/>
        <w:kinsoku/>
        <w:overflowPunct/>
        <w:topLinePunct w:val="0"/>
        <w:bidi w:val="0"/>
        <w:snapToGrid/>
        <w:spacing w:beforeAutospacing="0" w:line="240" w:lineRule="auto"/>
        <w:ind w:firstLine="640" w:firstLineChars="200"/>
        <w:jc w:val="left"/>
        <w:rPr>
          <w:highlight w:val="none"/>
        </w:rPr>
      </w:pPr>
      <w:r>
        <w:rPr>
          <w:highlight w:val="none"/>
        </w:rPr>
        <w:br w:type="page"/>
      </w:r>
      <w:r>
        <w:rPr>
          <w:rFonts w:hint="eastAsia"/>
          <w:highlight w:val="none"/>
        </w:rPr>
        <w:t>附件3</w:t>
      </w:r>
    </w:p>
    <w:p w14:paraId="7984280B">
      <w:pPr>
        <w:pageBreakBefore w:val="0"/>
        <w:kinsoku/>
        <w:wordWrap w:val="0"/>
        <w:overflowPunct/>
        <w:topLinePunct w:val="0"/>
        <w:bidi w:val="0"/>
        <w:snapToGrid/>
        <w:spacing w:beforeAutospacing="0"/>
        <w:ind w:firstLine="643" w:firstLineChars="200"/>
        <w:jc w:val="center"/>
        <w:rPr>
          <w:b/>
          <w:bCs/>
          <w:highlight w:val="none"/>
        </w:rPr>
      </w:pPr>
      <w:r>
        <w:rPr>
          <w:rFonts w:hint="eastAsia"/>
          <w:b/>
          <w:bCs/>
          <w:highlight w:val="none"/>
        </w:rPr>
        <w:t>中粮糖业廉洁承诺书</w:t>
      </w:r>
    </w:p>
    <w:p w14:paraId="54F008F8">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中粮糖业及下属分子公司： </w:t>
      </w:r>
    </w:p>
    <w:p w14:paraId="27A1DBD3">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为积极配合贵公司进行的项目采购与招投标工作，有效遏制不公平竞争和违规违纪问题的发生，确保采购与招投标工作的公平、公正、公开，我们特向贵公司承诺如下事项： </w:t>
      </w:r>
    </w:p>
    <w:p w14:paraId="3A34BAFA">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1.自觉遵守国家法律法规及中粮糖业有关廉政建设制度。 </w:t>
      </w:r>
    </w:p>
    <w:p w14:paraId="020E0ED6">
      <w:pPr>
        <w:pageBreakBefore w:val="0"/>
        <w:kinsoku/>
        <w:wordWrap w:val="0"/>
        <w:overflowPunct/>
        <w:topLinePunct w:val="0"/>
        <w:bidi w:val="0"/>
        <w:snapToGrid/>
        <w:spacing w:beforeAutospacing="0"/>
        <w:ind w:firstLine="640" w:firstLineChars="200"/>
        <w:rPr>
          <w:highlight w:val="none"/>
        </w:rPr>
      </w:pPr>
      <w:r>
        <w:rPr>
          <w:rFonts w:hint="eastAsia"/>
          <w:highlight w:val="none"/>
        </w:rPr>
        <w:t>2.不使用不正当手段妨碍、排挤其它投标单位或串通投标。</w:t>
      </w:r>
    </w:p>
    <w:p w14:paraId="27067ADE">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3.按照采购文件规定的方式进行投标，不隐瞒本单位投标资质的真实情况，投标资质符合规定；保证不会以其他人名义投标或者以其他方式弄虚作假，骗取中标。 </w:t>
      </w:r>
    </w:p>
    <w:p w14:paraId="0B3580BB">
      <w:pPr>
        <w:pageBreakBefore w:val="0"/>
        <w:kinsoku/>
        <w:wordWrap w:val="0"/>
        <w:overflowPunct/>
        <w:topLinePunct w:val="0"/>
        <w:bidi w:val="0"/>
        <w:snapToGrid/>
        <w:spacing w:beforeAutospacing="0"/>
        <w:ind w:firstLine="640" w:firstLineChars="200"/>
        <w:rPr>
          <w:highlight w:val="none"/>
        </w:rPr>
      </w:pPr>
      <w:r>
        <w:rPr>
          <w:rFonts w:hint="eastAsia"/>
          <w:highlight w:val="none"/>
        </w:rPr>
        <w:t>4.不将主体、关键性工作进行分包（包括贴牌生产、转包等）。</w:t>
      </w:r>
    </w:p>
    <w:p w14:paraId="172952AB">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 </w:t>
      </w:r>
    </w:p>
    <w:p w14:paraId="3383329D">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6.不向贵公司涉及采购与招投标的部门及个人支付好处费、介绍费；购置或提供通讯工具、交通工具、电脑等。 </w:t>
      </w:r>
    </w:p>
    <w:p w14:paraId="02F26467">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7. 经查实对于参与串通行为的投标人，其中标无效，列入供应商黑名单，并对投标人处中标项目金额千分之五以上千分之十以下的罚款如事后查实无法追溯的仅列入供应商黑名单，加大不诚信供应商的违规成本。 </w:t>
      </w:r>
    </w:p>
    <w:p w14:paraId="5D7FEBB3">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8.一旦发现相关人员在招标过程中有索要财物等不廉洁行为，坚决予以抵制，并及时向贵公司纪委办公室举报。 </w:t>
      </w:r>
    </w:p>
    <w:p w14:paraId="2A893F4B">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9.我方自愿将本承诺书作为投标文件及合同的附件，具有同等的法律效力。 </w:t>
      </w:r>
    </w:p>
    <w:p w14:paraId="2559542F">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10.若违反上述承诺或违反有关法律法规及贵公司有关规定，我方自愿永久放弃参与贵公司的所有业务往来，并承担贵公司制度规定的一切法律责任。 </w:t>
      </w:r>
    </w:p>
    <w:p w14:paraId="6384DFFA">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11.本承诺书自签署之日起生效。 </w:t>
      </w:r>
    </w:p>
    <w:p w14:paraId="67A94848">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3766265E">
      <w:pPr>
        <w:pageBreakBefore w:val="0"/>
        <w:kinsoku/>
        <w:wordWrap w:val="0"/>
        <w:overflowPunct/>
        <w:topLinePunct w:val="0"/>
        <w:bidi w:val="0"/>
        <w:snapToGrid/>
        <w:spacing w:beforeAutospacing="0"/>
        <w:ind w:firstLine="640" w:firstLineChars="200"/>
        <w:jc w:val="right"/>
        <w:rPr>
          <w:highlight w:val="none"/>
        </w:rPr>
      </w:pPr>
      <w:r>
        <w:rPr>
          <w:rFonts w:hint="eastAsia"/>
          <w:highlight w:val="none"/>
        </w:rPr>
        <w:t xml:space="preserve">投标单位（公章）： </w:t>
      </w:r>
    </w:p>
    <w:p w14:paraId="57061406">
      <w:pPr>
        <w:pageBreakBefore w:val="0"/>
        <w:kinsoku/>
        <w:wordWrap w:val="0"/>
        <w:overflowPunct/>
        <w:topLinePunct w:val="0"/>
        <w:bidi w:val="0"/>
        <w:snapToGrid/>
        <w:spacing w:beforeAutospacing="0"/>
        <w:ind w:firstLine="640" w:firstLineChars="200"/>
        <w:jc w:val="right"/>
        <w:rPr>
          <w:highlight w:val="none"/>
        </w:rPr>
      </w:pPr>
      <w:r>
        <w:rPr>
          <w:rFonts w:hint="eastAsia"/>
          <w:highlight w:val="none"/>
        </w:rPr>
        <w:t xml:space="preserve">法定代表人或授权代理人（签名）： </w:t>
      </w:r>
    </w:p>
    <w:p w14:paraId="7943528A">
      <w:pPr>
        <w:pageBreakBefore w:val="0"/>
        <w:kinsoku/>
        <w:wordWrap w:val="0"/>
        <w:overflowPunct/>
        <w:topLinePunct w:val="0"/>
        <w:bidi w:val="0"/>
        <w:snapToGrid/>
        <w:spacing w:beforeAutospacing="0"/>
        <w:ind w:firstLine="640" w:firstLineChars="200"/>
        <w:jc w:val="right"/>
        <w:rPr>
          <w:highlight w:val="none"/>
        </w:rPr>
      </w:pPr>
      <w:r>
        <w:rPr>
          <w:rFonts w:hint="eastAsia"/>
          <w:highlight w:val="none"/>
        </w:rPr>
        <w:t>日期：   年   月   日</w:t>
      </w:r>
    </w:p>
    <w:p w14:paraId="074E3366">
      <w:pPr>
        <w:pageBreakBefore w:val="0"/>
        <w:kinsoku/>
        <w:wordWrap w:val="0"/>
        <w:overflowPunct/>
        <w:topLinePunct w:val="0"/>
        <w:bidi w:val="0"/>
        <w:snapToGrid/>
        <w:spacing w:beforeAutospacing="0"/>
        <w:ind w:firstLine="640" w:firstLineChars="200"/>
        <w:rPr>
          <w:highlight w:val="none"/>
        </w:rPr>
      </w:pPr>
    </w:p>
    <w:p w14:paraId="2ED5EDD8">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025647BD">
      <w:pPr>
        <w:pageBreakBefore w:val="0"/>
        <w:widowControl/>
        <w:kinsoku/>
        <w:overflowPunct/>
        <w:topLinePunct w:val="0"/>
        <w:bidi w:val="0"/>
        <w:snapToGrid/>
        <w:spacing w:beforeAutospacing="0" w:line="240" w:lineRule="auto"/>
        <w:ind w:firstLine="640" w:firstLineChars="200"/>
        <w:jc w:val="left"/>
        <w:rPr>
          <w:highlight w:val="none"/>
        </w:rPr>
      </w:pPr>
      <w:r>
        <w:rPr>
          <w:highlight w:val="none"/>
        </w:rPr>
        <w:br w:type="page"/>
      </w:r>
    </w:p>
    <w:p w14:paraId="06F33C0A">
      <w:pPr>
        <w:pageBreakBefore w:val="0"/>
        <w:kinsoku/>
        <w:wordWrap w:val="0"/>
        <w:overflowPunct/>
        <w:topLinePunct w:val="0"/>
        <w:bidi w:val="0"/>
        <w:snapToGrid/>
        <w:spacing w:beforeAutospacing="0"/>
        <w:ind w:firstLine="640" w:firstLineChars="200"/>
        <w:rPr>
          <w:rFonts w:hint="eastAsia" w:eastAsia="仿宋_GB2312"/>
          <w:highlight w:val="none"/>
          <w:lang w:eastAsia="zh-CN"/>
        </w:rPr>
      </w:pPr>
      <w:r>
        <w:rPr>
          <w:rFonts w:hint="eastAsia"/>
          <w:highlight w:val="none"/>
        </w:rPr>
        <w:t>附件</w:t>
      </w:r>
      <w:r>
        <w:rPr>
          <w:rFonts w:hint="eastAsia"/>
          <w:highlight w:val="none"/>
          <w:lang w:val="en-US" w:eastAsia="zh-CN"/>
        </w:rPr>
        <w:t>5</w:t>
      </w:r>
    </w:p>
    <w:p w14:paraId="1962CC1E">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3941CB92">
      <w:pPr>
        <w:pageBreakBefore w:val="0"/>
        <w:kinsoku/>
        <w:wordWrap w:val="0"/>
        <w:overflowPunct/>
        <w:topLinePunct w:val="0"/>
        <w:bidi w:val="0"/>
        <w:snapToGrid/>
        <w:spacing w:beforeAutospacing="0"/>
        <w:ind w:firstLine="643" w:firstLineChars="200"/>
        <w:jc w:val="center"/>
        <w:rPr>
          <w:b/>
          <w:bCs/>
          <w:highlight w:val="none"/>
        </w:rPr>
      </w:pPr>
      <w:r>
        <w:rPr>
          <w:rFonts w:hint="eastAsia"/>
          <w:b/>
          <w:bCs/>
          <w:highlight w:val="none"/>
        </w:rPr>
        <w:t>法定代表人资格证明书</w:t>
      </w:r>
    </w:p>
    <w:p w14:paraId="7330047A">
      <w:pPr>
        <w:pageBreakBefore w:val="0"/>
        <w:kinsoku/>
        <w:wordWrap w:val="0"/>
        <w:overflowPunct/>
        <w:topLinePunct w:val="0"/>
        <w:bidi w:val="0"/>
        <w:snapToGrid/>
        <w:spacing w:beforeAutospacing="0"/>
        <w:ind w:firstLine="640" w:firstLineChars="200"/>
        <w:rPr>
          <w:highlight w:val="none"/>
        </w:rPr>
      </w:pPr>
      <w:r>
        <w:rPr>
          <w:rFonts w:hint="eastAsia"/>
          <w:highlight w:val="none"/>
        </w:rPr>
        <w:t>致  （采购人）           ：</w:t>
      </w:r>
    </w:p>
    <w:p w14:paraId="30331970">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兹证明            （姓名），性别      年龄      身份证号码        现任我单位         职务，系本单位法定代表人（负责人）。</w:t>
      </w:r>
    </w:p>
    <w:p w14:paraId="4F3BE897">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0B8A2E78">
      <w:pPr>
        <w:pageBreakBefore w:val="0"/>
        <w:kinsoku/>
        <w:wordWrap w:val="0"/>
        <w:overflowPunct/>
        <w:topLinePunct w:val="0"/>
        <w:bidi w:val="0"/>
        <w:snapToGrid/>
        <w:spacing w:beforeAutospacing="0"/>
        <w:ind w:firstLine="640" w:firstLineChars="200"/>
        <w:rPr>
          <w:highlight w:val="none"/>
        </w:rPr>
      </w:pPr>
      <w:r>
        <w:rPr>
          <w:rFonts w:hint="eastAsia"/>
          <w:highlight w:val="none"/>
        </w:rPr>
        <w:t>附：法定代表人性别：           身份证号码：</w:t>
      </w:r>
    </w:p>
    <w:p w14:paraId="6CC0AF9B">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40CC6142">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26273FBF">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5FFECCC5">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供应商名称：（盖章）</w:t>
      </w:r>
    </w:p>
    <w:p w14:paraId="18CCF1F2">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日期：     年    月   日</w:t>
      </w:r>
    </w:p>
    <w:tbl>
      <w:tblPr>
        <w:tblStyle w:val="16"/>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70FB2801">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Borders>
              <w:top w:val="dotDash" w:color="auto" w:sz="4" w:space="0"/>
              <w:left w:val="dotDash" w:color="auto" w:sz="4" w:space="0"/>
              <w:bottom w:val="dotDash" w:color="auto" w:sz="4" w:space="0"/>
              <w:right w:val="dotDash" w:color="auto" w:sz="4" w:space="0"/>
            </w:tcBorders>
          </w:tcPr>
          <w:p w14:paraId="353EDA8D">
            <w:pPr>
              <w:pageBreakBefore w:val="0"/>
              <w:kinsoku/>
              <w:wordWrap w:val="0"/>
              <w:overflowPunct/>
              <w:topLinePunct w:val="0"/>
              <w:bidi w:val="0"/>
              <w:snapToGrid/>
              <w:spacing w:beforeAutospacing="0"/>
              <w:ind w:firstLine="640" w:firstLineChars="200"/>
              <w:rPr>
                <w:highlight w:val="none"/>
              </w:rPr>
            </w:pPr>
            <w:r>
              <w:rPr>
                <w:rFonts w:hint="eastAsia"/>
                <w:highlight w:val="none"/>
              </w:rPr>
              <w:t>粘贴法定代表人（身份证复印件）</w:t>
            </w:r>
          </w:p>
        </w:tc>
      </w:tr>
    </w:tbl>
    <w:p w14:paraId="06BF4750">
      <w:pPr>
        <w:pageBreakBefore w:val="0"/>
        <w:kinsoku/>
        <w:wordWrap w:val="0"/>
        <w:overflowPunct/>
        <w:topLinePunct w:val="0"/>
        <w:bidi w:val="0"/>
        <w:snapToGrid/>
        <w:spacing w:beforeAutospacing="0"/>
        <w:ind w:firstLine="643" w:firstLineChars="200"/>
        <w:rPr>
          <w:b/>
          <w:bCs/>
          <w:highlight w:val="none"/>
        </w:rPr>
      </w:pPr>
    </w:p>
    <w:p w14:paraId="5EEF3207">
      <w:pPr>
        <w:pageBreakBefore w:val="0"/>
        <w:kinsoku/>
        <w:wordWrap w:val="0"/>
        <w:overflowPunct/>
        <w:topLinePunct w:val="0"/>
        <w:bidi w:val="0"/>
        <w:snapToGrid/>
        <w:spacing w:beforeAutospacing="0"/>
        <w:ind w:firstLine="643" w:firstLineChars="200"/>
        <w:rPr>
          <w:b/>
          <w:bCs/>
          <w:highlight w:val="none"/>
        </w:rPr>
      </w:pPr>
    </w:p>
    <w:p w14:paraId="1D3A4EB2">
      <w:pPr>
        <w:pageBreakBefore w:val="0"/>
        <w:kinsoku/>
        <w:wordWrap w:val="0"/>
        <w:overflowPunct/>
        <w:topLinePunct w:val="0"/>
        <w:bidi w:val="0"/>
        <w:snapToGrid/>
        <w:spacing w:beforeAutospacing="0"/>
        <w:ind w:firstLine="640" w:firstLineChars="200"/>
        <w:jc w:val="left"/>
        <w:rPr>
          <w:rFonts w:hint="eastAsia" w:eastAsia="仿宋_GB2312"/>
          <w:highlight w:val="none"/>
          <w:lang w:eastAsia="zh-CN"/>
        </w:rPr>
      </w:pPr>
      <w:r>
        <w:rPr>
          <w:rFonts w:hint="eastAsia"/>
          <w:highlight w:val="none"/>
        </w:rPr>
        <w:t>附件</w:t>
      </w:r>
      <w:r>
        <w:rPr>
          <w:rFonts w:hint="eastAsia"/>
          <w:highlight w:val="none"/>
          <w:lang w:val="en-US" w:eastAsia="zh-CN"/>
        </w:rPr>
        <w:t>6</w:t>
      </w:r>
    </w:p>
    <w:p w14:paraId="4BBF1769">
      <w:pPr>
        <w:pageBreakBefore w:val="0"/>
        <w:kinsoku/>
        <w:wordWrap w:val="0"/>
        <w:overflowPunct/>
        <w:topLinePunct w:val="0"/>
        <w:bidi w:val="0"/>
        <w:snapToGrid/>
        <w:spacing w:beforeAutospacing="0"/>
        <w:ind w:firstLine="643" w:firstLineChars="200"/>
        <w:jc w:val="center"/>
        <w:rPr>
          <w:b/>
          <w:bCs/>
          <w:highlight w:val="none"/>
        </w:rPr>
      </w:pPr>
      <w:r>
        <w:rPr>
          <w:rFonts w:hint="eastAsia"/>
          <w:b/>
          <w:bCs/>
          <w:highlight w:val="none"/>
        </w:rPr>
        <w:t>授权委托书</w:t>
      </w:r>
    </w:p>
    <w:p w14:paraId="58F57C25">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 </w:t>
      </w:r>
    </w:p>
    <w:p w14:paraId="2D8B97DC">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委托人：XXXXXX公司</w:t>
      </w:r>
    </w:p>
    <w:p w14:paraId="0130B8CE">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住所：</w:t>
      </w:r>
    </w:p>
    <w:p w14:paraId="5A8F1EAC">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法定代表人（或负责人）：</w:t>
      </w:r>
    </w:p>
    <w:p w14:paraId="2BFD78F5">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代理人：XXX，男或女， 年 月 日出生，身份证号码：XXXXXXXXXXXXXX,系XXXXX单位职工，现住XXXXXXX.</w:t>
      </w:r>
    </w:p>
    <w:p w14:paraId="0B89D1EA">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 xml:space="preserve">授权事项：  </w:t>
      </w:r>
    </w:p>
    <w:p w14:paraId="0CE7AB12">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1、委托人委托代理人XXX代表委托人参加四川中糖物流有限公司的招标或议标活动，以委托人的名义全权办理招标或议标过程中的投标、报价、议标谈判等一切与招标或议标相关的事宜。</w:t>
      </w:r>
    </w:p>
    <w:p w14:paraId="5394A382">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2、如果委托人中标，代理人以委托人的名义与四川中糖物流有限公司签订合同，并办理合同履行过程中的一切相关事宜。</w:t>
      </w:r>
    </w:p>
    <w:p w14:paraId="7991E083">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本公司对代理人的上述代理行为均予以认可并承担责任。</w:t>
      </w:r>
    </w:p>
    <w:p w14:paraId="4AC0239F">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授权期限：本授权委托书自授权之日起生效，至XXXXXXXXXX起失效。</w:t>
      </w:r>
    </w:p>
    <w:p w14:paraId="5E42CB37">
      <w:pPr>
        <w:pageBreakBefore w:val="0"/>
        <w:kinsoku/>
        <w:wordWrap w:val="0"/>
        <w:overflowPunct/>
        <w:topLinePunct w:val="0"/>
        <w:bidi w:val="0"/>
        <w:snapToGrid/>
        <w:spacing w:beforeAutospacing="0"/>
        <w:ind w:firstLine="560" w:firstLineChars="200"/>
        <w:rPr>
          <w:sz w:val="28"/>
          <w:szCs w:val="21"/>
          <w:highlight w:val="none"/>
        </w:rPr>
      </w:pPr>
      <w:r>
        <w:rPr>
          <w:rFonts w:hint="eastAsia"/>
          <w:sz w:val="28"/>
          <w:szCs w:val="21"/>
          <w:highlight w:val="none"/>
        </w:rPr>
        <w:t>代理人身份证（正、反面）粘贴处：</w:t>
      </w:r>
    </w:p>
    <w:p w14:paraId="3AB96381">
      <w:pPr>
        <w:pageBreakBefore w:val="0"/>
        <w:kinsoku/>
        <w:wordWrap w:val="0"/>
        <w:overflowPunct/>
        <w:topLinePunct w:val="0"/>
        <w:bidi w:val="0"/>
        <w:snapToGrid/>
        <w:spacing w:beforeAutospacing="0"/>
        <w:ind w:firstLine="560" w:firstLineChars="200"/>
        <w:jc w:val="center"/>
        <w:rPr>
          <w:sz w:val="28"/>
          <w:szCs w:val="21"/>
          <w:highlight w:val="none"/>
        </w:rPr>
      </w:pPr>
      <w:r>
        <w:rPr>
          <w:rFonts w:hint="eastAsia"/>
          <w:sz w:val="28"/>
          <w:szCs w:val="21"/>
          <w:highlight w:val="none"/>
        </w:rPr>
        <w:t xml:space="preserve">               </w:t>
      </w:r>
    </w:p>
    <w:p w14:paraId="074789BC">
      <w:pPr>
        <w:pageBreakBefore w:val="0"/>
        <w:kinsoku/>
        <w:wordWrap w:val="0"/>
        <w:overflowPunct/>
        <w:topLinePunct w:val="0"/>
        <w:bidi w:val="0"/>
        <w:snapToGrid/>
        <w:spacing w:beforeAutospacing="0"/>
        <w:ind w:firstLine="560" w:firstLineChars="200"/>
        <w:jc w:val="center"/>
        <w:rPr>
          <w:sz w:val="28"/>
          <w:szCs w:val="21"/>
          <w:highlight w:val="none"/>
        </w:rPr>
      </w:pPr>
      <w:r>
        <w:rPr>
          <w:rFonts w:hint="eastAsia"/>
          <w:sz w:val="28"/>
          <w:szCs w:val="21"/>
          <w:highlight w:val="none"/>
        </w:rPr>
        <w:t xml:space="preserve">               委托人：XXXXXX公司</w:t>
      </w:r>
    </w:p>
    <w:p w14:paraId="77FE9C7C">
      <w:pPr>
        <w:pageBreakBefore w:val="0"/>
        <w:kinsoku/>
        <w:wordWrap w:val="0"/>
        <w:overflowPunct/>
        <w:topLinePunct w:val="0"/>
        <w:bidi w:val="0"/>
        <w:snapToGrid/>
        <w:spacing w:beforeAutospacing="0"/>
        <w:ind w:firstLine="560" w:firstLineChars="200"/>
        <w:jc w:val="center"/>
        <w:rPr>
          <w:sz w:val="28"/>
          <w:szCs w:val="21"/>
          <w:highlight w:val="none"/>
        </w:rPr>
      </w:pPr>
      <w:r>
        <w:rPr>
          <w:rFonts w:hint="eastAsia"/>
          <w:sz w:val="28"/>
          <w:szCs w:val="21"/>
          <w:highlight w:val="none"/>
        </w:rPr>
        <w:t xml:space="preserve">                 法定代表人（或负责人）：</w:t>
      </w:r>
    </w:p>
    <w:p w14:paraId="6F6E468B">
      <w:pPr>
        <w:pageBreakBefore w:val="0"/>
        <w:kinsoku/>
        <w:wordWrap w:val="0"/>
        <w:overflowPunct/>
        <w:topLinePunct w:val="0"/>
        <w:bidi w:val="0"/>
        <w:snapToGrid/>
        <w:spacing w:beforeAutospacing="0"/>
        <w:ind w:firstLine="560" w:firstLineChars="200"/>
        <w:jc w:val="center"/>
        <w:rPr>
          <w:sz w:val="28"/>
          <w:szCs w:val="21"/>
          <w:highlight w:val="none"/>
        </w:rPr>
        <w:sectPr>
          <w:headerReference r:id="rId5" w:type="default"/>
          <w:footerReference r:id="rId6" w:type="default"/>
          <w:pgSz w:w="11910" w:h="16840"/>
          <w:pgMar w:top="2098" w:right="1587" w:bottom="1440" w:left="1587" w:header="510" w:footer="1144" w:gutter="0"/>
          <w:cols w:space="720" w:num="1"/>
        </w:sectPr>
      </w:pPr>
      <w:r>
        <w:rPr>
          <w:rFonts w:hint="eastAsia"/>
          <w:sz w:val="28"/>
          <w:szCs w:val="21"/>
          <w:highlight w:val="none"/>
        </w:rPr>
        <w:t xml:space="preserve">                          委托授权时间：      年   月   日</w:t>
      </w:r>
    </w:p>
    <w:p w14:paraId="211BD808">
      <w:pPr>
        <w:pageBreakBefore w:val="0"/>
        <w:kinsoku/>
        <w:overflowPunct/>
        <w:topLinePunct w:val="0"/>
        <w:bidi w:val="0"/>
        <w:snapToGrid/>
        <w:spacing w:beforeAutospacing="0"/>
        <w:ind w:firstLine="640" w:firstLineChars="200"/>
        <w:rPr>
          <w:rFonts w:hint="eastAsia" w:eastAsia="仿宋_GB2312"/>
          <w:highlight w:val="none"/>
          <w:lang w:eastAsia="zh-CN"/>
        </w:rPr>
      </w:pPr>
      <w:r>
        <w:rPr>
          <w:rFonts w:hint="eastAsia"/>
          <w:highlight w:val="none"/>
        </w:rPr>
        <w:t>附件</w:t>
      </w:r>
      <w:r>
        <w:rPr>
          <w:rFonts w:hint="eastAsia"/>
          <w:highlight w:val="none"/>
          <w:lang w:val="en-US" w:eastAsia="zh-CN"/>
        </w:rPr>
        <w:t>7</w:t>
      </w:r>
    </w:p>
    <w:p w14:paraId="1CE497DE">
      <w:pPr>
        <w:pageBreakBefore w:val="0"/>
        <w:kinsoku/>
        <w:wordWrap w:val="0"/>
        <w:overflowPunct/>
        <w:topLinePunct w:val="0"/>
        <w:bidi w:val="0"/>
        <w:snapToGrid/>
        <w:spacing w:beforeAutospacing="0"/>
        <w:ind w:firstLine="643" w:firstLineChars="200"/>
        <w:jc w:val="center"/>
        <w:rPr>
          <w:b/>
          <w:bCs/>
          <w:highlight w:val="none"/>
        </w:rPr>
      </w:pPr>
      <w:r>
        <w:rPr>
          <w:rFonts w:hint="eastAsia"/>
          <w:b/>
          <w:bCs/>
          <w:highlight w:val="none"/>
        </w:rPr>
        <w:t>声明书</w:t>
      </w:r>
    </w:p>
    <w:p w14:paraId="0664E3CF">
      <w:pPr>
        <w:pageBreakBefore w:val="0"/>
        <w:kinsoku/>
        <w:overflowPunct/>
        <w:topLinePunct w:val="0"/>
        <w:bidi w:val="0"/>
        <w:snapToGrid/>
        <w:spacing w:beforeAutospacing="0"/>
        <w:ind w:firstLine="640" w:firstLineChars="200"/>
        <w:rPr>
          <w:highlight w:val="none"/>
        </w:rPr>
      </w:pPr>
    </w:p>
    <w:p w14:paraId="092074C5">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我单位现参与项目，并作出如下声明： </w:t>
      </w:r>
    </w:p>
    <w:p w14:paraId="13D6AF9B">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1.我单位、我单位法定代表人、主要负责人、实际控制人在参加本次采购活动前 3 年内无行贿犯罪记录。 </w:t>
      </w:r>
    </w:p>
    <w:p w14:paraId="78367C00">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2.我单位在参加本次采购活动前 3 年内，在经营活动中没有重大违法记录、无利用不正当竞争手段骗取成交，无重大经济刑事案件。 </w:t>
      </w:r>
    </w:p>
    <w:p w14:paraId="7E9EB43A">
      <w:pPr>
        <w:pageBreakBefore w:val="0"/>
        <w:kinsoku/>
        <w:wordWrap w:val="0"/>
        <w:overflowPunct/>
        <w:topLinePunct w:val="0"/>
        <w:bidi w:val="0"/>
        <w:snapToGrid/>
        <w:spacing w:beforeAutospacing="0"/>
        <w:ind w:firstLine="640" w:firstLineChars="200"/>
        <w:rPr>
          <w:highlight w:val="none"/>
        </w:rPr>
      </w:pPr>
    </w:p>
    <w:p w14:paraId="0898E491">
      <w:pPr>
        <w:pageBreakBefore w:val="0"/>
        <w:kinsoku/>
        <w:wordWrap w:val="0"/>
        <w:overflowPunct/>
        <w:topLinePunct w:val="0"/>
        <w:bidi w:val="0"/>
        <w:snapToGrid/>
        <w:spacing w:beforeAutospacing="0"/>
        <w:ind w:firstLine="640" w:firstLineChars="200"/>
        <w:rPr>
          <w:highlight w:val="none"/>
        </w:rPr>
      </w:pPr>
    </w:p>
    <w:p w14:paraId="0B43A621">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特此声明。 </w:t>
      </w:r>
    </w:p>
    <w:p w14:paraId="71D068E3">
      <w:pPr>
        <w:pageBreakBefore w:val="0"/>
        <w:kinsoku/>
        <w:wordWrap w:val="0"/>
        <w:overflowPunct/>
        <w:topLinePunct w:val="0"/>
        <w:bidi w:val="0"/>
        <w:snapToGrid/>
        <w:spacing w:beforeAutospacing="0"/>
        <w:ind w:firstLine="640" w:firstLineChars="200"/>
        <w:rPr>
          <w:highlight w:val="none"/>
        </w:rPr>
      </w:pPr>
    </w:p>
    <w:p w14:paraId="1D229133">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响应供应商（公章）： </w:t>
      </w:r>
    </w:p>
    <w:p w14:paraId="05955C33">
      <w:pPr>
        <w:pageBreakBefore w:val="0"/>
        <w:kinsoku/>
        <w:wordWrap w:val="0"/>
        <w:overflowPunct/>
        <w:topLinePunct w:val="0"/>
        <w:bidi w:val="0"/>
        <w:snapToGrid/>
        <w:spacing w:beforeAutospacing="0"/>
        <w:ind w:firstLine="640" w:firstLineChars="200"/>
        <w:rPr>
          <w:highlight w:val="none"/>
        </w:rPr>
      </w:pPr>
      <w:r>
        <w:rPr>
          <w:rFonts w:hint="eastAsia"/>
          <w:highlight w:val="none"/>
        </w:rPr>
        <w:t xml:space="preserve">供应商法定代表人或其授权代表签字：                                 年   月   日 </w:t>
      </w:r>
    </w:p>
    <w:p w14:paraId="08A6D319">
      <w:pPr>
        <w:rPr>
          <w:rFonts w:hint="eastAsia" w:ascii="Arial" w:cs="Times New Roman"/>
          <w:highlight w:val="none"/>
          <w:lang w:val="en-US" w:eastAsia="zh-CN"/>
        </w:rPr>
      </w:pPr>
      <w:r>
        <w:rPr>
          <w:rFonts w:hint="eastAsia" w:ascii="Arial" w:cs="Times New Roman"/>
          <w:highlight w:val="none"/>
          <w:lang w:val="en-US" w:eastAsia="zh-CN"/>
        </w:rPr>
        <w:br w:type="page"/>
      </w:r>
    </w:p>
    <w:p w14:paraId="47E15880">
      <w:pPr>
        <w:pStyle w:val="5"/>
        <w:rPr>
          <w:rFonts w:hint="eastAsia" w:ascii="Arial" w:cs="Times New Roman"/>
          <w:highlight w:val="none"/>
          <w:lang w:val="en-US" w:eastAsia="zh-CN"/>
        </w:rPr>
      </w:pPr>
      <w:r>
        <w:rPr>
          <w:rFonts w:hint="eastAsia" w:ascii="Arial" w:cs="Times New Roman"/>
          <w:highlight w:val="none"/>
          <w:lang w:val="en-US" w:eastAsia="zh-CN"/>
        </w:rPr>
        <w:t>附件8</w:t>
      </w:r>
    </w:p>
    <w:p w14:paraId="3BA068F1">
      <w:pPr>
        <w:jc w:val="center"/>
        <w:rPr>
          <w:rFonts w:ascii="微软雅黑" w:hAnsi="微软雅黑" w:eastAsia="微软雅黑"/>
          <w:sz w:val="32"/>
          <w:szCs w:val="32"/>
          <w:highlight w:val="none"/>
        </w:rPr>
      </w:pPr>
      <w:r>
        <w:rPr>
          <w:rFonts w:hint="eastAsia" w:ascii="微软雅黑" w:hAnsi="微软雅黑" w:eastAsia="微软雅黑"/>
          <w:sz w:val="32"/>
          <w:szCs w:val="32"/>
          <w:highlight w:val="none"/>
        </w:rPr>
        <w:t>不存在串通投标行为承诺书</w:t>
      </w:r>
    </w:p>
    <w:p w14:paraId="65FF1B97">
      <w:pPr>
        <w:rPr>
          <w:rFonts w:asciiTheme="minorEastAsia" w:hAnsiTheme="minorEastAsia"/>
          <w:sz w:val="24"/>
          <w:highlight w:val="none"/>
        </w:rPr>
      </w:pPr>
      <w:r>
        <w:rPr>
          <w:rFonts w:hint="eastAsia" w:asciiTheme="minorEastAsia" w:hAnsiTheme="minorEastAsia"/>
          <w:sz w:val="24"/>
          <w:highlight w:val="none"/>
          <w:lang w:eastAsia="zh-CN"/>
        </w:rPr>
        <w:t>四川中糖物流有限公司</w:t>
      </w:r>
      <w:r>
        <w:rPr>
          <w:rFonts w:asciiTheme="minorEastAsia" w:hAnsiTheme="minorEastAsia"/>
          <w:sz w:val="24"/>
          <w:highlight w:val="none"/>
        </w:rPr>
        <w:t>:</w:t>
      </w:r>
    </w:p>
    <w:p w14:paraId="32E2AF98">
      <w:pPr>
        <w:ind w:firstLine="480" w:firstLineChars="200"/>
        <w:rPr>
          <w:rFonts w:asciiTheme="minorEastAsia" w:hAnsiTheme="minorEastAsia"/>
          <w:sz w:val="24"/>
          <w:highlight w:val="none"/>
        </w:rPr>
      </w:pPr>
      <w:r>
        <w:rPr>
          <w:rFonts w:hint="eastAsia" w:asciiTheme="minorEastAsia" w:hAnsiTheme="minorEastAsia"/>
          <w:sz w:val="24"/>
          <w:highlight w:val="none"/>
        </w:rPr>
        <w:t>根据贵公司关于</w:t>
      </w:r>
      <w:r>
        <w:rPr>
          <w:rFonts w:hint="eastAsia" w:ascii="宋体" w:hAnsi="宋体"/>
          <w:bCs/>
          <w:sz w:val="28"/>
          <w:szCs w:val="28"/>
          <w:highlight w:val="none"/>
          <w:u w:val="single"/>
          <w:lang w:eastAsia="zh-CN"/>
        </w:rPr>
        <w:t xml:space="preserve">                    </w:t>
      </w:r>
      <w:r>
        <w:rPr>
          <w:rFonts w:asciiTheme="minorEastAsia" w:hAnsiTheme="minorEastAsia"/>
          <w:sz w:val="24"/>
          <w:highlight w:val="none"/>
          <w:u w:val="single"/>
        </w:rPr>
        <w:t xml:space="preserve">                   </w:t>
      </w:r>
      <w:r>
        <w:rPr>
          <w:rFonts w:hint="eastAsia" w:asciiTheme="minorEastAsia" w:hAnsiTheme="minorEastAsia"/>
          <w:sz w:val="24"/>
          <w:highlight w:val="none"/>
        </w:rPr>
        <w:t>（项目编号：</w:t>
      </w:r>
      <w:r>
        <w:rPr>
          <w:rFonts w:hint="eastAsia" w:asciiTheme="minorEastAsia" w:hAnsiTheme="minorEastAsia"/>
          <w:sz w:val="24"/>
          <w:highlight w:val="none"/>
          <w:u w:val="single"/>
          <w:lang w:val="en-US" w:eastAsia="zh-CN"/>
        </w:rPr>
        <w:t xml:space="preserve">              </w:t>
      </w: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rPr>
        <w:t>）的询价公告，我方愿意参加此次询价项目，并作出如下承诺：</w:t>
      </w:r>
    </w:p>
    <w:p w14:paraId="54D45672">
      <w:pPr>
        <w:ind w:firstLine="480" w:firstLineChars="200"/>
        <w:rPr>
          <w:rFonts w:asciiTheme="minorEastAsia" w:hAnsiTheme="minorEastAsia"/>
          <w:sz w:val="24"/>
          <w:highlight w:val="none"/>
        </w:rPr>
      </w:pPr>
      <w:r>
        <w:rPr>
          <w:rFonts w:hint="eastAsia" w:asciiTheme="minorEastAsia" w:hAnsiTheme="minorEastAsia"/>
          <w:sz w:val="24"/>
          <w:highlight w:val="none"/>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1E14FD7">
      <w:pPr>
        <w:ind w:firstLine="480" w:firstLineChars="200"/>
        <w:rPr>
          <w:rFonts w:asciiTheme="minorEastAsia" w:hAnsiTheme="minorEastAsia"/>
          <w:sz w:val="24"/>
          <w:highlight w:val="none"/>
        </w:rPr>
      </w:pPr>
      <w:r>
        <w:rPr>
          <w:rFonts w:hint="eastAsia" w:asciiTheme="minorEastAsia" w:hAnsiTheme="minorEastAsia"/>
          <w:sz w:val="24"/>
          <w:highlight w:val="none"/>
        </w:rPr>
        <w:t>如我方在本次询价项目中存在串通投标行为，一经发现，我公司将承担所有相关法律责任并赔偿由此造成的一切损失。</w:t>
      </w:r>
    </w:p>
    <w:p w14:paraId="1BE332FA">
      <w:pPr>
        <w:rPr>
          <w:rFonts w:asciiTheme="minorEastAsia" w:hAnsiTheme="minorEastAsia"/>
          <w:sz w:val="24"/>
          <w:highlight w:val="none"/>
        </w:rPr>
      </w:pPr>
    </w:p>
    <w:p w14:paraId="59D6ECB4">
      <w:pPr>
        <w:rPr>
          <w:rFonts w:asciiTheme="minorEastAsia" w:hAnsiTheme="minorEastAsia"/>
          <w:sz w:val="24"/>
          <w:highlight w:val="none"/>
        </w:rPr>
      </w:pPr>
    </w:p>
    <w:p w14:paraId="46DCDAA8">
      <w:pPr>
        <w:rPr>
          <w:rFonts w:asciiTheme="minorEastAsia" w:hAnsiTheme="minorEastAsia"/>
          <w:sz w:val="24"/>
          <w:highlight w:val="none"/>
        </w:rPr>
      </w:pPr>
    </w:p>
    <w:p w14:paraId="6BD7FBEE">
      <w:pPr>
        <w:jc w:val="center"/>
        <w:rPr>
          <w:rFonts w:asciiTheme="minorEastAsia" w:hAnsiTheme="minorEastAsia"/>
          <w:sz w:val="24"/>
          <w:highlight w:val="none"/>
        </w:rPr>
      </w:pPr>
      <w:r>
        <w:rPr>
          <w:rFonts w:hint="eastAsia" w:asciiTheme="minorEastAsia" w:hAnsiTheme="minorEastAsia"/>
          <w:sz w:val="24"/>
          <w:highlight w:val="none"/>
        </w:rPr>
        <w:t>供应商（盖单位公章）：</w:t>
      </w:r>
    </w:p>
    <w:p w14:paraId="37AF7113">
      <w:pPr>
        <w:jc w:val="center"/>
        <w:rPr>
          <w:rFonts w:asciiTheme="minorEastAsia" w:hAnsiTheme="minorEastAsia"/>
          <w:sz w:val="24"/>
          <w:highlight w:val="none"/>
        </w:rPr>
      </w:pPr>
      <w:r>
        <w:rPr>
          <w:rFonts w:hint="eastAsia" w:asciiTheme="minorEastAsia" w:hAnsiTheme="minorEastAsia"/>
          <w:sz w:val="24"/>
          <w:highlight w:val="none"/>
        </w:rPr>
        <w:t>法定代表人或授权代理人（签名）：</w:t>
      </w:r>
    </w:p>
    <w:p w14:paraId="5A47A51E">
      <w:pPr>
        <w:jc w:val="center"/>
        <w:rPr>
          <w:rFonts w:asciiTheme="minorEastAsia" w:hAnsiTheme="minorEastAsia"/>
          <w:sz w:val="24"/>
          <w:highlight w:val="none"/>
        </w:rPr>
      </w:pPr>
      <w:r>
        <w:rPr>
          <w:rFonts w:hint="eastAsia" w:asciiTheme="minorEastAsia" w:hAnsiTheme="minorEastAsia"/>
          <w:sz w:val="24"/>
          <w:highlight w:val="none"/>
        </w:rPr>
        <w:t>日期：       年   月   日</w:t>
      </w:r>
    </w:p>
    <w:p w14:paraId="257D6C5E">
      <w:pPr>
        <w:spacing w:line="360" w:lineRule="auto"/>
        <w:rPr>
          <w:rFonts w:ascii="宋体" w:hAnsi="宋体" w:cs="Arial"/>
          <w:sz w:val="24"/>
          <w:highlight w:val="none"/>
        </w:rPr>
      </w:pPr>
    </w:p>
    <w:p w14:paraId="14948226">
      <w:pPr>
        <w:pStyle w:val="3"/>
        <w:rPr>
          <w:rFonts w:ascii="宋体" w:hAnsi="宋体" w:cs="Arial"/>
          <w:sz w:val="24"/>
          <w:highlight w:val="none"/>
        </w:rPr>
      </w:pPr>
    </w:p>
    <w:p w14:paraId="68A9D7F6">
      <w:pPr>
        <w:rPr>
          <w:rFonts w:ascii="宋体" w:hAnsi="宋体" w:cs="Arial"/>
          <w:sz w:val="24"/>
          <w:highlight w:val="none"/>
        </w:rPr>
      </w:pPr>
    </w:p>
    <w:p w14:paraId="7ABF6522">
      <w:pPr>
        <w:pStyle w:val="3"/>
        <w:rPr>
          <w:rFonts w:ascii="宋体" w:hAnsi="宋体" w:cs="Arial"/>
          <w:sz w:val="24"/>
          <w:highlight w:val="none"/>
        </w:rPr>
      </w:pPr>
    </w:p>
    <w:p w14:paraId="1AFC476B">
      <w:pPr>
        <w:rPr>
          <w:rFonts w:ascii="宋体" w:hAnsi="宋体" w:cs="Arial"/>
          <w:sz w:val="24"/>
          <w:highlight w:val="none"/>
        </w:rPr>
      </w:pPr>
    </w:p>
    <w:p w14:paraId="3E20DCAD">
      <w:pPr>
        <w:rPr>
          <w:rFonts w:hint="eastAsia" w:ascii="Arial"/>
          <w:highlight w:val="none"/>
          <w:lang w:val="en-US" w:eastAsia="zh-CN"/>
        </w:rPr>
      </w:pPr>
      <w:r>
        <w:rPr>
          <w:rFonts w:hint="eastAsia" w:ascii="Arial"/>
          <w:highlight w:val="none"/>
          <w:lang w:val="en-US" w:eastAsia="zh-CN"/>
        </w:rPr>
        <w:br w:type="page"/>
      </w:r>
    </w:p>
    <w:p w14:paraId="2458D4DD">
      <w:pPr>
        <w:pStyle w:val="5"/>
        <w:rPr>
          <w:rFonts w:hint="default" w:ascii="Arial" w:eastAsia="宋体"/>
          <w:highlight w:val="none"/>
          <w:lang w:val="en-US" w:eastAsia="zh-CN"/>
        </w:rPr>
      </w:pPr>
      <w:r>
        <w:rPr>
          <w:rFonts w:hint="eastAsia" w:ascii="Arial"/>
          <w:highlight w:val="none"/>
          <w:lang w:val="en-US" w:eastAsia="zh-CN"/>
        </w:rPr>
        <w:t>附件9:</w:t>
      </w:r>
    </w:p>
    <w:p w14:paraId="38CFBF3F">
      <w:pPr>
        <w:rPr>
          <w:rFonts w:ascii="Arial"/>
          <w:highlight w:val="none"/>
        </w:rPr>
      </w:pPr>
    </w:p>
    <w:p w14:paraId="549C3C38">
      <w:pPr>
        <w:rPr>
          <w:rFonts w:hint="default" w:eastAsia="宋体"/>
          <w:highlight w:val="none"/>
          <w:lang w:val="en-US" w:eastAsia="zh-CN"/>
        </w:rPr>
      </w:pPr>
    </w:p>
    <w:p w14:paraId="5F90213D">
      <w:pPr>
        <w:spacing w:line="248" w:lineRule="auto"/>
        <w:rPr>
          <w:rFonts w:ascii="Arial"/>
          <w:highlight w:val="none"/>
        </w:rPr>
      </w:pPr>
    </w:p>
    <w:p w14:paraId="63C3E89D">
      <w:pPr>
        <w:spacing w:line="249" w:lineRule="auto"/>
        <w:rPr>
          <w:rFonts w:hint="eastAsia" w:ascii="方正小标宋简体" w:hAnsi="方正小标宋简体" w:eastAsia="方正小标宋简体" w:cs="方正小标宋简体"/>
          <w:b/>
          <w:bCs/>
          <w:sz w:val="44"/>
          <w:szCs w:val="44"/>
          <w:highlight w:val="none"/>
        </w:rPr>
      </w:pPr>
    </w:p>
    <w:p w14:paraId="5EEF9E6F">
      <w:pPr>
        <w:jc w:val="center"/>
        <w:rPr>
          <w:rFonts w:hint="eastAsia" w:ascii="宋体" w:hAnsi="宋体" w:cs="方正小标宋简体"/>
          <w:b/>
          <w:sz w:val="36"/>
          <w:szCs w:val="36"/>
          <w:highlight w:val="none"/>
        </w:rPr>
      </w:pPr>
      <w:r>
        <w:rPr>
          <w:rFonts w:hint="eastAsia" w:ascii="宋体" w:hAnsi="宋体" w:cs="方正小标宋简体"/>
          <w:b/>
          <w:sz w:val="36"/>
          <w:szCs w:val="36"/>
          <w:highlight w:val="none"/>
        </w:rPr>
        <w:t xml:space="preserve"> 中粮糖业关于串通投标行为认定</w:t>
      </w:r>
    </w:p>
    <w:p w14:paraId="0F635DB0">
      <w:pPr>
        <w:jc w:val="center"/>
        <w:rPr>
          <w:rFonts w:hint="eastAsia" w:ascii="宋体" w:hAnsi="宋体" w:cs="方正小标宋简体"/>
          <w:b/>
          <w:sz w:val="36"/>
          <w:szCs w:val="36"/>
          <w:highlight w:val="none"/>
        </w:rPr>
      </w:pPr>
      <w:r>
        <w:rPr>
          <w:rFonts w:hint="eastAsia" w:ascii="宋体" w:hAnsi="宋体" w:cs="方正小标宋简体"/>
          <w:b/>
          <w:sz w:val="36"/>
          <w:szCs w:val="36"/>
          <w:highlight w:val="none"/>
        </w:rPr>
        <w:t>管理细则(试行)</w:t>
      </w:r>
    </w:p>
    <w:p w14:paraId="6CA2D46B">
      <w:pPr>
        <w:jc w:val="center"/>
        <w:rPr>
          <w:rFonts w:hint="eastAsia" w:ascii="宋体" w:hAnsi="宋体" w:cs="方正小标宋简体"/>
          <w:b/>
          <w:sz w:val="36"/>
          <w:szCs w:val="36"/>
          <w:highlight w:val="none"/>
        </w:rPr>
      </w:pPr>
      <w:r>
        <w:rPr>
          <w:rFonts w:hint="eastAsia" w:ascii="宋体" w:hAnsi="宋体" w:cs="方正小标宋简体"/>
          <w:b/>
          <w:sz w:val="36"/>
          <w:szCs w:val="36"/>
          <w:highlight w:val="none"/>
        </w:rPr>
        <w:t>2022-A 版</w:t>
      </w:r>
    </w:p>
    <w:p w14:paraId="7E4481FE">
      <w:pPr>
        <w:spacing w:line="244" w:lineRule="auto"/>
        <w:rPr>
          <w:rFonts w:ascii="Arial"/>
          <w:highlight w:val="none"/>
        </w:rPr>
      </w:pPr>
    </w:p>
    <w:p w14:paraId="0F022BC2">
      <w:pPr>
        <w:spacing w:line="244" w:lineRule="auto"/>
        <w:rPr>
          <w:rFonts w:ascii="Arial"/>
          <w:highlight w:val="none"/>
        </w:rPr>
      </w:pPr>
    </w:p>
    <w:p w14:paraId="2A665D66">
      <w:pPr>
        <w:spacing w:line="245" w:lineRule="auto"/>
        <w:rPr>
          <w:rFonts w:ascii="Arial"/>
          <w:highlight w:val="none"/>
        </w:rPr>
      </w:pPr>
    </w:p>
    <w:p w14:paraId="5F0C394B">
      <w:pPr>
        <w:spacing w:line="245" w:lineRule="auto"/>
        <w:rPr>
          <w:rFonts w:ascii="Arial"/>
          <w:highlight w:val="none"/>
        </w:rPr>
      </w:pPr>
    </w:p>
    <w:p w14:paraId="6E09C35E">
      <w:pPr>
        <w:spacing w:line="245" w:lineRule="auto"/>
        <w:rPr>
          <w:rFonts w:ascii="Arial"/>
          <w:highlight w:val="none"/>
        </w:rPr>
      </w:pPr>
    </w:p>
    <w:p w14:paraId="5725763B">
      <w:pPr>
        <w:spacing w:line="245" w:lineRule="auto"/>
        <w:rPr>
          <w:rFonts w:ascii="Arial"/>
          <w:highlight w:val="none"/>
        </w:rPr>
      </w:pPr>
    </w:p>
    <w:p w14:paraId="1E7E72D8">
      <w:pPr>
        <w:spacing w:line="245" w:lineRule="auto"/>
        <w:rPr>
          <w:rFonts w:ascii="Arial"/>
          <w:highlight w:val="none"/>
        </w:rPr>
      </w:pPr>
    </w:p>
    <w:p w14:paraId="1F8F5938">
      <w:pPr>
        <w:spacing w:line="245" w:lineRule="auto"/>
        <w:rPr>
          <w:rFonts w:ascii="Arial"/>
          <w:highlight w:val="none"/>
        </w:rPr>
      </w:pPr>
    </w:p>
    <w:p w14:paraId="63D03A22">
      <w:pPr>
        <w:spacing w:line="245" w:lineRule="auto"/>
        <w:rPr>
          <w:rFonts w:ascii="Arial"/>
          <w:highlight w:val="none"/>
        </w:rPr>
      </w:pPr>
    </w:p>
    <w:p w14:paraId="200F3788">
      <w:pPr>
        <w:spacing w:line="245" w:lineRule="auto"/>
        <w:rPr>
          <w:rFonts w:ascii="Arial"/>
          <w:highlight w:val="none"/>
        </w:rPr>
      </w:pPr>
    </w:p>
    <w:p w14:paraId="5A326879">
      <w:pPr>
        <w:spacing w:before="104" w:line="570" w:lineRule="exact"/>
        <w:ind w:left="1952" w:firstLine="300" w:firstLineChars="1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主控部门：战略与运营管理部</w:t>
      </w:r>
    </w:p>
    <w:p w14:paraId="2EF29BA0">
      <w:pPr>
        <w:spacing w:line="570" w:lineRule="exact"/>
        <w:ind w:firstLine="2100" w:firstLineChars="7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编制/修订时间</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 xml:space="preserve"> 2022 年 6 月</w:t>
      </w:r>
    </w:p>
    <w:p w14:paraId="2E3D2C5A">
      <w:pPr>
        <w:rPr>
          <w:highlight w:val="none"/>
        </w:rPr>
        <w:sectPr>
          <w:footerReference r:id="rId7" w:type="default"/>
          <w:pgSz w:w="11905" w:h="16839"/>
          <w:pgMar w:top="1431" w:right="1580" w:bottom="1695" w:left="1785" w:header="0" w:footer="1419" w:gutter="0"/>
          <w:pgNumType w:start="1"/>
          <w:cols w:space="720" w:num="1"/>
        </w:sectPr>
      </w:pPr>
    </w:p>
    <w:p w14:paraId="5ECA5644">
      <w:pPr>
        <w:spacing w:line="242" w:lineRule="auto"/>
        <w:rPr>
          <w:rFonts w:ascii="Arial"/>
          <w:highlight w:val="none"/>
        </w:rPr>
      </w:pPr>
    </w:p>
    <w:p w14:paraId="783FCAA9">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制度修订履历表</w:t>
      </w:r>
    </w:p>
    <w:p w14:paraId="4726B518">
      <w:pPr>
        <w:rPr>
          <w:highlight w:val="none"/>
        </w:rPr>
      </w:pPr>
    </w:p>
    <w:p w14:paraId="4B8D5D5C">
      <w:pPr>
        <w:spacing w:line="30" w:lineRule="exact"/>
        <w:rPr>
          <w:highlight w:val="none"/>
        </w:rPr>
      </w:pPr>
    </w:p>
    <w:tbl>
      <w:tblPr>
        <w:tblStyle w:val="16"/>
        <w:tblW w:w="8671"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560"/>
        <w:gridCol w:w="1315"/>
        <w:gridCol w:w="2231"/>
        <w:gridCol w:w="2178"/>
      </w:tblGrid>
      <w:tr w14:paraId="5B8E1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87" w:type="dxa"/>
            <w:vMerge w:val="restart"/>
            <w:tcBorders>
              <w:bottom w:val="nil"/>
            </w:tcBorders>
            <w:noWrap w:val="0"/>
            <w:vAlign w:val="top"/>
          </w:tcPr>
          <w:p w14:paraId="159A5AC4">
            <w:pPr>
              <w:spacing w:line="244" w:lineRule="auto"/>
              <w:rPr>
                <w:rFonts w:hint="eastAsia" w:ascii="仿宋_GB2312" w:hAnsi="仿宋_GB2312" w:eastAsia="仿宋_GB2312" w:cs="仿宋_GB2312"/>
                <w:sz w:val="28"/>
                <w:szCs w:val="28"/>
                <w:highlight w:val="none"/>
              </w:rPr>
            </w:pPr>
          </w:p>
          <w:p w14:paraId="25AE97E9">
            <w:pPr>
              <w:spacing w:line="244" w:lineRule="auto"/>
              <w:rPr>
                <w:rFonts w:hint="eastAsia" w:ascii="仿宋_GB2312" w:hAnsi="仿宋_GB2312" w:eastAsia="仿宋_GB2312" w:cs="仿宋_GB2312"/>
                <w:sz w:val="28"/>
                <w:szCs w:val="28"/>
                <w:highlight w:val="none"/>
              </w:rPr>
            </w:pPr>
          </w:p>
          <w:p w14:paraId="53AB3358">
            <w:pPr>
              <w:spacing w:line="244" w:lineRule="auto"/>
              <w:rPr>
                <w:rFonts w:hint="eastAsia" w:ascii="仿宋_GB2312" w:hAnsi="仿宋_GB2312" w:eastAsia="仿宋_GB2312" w:cs="仿宋_GB2312"/>
                <w:sz w:val="28"/>
                <w:szCs w:val="28"/>
                <w:highlight w:val="none"/>
              </w:rPr>
            </w:pPr>
          </w:p>
          <w:p w14:paraId="2AF8BC2A">
            <w:pPr>
              <w:spacing w:line="244" w:lineRule="auto"/>
              <w:rPr>
                <w:rFonts w:hint="eastAsia" w:ascii="仿宋_GB2312" w:hAnsi="仿宋_GB2312" w:eastAsia="仿宋_GB2312" w:cs="仿宋_GB2312"/>
                <w:sz w:val="28"/>
                <w:szCs w:val="28"/>
                <w:highlight w:val="none"/>
              </w:rPr>
            </w:pPr>
          </w:p>
          <w:p w14:paraId="5C6D3A25">
            <w:pPr>
              <w:spacing w:line="244" w:lineRule="auto"/>
              <w:rPr>
                <w:rFonts w:hint="eastAsia" w:ascii="仿宋_GB2312" w:hAnsi="仿宋_GB2312" w:eastAsia="仿宋_GB2312" w:cs="仿宋_GB2312"/>
                <w:sz w:val="28"/>
                <w:szCs w:val="28"/>
                <w:highlight w:val="none"/>
              </w:rPr>
            </w:pPr>
          </w:p>
          <w:p w14:paraId="42B523C2">
            <w:pPr>
              <w:spacing w:line="244" w:lineRule="auto"/>
              <w:rPr>
                <w:rFonts w:hint="eastAsia" w:ascii="仿宋_GB2312" w:hAnsi="仿宋_GB2312" w:eastAsia="仿宋_GB2312" w:cs="仿宋_GB2312"/>
                <w:sz w:val="28"/>
                <w:szCs w:val="28"/>
                <w:highlight w:val="none"/>
              </w:rPr>
            </w:pPr>
          </w:p>
          <w:p w14:paraId="416CDA96">
            <w:pPr>
              <w:spacing w:before="88" w:line="223" w:lineRule="auto"/>
              <w:ind w:left="124"/>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5"/>
                <w:sz w:val="28"/>
                <w:szCs w:val="28"/>
                <w:highlight w:val="none"/>
              </w:rPr>
              <w:t>制</w:t>
            </w:r>
            <w:r>
              <w:rPr>
                <w:rFonts w:hint="eastAsia" w:ascii="仿宋_GB2312" w:hAnsi="仿宋_GB2312" w:eastAsia="仿宋_GB2312" w:cs="仿宋_GB2312"/>
                <w:spacing w:val="3"/>
                <w:sz w:val="28"/>
                <w:szCs w:val="28"/>
                <w:highlight w:val="none"/>
              </w:rPr>
              <w:t>度信息</w:t>
            </w:r>
          </w:p>
        </w:tc>
        <w:tc>
          <w:tcPr>
            <w:tcW w:w="2875" w:type="dxa"/>
            <w:gridSpan w:val="2"/>
            <w:noWrap w:val="0"/>
            <w:vAlign w:val="top"/>
          </w:tcPr>
          <w:p w14:paraId="2DFF739D">
            <w:pPr>
              <w:spacing w:before="288" w:line="224" w:lineRule="auto"/>
              <w:ind w:left="88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7"/>
                <w:sz w:val="28"/>
                <w:szCs w:val="28"/>
                <w:highlight w:val="none"/>
              </w:rPr>
              <w:t>修订类型</w:t>
            </w:r>
          </w:p>
        </w:tc>
        <w:tc>
          <w:tcPr>
            <w:tcW w:w="2231" w:type="dxa"/>
            <w:noWrap w:val="0"/>
            <w:vAlign w:val="top"/>
          </w:tcPr>
          <w:p w14:paraId="299A4691">
            <w:pPr>
              <w:spacing w:before="288" w:line="224" w:lineRule="auto"/>
              <w:ind w:left="109"/>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9"/>
                <w:sz w:val="28"/>
                <w:szCs w:val="28"/>
                <w:highlight w:val="none"/>
              </w:rPr>
              <w:t>版</w:t>
            </w:r>
            <w:r>
              <w:rPr>
                <w:rFonts w:hint="eastAsia" w:ascii="仿宋_GB2312" w:hAnsi="仿宋_GB2312" w:eastAsia="仿宋_GB2312" w:cs="仿宋_GB2312"/>
                <w:spacing w:val="6"/>
                <w:sz w:val="28"/>
                <w:szCs w:val="28"/>
                <w:highlight w:val="none"/>
              </w:rPr>
              <w:t>本编号</w:t>
            </w:r>
          </w:p>
        </w:tc>
        <w:tc>
          <w:tcPr>
            <w:tcW w:w="2178" w:type="dxa"/>
            <w:noWrap w:val="0"/>
            <w:vAlign w:val="top"/>
          </w:tcPr>
          <w:p w14:paraId="5192E53D">
            <w:pPr>
              <w:spacing w:line="252" w:lineRule="auto"/>
              <w:rPr>
                <w:rFonts w:hint="eastAsia" w:ascii="仿宋_GB2312" w:hAnsi="仿宋_GB2312" w:eastAsia="仿宋_GB2312" w:cs="仿宋_GB2312"/>
                <w:sz w:val="28"/>
                <w:szCs w:val="28"/>
                <w:highlight w:val="none"/>
              </w:rPr>
            </w:pPr>
          </w:p>
          <w:p w14:paraId="443CDBC2">
            <w:pPr>
              <w:spacing w:before="78" w:line="193" w:lineRule="auto"/>
              <w:ind w:left="11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7"/>
                <w:sz w:val="28"/>
                <w:szCs w:val="28"/>
                <w:highlight w:val="none"/>
              </w:rPr>
              <w:t>2</w:t>
            </w:r>
            <w:r>
              <w:rPr>
                <w:rFonts w:hint="eastAsia" w:ascii="仿宋_GB2312" w:hAnsi="仿宋_GB2312" w:eastAsia="仿宋_GB2312" w:cs="仿宋_GB2312"/>
                <w:spacing w:val="4"/>
                <w:sz w:val="28"/>
                <w:szCs w:val="28"/>
                <w:highlight w:val="none"/>
              </w:rPr>
              <w:t>022-</w:t>
            </w:r>
            <w:r>
              <w:rPr>
                <w:rFonts w:hint="eastAsia" w:ascii="仿宋_GB2312" w:hAnsi="仿宋_GB2312" w:eastAsia="仿宋_GB2312" w:cs="仿宋_GB2312"/>
                <w:sz w:val="28"/>
                <w:szCs w:val="28"/>
                <w:highlight w:val="none"/>
              </w:rPr>
              <w:t>A</w:t>
            </w:r>
          </w:p>
        </w:tc>
      </w:tr>
      <w:tr w14:paraId="75B22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14:paraId="13BE81FE">
            <w:pPr>
              <w:rPr>
                <w:rFonts w:hint="eastAsia" w:ascii="仿宋_GB2312" w:hAnsi="仿宋_GB2312" w:eastAsia="仿宋_GB2312" w:cs="仿宋_GB2312"/>
                <w:sz w:val="28"/>
                <w:szCs w:val="28"/>
                <w:highlight w:val="none"/>
              </w:rPr>
            </w:pPr>
          </w:p>
        </w:tc>
        <w:tc>
          <w:tcPr>
            <w:tcW w:w="1560" w:type="dxa"/>
            <w:noWrap w:val="0"/>
            <w:vAlign w:val="top"/>
          </w:tcPr>
          <w:p w14:paraId="7DD010F6">
            <w:pPr>
              <w:spacing w:before="173" w:line="223" w:lineRule="auto"/>
              <w:ind w:left="126"/>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5"/>
                <w:sz w:val="28"/>
                <w:szCs w:val="28"/>
                <w:highlight w:val="none"/>
              </w:rPr>
              <w:t>首</w:t>
            </w:r>
            <w:r>
              <w:rPr>
                <w:rFonts w:hint="eastAsia" w:ascii="仿宋_GB2312" w:hAnsi="仿宋_GB2312" w:eastAsia="仿宋_GB2312" w:cs="仿宋_GB2312"/>
                <w:spacing w:val="3"/>
                <w:sz w:val="28"/>
                <w:szCs w:val="28"/>
                <w:highlight w:val="none"/>
              </w:rPr>
              <w:t>次编制</w:t>
            </w:r>
          </w:p>
        </w:tc>
        <w:tc>
          <w:tcPr>
            <w:tcW w:w="1315" w:type="dxa"/>
            <w:noWrap w:val="0"/>
            <w:vAlign w:val="top"/>
          </w:tcPr>
          <w:p w14:paraId="28B1116A">
            <w:pPr>
              <w:spacing w:before="195" w:line="218" w:lineRule="auto"/>
              <w:ind w:left="57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2231" w:type="dxa"/>
            <w:noWrap w:val="0"/>
            <w:vAlign w:val="top"/>
          </w:tcPr>
          <w:p w14:paraId="1BEC921A">
            <w:pPr>
              <w:spacing w:before="174" w:line="237" w:lineRule="auto"/>
              <w:ind w:left="113"/>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9"/>
                <w:sz w:val="28"/>
                <w:szCs w:val="28"/>
                <w:highlight w:val="none"/>
              </w:rPr>
              <w:t>编</w:t>
            </w:r>
            <w:r>
              <w:rPr>
                <w:rFonts w:hint="eastAsia" w:ascii="仿宋_GB2312" w:hAnsi="仿宋_GB2312" w:eastAsia="仿宋_GB2312" w:cs="仿宋_GB2312"/>
                <w:spacing w:val="6"/>
                <w:sz w:val="28"/>
                <w:szCs w:val="28"/>
                <w:highlight w:val="none"/>
              </w:rPr>
              <w:t>制/修订时间</w:t>
            </w:r>
          </w:p>
        </w:tc>
        <w:tc>
          <w:tcPr>
            <w:tcW w:w="2178" w:type="dxa"/>
            <w:noWrap w:val="0"/>
            <w:vAlign w:val="top"/>
          </w:tcPr>
          <w:p w14:paraId="6627584A">
            <w:pPr>
              <w:spacing w:before="216" w:line="193" w:lineRule="auto"/>
              <w:ind w:left="11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4"/>
                <w:sz w:val="28"/>
                <w:szCs w:val="28"/>
                <w:highlight w:val="none"/>
              </w:rPr>
              <w:t>2</w:t>
            </w:r>
            <w:r>
              <w:rPr>
                <w:rFonts w:hint="eastAsia" w:ascii="仿宋_GB2312" w:hAnsi="仿宋_GB2312" w:eastAsia="仿宋_GB2312" w:cs="仿宋_GB2312"/>
                <w:spacing w:val="3"/>
                <w:sz w:val="28"/>
                <w:szCs w:val="28"/>
                <w:highlight w:val="none"/>
              </w:rPr>
              <w:t>022.6</w:t>
            </w:r>
          </w:p>
        </w:tc>
      </w:tr>
      <w:tr w14:paraId="38C73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bottom w:val="nil"/>
            </w:tcBorders>
            <w:noWrap w:val="0"/>
            <w:vAlign w:val="top"/>
          </w:tcPr>
          <w:p w14:paraId="3E862E6F">
            <w:pPr>
              <w:rPr>
                <w:rFonts w:hint="eastAsia" w:ascii="仿宋_GB2312" w:hAnsi="仿宋_GB2312" w:eastAsia="仿宋_GB2312" w:cs="仿宋_GB2312"/>
                <w:sz w:val="28"/>
                <w:szCs w:val="28"/>
                <w:highlight w:val="none"/>
              </w:rPr>
            </w:pPr>
          </w:p>
        </w:tc>
        <w:tc>
          <w:tcPr>
            <w:tcW w:w="1560" w:type="dxa"/>
            <w:noWrap w:val="0"/>
            <w:vAlign w:val="top"/>
          </w:tcPr>
          <w:p w14:paraId="58D349A5">
            <w:pPr>
              <w:spacing w:before="174" w:line="223" w:lineRule="auto"/>
              <w:ind w:left="117"/>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7"/>
                <w:sz w:val="28"/>
                <w:szCs w:val="28"/>
                <w:highlight w:val="none"/>
              </w:rPr>
              <w:t>换</w:t>
            </w:r>
            <w:r>
              <w:rPr>
                <w:rFonts w:hint="eastAsia" w:ascii="仿宋_GB2312" w:hAnsi="仿宋_GB2312" w:eastAsia="仿宋_GB2312" w:cs="仿宋_GB2312"/>
                <w:spacing w:val="5"/>
                <w:sz w:val="28"/>
                <w:szCs w:val="28"/>
                <w:highlight w:val="none"/>
              </w:rPr>
              <w:t>版编制</w:t>
            </w:r>
          </w:p>
        </w:tc>
        <w:tc>
          <w:tcPr>
            <w:tcW w:w="1315" w:type="dxa"/>
            <w:noWrap w:val="0"/>
            <w:vAlign w:val="top"/>
          </w:tcPr>
          <w:p w14:paraId="00993DE4">
            <w:pPr>
              <w:rPr>
                <w:rFonts w:hint="eastAsia" w:ascii="仿宋_GB2312" w:hAnsi="仿宋_GB2312" w:eastAsia="仿宋_GB2312" w:cs="仿宋_GB2312"/>
                <w:sz w:val="28"/>
                <w:szCs w:val="28"/>
                <w:highlight w:val="none"/>
              </w:rPr>
            </w:pPr>
          </w:p>
        </w:tc>
        <w:tc>
          <w:tcPr>
            <w:tcW w:w="2231" w:type="dxa"/>
            <w:noWrap w:val="0"/>
            <w:vAlign w:val="top"/>
          </w:tcPr>
          <w:p w14:paraId="3C406D45">
            <w:pPr>
              <w:spacing w:before="174" w:line="223" w:lineRule="auto"/>
              <w:ind w:left="113"/>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6"/>
                <w:sz w:val="28"/>
                <w:szCs w:val="28"/>
                <w:highlight w:val="none"/>
              </w:rPr>
              <w:t>编</w:t>
            </w:r>
            <w:r>
              <w:rPr>
                <w:rFonts w:hint="eastAsia" w:ascii="仿宋_GB2312" w:hAnsi="仿宋_GB2312" w:eastAsia="仿宋_GB2312" w:cs="仿宋_GB2312"/>
                <w:spacing w:val="4"/>
                <w:sz w:val="28"/>
                <w:szCs w:val="28"/>
                <w:highlight w:val="none"/>
              </w:rPr>
              <w:t>制人</w:t>
            </w:r>
          </w:p>
        </w:tc>
        <w:tc>
          <w:tcPr>
            <w:tcW w:w="2178" w:type="dxa"/>
            <w:noWrap w:val="0"/>
            <w:vAlign w:val="top"/>
          </w:tcPr>
          <w:p w14:paraId="55D4C9C4">
            <w:pPr>
              <w:spacing w:before="173" w:line="225" w:lineRule="auto"/>
              <w:ind w:left="143"/>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2"/>
                <w:sz w:val="28"/>
                <w:szCs w:val="28"/>
                <w:highlight w:val="none"/>
              </w:rPr>
              <w:t>陈</w:t>
            </w:r>
            <w:r>
              <w:rPr>
                <w:rFonts w:hint="eastAsia" w:ascii="仿宋_GB2312" w:hAnsi="仿宋_GB2312" w:eastAsia="仿宋_GB2312" w:cs="仿宋_GB2312"/>
                <w:spacing w:val="-10"/>
                <w:sz w:val="28"/>
                <w:szCs w:val="28"/>
                <w:highlight w:val="none"/>
              </w:rPr>
              <w:t>燕</w:t>
            </w:r>
          </w:p>
        </w:tc>
      </w:tr>
      <w:tr w14:paraId="09695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7" w:type="dxa"/>
            <w:vMerge w:val="continue"/>
            <w:tcBorders>
              <w:top w:val="nil"/>
              <w:bottom w:val="nil"/>
            </w:tcBorders>
            <w:noWrap w:val="0"/>
            <w:vAlign w:val="top"/>
          </w:tcPr>
          <w:p w14:paraId="2C64CD7C">
            <w:pPr>
              <w:rPr>
                <w:rFonts w:hint="eastAsia" w:ascii="仿宋_GB2312" w:hAnsi="仿宋_GB2312" w:eastAsia="仿宋_GB2312" w:cs="仿宋_GB2312"/>
                <w:sz w:val="28"/>
                <w:szCs w:val="28"/>
                <w:highlight w:val="none"/>
              </w:rPr>
            </w:pPr>
          </w:p>
        </w:tc>
        <w:tc>
          <w:tcPr>
            <w:tcW w:w="1560" w:type="dxa"/>
            <w:noWrap w:val="0"/>
            <w:vAlign w:val="top"/>
          </w:tcPr>
          <w:p w14:paraId="00DA31E0">
            <w:pPr>
              <w:spacing w:before="174" w:line="223" w:lineRule="auto"/>
              <w:ind w:left="112"/>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7"/>
                <w:sz w:val="28"/>
                <w:szCs w:val="28"/>
                <w:highlight w:val="none"/>
              </w:rPr>
              <w:t>修订编制</w:t>
            </w:r>
          </w:p>
        </w:tc>
        <w:tc>
          <w:tcPr>
            <w:tcW w:w="1315" w:type="dxa"/>
            <w:noWrap w:val="0"/>
            <w:vAlign w:val="top"/>
          </w:tcPr>
          <w:p w14:paraId="0ED42EC8">
            <w:pPr>
              <w:rPr>
                <w:rFonts w:hint="eastAsia" w:ascii="仿宋_GB2312" w:hAnsi="仿宋_GB2312" w:eastAsia="仿宋_GB2312" w:cs="仿宋_GB2312"/>
                <w:sz w:val="28"/>
                <w:szCs w:val="28"/>
                <w:highlight w:val="none"/>
              </w:rPr>
            </w:pPr>
          </w:p>
        </w:tc>
        <w:tc>
          <w:tcPr>
            <w:tcW w:w="2231" w:type="dxa"/>
            <w:vMerge w:val="restart"/>
            <w:tcBorders>
              <w:bottom w:val="nil"/>
            </w:tcBorders>
            <w:noWrap w:val="0"/>
            <w:vAlign w:val="top"/>
          </w:tcPr>
          <w:p w14:paraId="6BA85434">
            <w:pPr>
              <w:spacing w:line="401" w:lineRule="auto"/>
              <w:rPr>
                <w:rFonts w:hint="eastAsia" w:ascii="仿宋_GB2312" w:hAnsi="仿宋_GB2312" w:eastAsia="仿宋_GB2312" w:cs="仿宋_GB2312"/>
                <w:sz w:val="28"/>
                <w:szCs w:val="28"/>
                <w:highlight w:val="none"/>
              </w:rPr>
            </w:pPr>
          </w:p>
          <w:p w14:paraId="09EAFF02">
            <w:pPr>
              <w:spacing w:before="88" w:line="222" w:lineRule="auto"/>
              <w:ind w:left="113"/>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7"/>
                <w:sz w:val="28"/>
                <w:szCs w:val="28"/>
                <w:highlight w:val="none"/>
              </w:rPr>
              <w:t>编</w:t>
            </w:r>
            <w:r>
              <w:rPr>
                <w:rFonts w:hint="eastAsia" w:ascii="仿宋_GB2312" w:hAnsi="仿宋_GB2312" w:eastAsia="仿宋_GB2312" w:cs="仿宋_GB2312"/>
                <w:spacing w:val="5"/>
                <w:sz w:val="28"/>
                <w:szCs w:val="28"/>
                <w:highlight w:val="none"/>
              </w:rPr>
              <w:t>制单位</w:t>
            </w:r>
          </w:p>
        </w:tc>
        <w:tc>
          <w:tcPr>
            <w:tcW w:w="2178" w:type="dxa"/>
            <w:vMerge w:val="restart"/>
            <w:tcBorders>
              <w:bottom w:val="nil"/>
            </w:tcBorders>
            <w:noWrap w:val="0"/>
            <w:vAlign w:val="top"/>
          </w:tcPr>
          <w:p w14:paraId="5DC1AAB2">
            <w:pPr>
              <w:spacing w:before="179" w:line="624" w:lineRule="exact"/>
              <w:ind w:left="134"/>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5"/>
                <w:position w:val="26"/>
                <w:sz w:val="28"/>
                <w:szCs w:val="28"/>
                <w:highlight w:val="none"/>
              </w:rPr>
              <w:t>战略与运营管</w:t>
            </w:r>
            <w:r>
              <w:rPr>
                <w:rFonts w:hint="eastAsia" w:ascii="仿宋_GB2312" w:hAnsi="仿宋_GB2312" w:eastAsia="仿宋_GB2312" w:cs="仿宋_GB2312"/>
                <w:spacing w:val="4"/>
                <w:position w:val="26"/>
                <w:sz w:val="28"/>
                <w:szCs w:val="28"/>
                <w:highlight w:val="none"/>
              </w:rPr>
              <w:t>理</w:t>
            </w:r>
          </w:p>
          <w:p w14:paraId="202D86AA">
            <w:pPr>
              <w:spacing w:before="1" w:line="223" w:lineRule="auto"/>
              <w:ind w:left="11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部</w:t>
            </w:r>
          </w:p>
        </w:tc>
      </w:tr>
      <w:tr w14:paraId="795A9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Merge w:val="continue"/>
            <w:tcBorders>
              <w:top w:val="nil"/>
            </w:tcBorders>
            <w:noWrap w:val="0"/>
            <w:vAlign w:val="top"/>
          </w:tcPr>
          <w:p w14:paraId="44876222">
            <w:pPr>
              <w:rPr>
                <w:rFonts w:hint="eastAsia" w:ascii="仿宋_GB2312" w:hAnsi="仿宋_GB2312" w:eastAsia="仿宋_GB2312" w:cs="仿宋_GB2312"/>
                <w:sz w:val="28"/>
                <w:szCs w:val="28"/>
                <w:highlight w:val="none"/>
              </w:rPr>
            </w:pPr>
          </w:p>
        </w:tc>
        <w:tc>
          <w:tcPr>
            <w:tcW w:w="1560" w:type="dxa"/>
            <w:noWrap w:val="0"/>
            <w:vAlign w:val="top"/>
          </w:tcPr>
          <w:p w14:paraId="0BB45C74">
            <w:pPr>
              <w:spacing w:before="175" w:line="223" w:lineRule="auto"/>
              <w:ind w:left="126"/>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5"/>
                <w:sz w:val="28"/>
                <w:szCs w:val="28"/>
                <w:highlight w:val="none"/>
              </w:rPr>
              <w:t>制</w:t>
            </w:r>
            <w:r>
              <w:rPr>
                <w:rFonts w:hint="eastAsia" w:ascii="仿宋_GB2312" w:hAnsi="仿宋_GB2312" w:eastAsia="仿宋_GB2312" w:cs="仿宋_GB2312"/>
                <w:spacing w:val="3"/>
                <w:sz w:val="28"/>
                <w:szCs w:val="28"/>
                <w:highlight w:val="none"/>
              </w:rPr>
              <w:t>度废止</w:t>
            </w:r>
          </w:p>
        </w:tc>
        <w:tc>
          <w:tcPr>
            <w:tcW w:w="1315" w:type="dxa"/>
            <w:noWrap w:val="0"/>
            <w:vAlign w:val="top"/>
          </w:tcPr>
          <w:p w14:paraId="7D8DC88B">
            <w:pPr>
              <w:rPr>
                <w:rFonts w:hint="eastAsia" w:ascii="仿宋_GB2312" w:hAnsi="仿宋_GB2312" w:eastAsia="仿宋_GB2312" w:cs="仿宋_GB2312"/>
                <w:sz w:val="28"/>
                <w:szCs w:val="28"/>
                <w:highlight w:val="none"/>
              </w:rPr>
            </w:pPr>
          </w:p>
        </w:tc>
        <w:tc>
          <w:tcPr>
            <w:tcW w:w="2231" w:type="dxa"/>
            <w:vMerge w:val="continue"/>
            <w:tcBorders>
              <w:top w:val="nil"/>
            </w:tcBorders>
            <w:noWrap w:val="0"/>
            <w:vAlign w:val="top"/>
          </w:tcPr>
          <w:p w14:paraId="39C64FFF">
            <w:pPr>
              <w:rPr>
                <w:rFonts w:hint="eastAsia" w:ascii="仿宋_GB2312" w:hAnsi="仿宋_GB2312" w:eastAsia="仿宋_GB2312" w:cs="仿宋_GB2312"/>
                <w:sz w:val="28"/>
                <w:szCs w:val="28"/>
                <w:highlight w:val="none"/>
              </w:rPr>
            </w:pPr>
          </w:p>
        </w:tc>
        <w:tc>
          <w:tcPr>
            <w:tcW w:w="2178" w:type="dxa"/>
            <w:vMerge w:val="continue"/>
            <w:tcBorders>
              <w:top w:val="nil"/>
            </w:tcBorders>
            <w:noWrap w:val="0"/>
            <w:vAlign w:val="top"/>
          </w:tcPr>
          <w:p w14:paraId="631FA312">
            <w:pPr>
              <w:rPr>
                <w:rFonts w:hint="eastAsia" w:ascii="仿宋_GB2312" w:hAnsi="仿宋_GB2312" w:eastAsia="仿宋_GB2312" w:cs="仿宋_GB2312"/>
                <w:sz w:val="28"/>
                <w:szCs w:val="28"/>
                <w:highlight w:val="none"/>
              </w:rPr>
            </w:pPr>
          </w:p>
        </w:tc>
      </w:tr>
      <w:tr w14:paraId="36CA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5" w:hRule="atLeast"/>
        </w:trPr>
        <w:tc>
          <w:tcPr>
            <w:tcW w:w="1387" w:type="dxa"/>
            <w:noWrap w:val="0"/>
            <w:vAlign w:val="top"/>
          </w:tcPr>
          <w:p w14:paraId="77F917B6">
            <w:pPr>
              <w:spacing w:line="246" w:lineRule="auto"/>
              <w:rPr>
                <w:rFonts w:hint="eastAsia" w:ascii="仿宋_GB2312" w:hAnsi="仿宋_GB2312" w:eastAsia="仿宋_GB2312" w:cs="仿宋_GB2312"/>
                <w:sz w:val="28"/>
                <w:szCs w:val="28"/>
                <w:highlight w:val="none"/>
              </w:rPr>
            </w:pPr>
          </w:p>
          <w:p w14:paraId="3D7F0748">
            <w:pPr>
              <w:spacing w:line="246" w:lineRule="auto"/>
              <w:rPr>
                <w:rFonts w:hint="eastAsia" w:ascii="仿宋_GB2312" w:hAnsi="仿宋_GB2312" w:eastAsia="仿宋_GB2312" w:cs="仿宋_GB2312"/>
                <w:sz w:val="28"/>
                <w:szCs w:val="28"/>
                <w:highlight w:val="none"/>
              </w:rPr>
            </w:pPr>
          </w:p>
          <w:p w14:paraId="79D98FF6">
            <w:pPr>
              <w:spacing w:line="246" w:lineRule="auto"/>
              <w:rPr>
                <w:rFonts w:hint="eastAsia" w:ascii="仿宋_GB2312" w:hAnsi="仿宋_GB2312" w:eastAsia="仿宋_GB2312" w:cs="仿宋_GB2312"/>
                <w:sz w:val="28"/>
                <w:szCs w:val="28"/>
                <w:highlight w:val="none"/>
              </w:rPr>
            </w:pPr>
          </w:p>
          <w:p w14:paraId="3D360103">
            <w:pPr>
              <w:spacing w:line="246" w:lineRule="auto"/>
              <w:rPr>
                <w:rFonts w:hint="eastAsia" w:ascii="仿宋_GB2312" w:hAnsi="仿宋_GB2312" w:eastAsia="仿宋_GB2312" w:cs="仿宋_GB2312"/>
                <w:sz w:val="28"/>
                <w:szCs w:val="28"/>
                <w:highlight w:val="none"/>
              </w:rPr>
            </w:pPr>
          </w:p>
          <w:p w14:paraId="4AE8F50E">
            <w:pPr>
              <w:spacing w:line="246" w:lineRule="auto"/>
              <w:rPr>
                <w:rFonts w:hint="eastAsia" w:ascii="仿宋_GB2312" w:hAnsi="仿宋_GB2312" w:eastAsia="仿宋_GB2312" w:cs="仿宋_GB2312"/>
                <w:sz w:val="28"/>
                <w:szCs w:val="28"/>
                <w:highlight w:val="none"/>
              </w:rPr>
            </w:pPr>
          </w:p>
          <w:p w14:paraId="233FF0B2">
            <w:pPr>
              <w:spacing w:line="246" w:lineRule="auto"/>
              <w:rPr>
                <w:rFonts w:hint="eastAsia" w:ascii="仿宋_GB2312" w:hAnsi="仿宋_GB2312" w:eastAsia="仿宋_GB2312" w:cs="仿宋_GB2312"/>
                <w:sz w:val="28"/>
                <w:szCs w:val="28"/>
                <w:highlight w:val="none"/>
              </w:rPr>
            </w:pPr>
          </w:p>
          <w:p w14:paraId="610CDE6E">
            <w:pPr>
              <w:spacing w:line="246" w:lineRule="auto"/>
              <w:rPr>
                <w:rFonts w:hint="eastAsia" w:ascii="仿宋_GB2312" w:hAnsi="仿宋_GB2312" w:eastAsia="仿宋_GB2312" w:cs="仿宋_GB2312"/>
                <w:sz w:val="28"/>
                <w:szCs w:val="28"/>
                <w:highlight w:val="none"/>
              </w:rPr>
            </w:pPr>
          </w:p>
          <w:p w14:paraId="46FBB499">
            <w:pPr>
              <w:spacing w:line="246" w:lineRule="auto"/>
              <w:rPr>
                <w:rFonts w:hint="eastAsia" w:ascii="仿宋_GB2312" w:hAnsi="仿宋_GB2312" w:eastAsia="仿宋_GB2312" w:cs="仿宋_GB2312"/>
                <w:sz w:val="28"/>
                <w:szCs w:val="28"/>
                <w:highlight w:val="none"/>
              </w:rPr>
            </w:pPr>
          </w:p>
          <w:p w14:paraId="675325EF">
            <w:pPr>
              <w:spacing w:line="247" w:lineRule="auto"/>
              <w:rPr>
                <w:rFonts w:hint="eastAsia" w:ascii="仿宋_GB2312" w:hAnsi="仿宋_GB2312" w:eastAsia="仿宋_GB2312" w:cs="仿宋_GB2312"/>
                <w:sz w:val="28"/>
                <w:szCs w:val="28"/>
                <w:highlight w:val="none"/>
              </w:rPr>
            </w:pPr>
          </w:p>
          <w:p w14:paraId="1D56D45F">
            <w:pPr>
              <w:spacing w:before="88" w:line="224" w:lineRule="auto"/>
              <w:ind w:left="145"/>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改动</w:t>
            </w:r>
            <w:r>
              <w:rPr>
                <w:rFonts w:hint="eastAsia" w:ascii="仿宋_GB2312" w:hAnsi="仿宋_GB2312" w:eastAsia="仿宋_GB2312" w:cs="仿宋_GB2312"/>
                <w:spacing w:val="-1"/>
                <w:sz w:val="28"/>
                <w:szCs w:val="28"/>
                <w:highlight w:val="none"/>
              </w:rPr>
              <w:t>内容</w:t>
            </w:r>
          </w:p>
        </w:tc>
        <w:tc>
          <w:tcPr>
            <w:tcW w:w="7284" w:type="dxa"/>
            <w:gridSpan w:val="4"/>
            <w:noWrap w:val="0"/>
            <w:vAlign w:val="top"/>
          </w:tcPr>
          <w:p w14:paraId="61654490">
            <w:pPr>
              <w:spacing w:before="173" w:line="430" w:lineRule="auto"/>
              <w:ind w:left="117" w:right="104" w:firstLine="558"/>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2"/>
                <w:sz w:val="28"/>
                <w:szCs w:val="28"/>
                <w:highlight w:val="none"/>
              </w:rPr>
              <w:t>根</w:t>
            </w:r>
            <w:r>
              <w:rPr>
                <w:rFonts w:hint="eastAsia" w:ascii="仿宋_GB2312" w:hAnsi="仿宋_GB2312" w:eastAsia="仿宋_GB2312" w:cs="仿宋_GB2312"/>
                <w:spacing w:val="9"/>
                <w:sz w:val="28"/>
                <w:szCs w:val="28"/>
                <w:highlight w:val="none"/>
              </w:rPr>
              <w:t>据</w:t>
            </w:r>
            <w:r>
              <w:rPr>
                <w:rFonts w:hint="eastAsia" w:ascii="仿宋_GB2312" w:hAnsi="仿宋_GB2312" w:eastAsia="仿宋_GB2312" w:cs="仿宋_GB2312"/>
                <w:spacing w:val="6"/>
                <w:sz w:val="28"/>
                <w:szCs w:val="28"/>
                <w:highlight w:val="none"/>
              </w:rPr>
              <w:t>招投标法、招投标实施条例，为清晰判定中粮</w:t>
            </w:r>
            <w:r>
              <w:rPr>
                <w:rFonts w:hint="eastAsia" w:ascii="仿宋_GB2312" w:hAnsi="仿宋_GB2312" w:eastAsia="仿宋_GB2312" w:cs="仿宋_GB2312"/>
                <w:spacing w:val="9"/>
                <w:sz w:val="28"/>
                <w:szCs w:val="28"/>
                <w:highlight w:val="none"/>
              </w:rPr>
              <w:t>糖业采购业务过程中围标串标行为特制定此管理细则 (试行)</w:t>
            </w:r>
            <w:r>
              <w:rPr>
                <w:rFonts w:hint="eastAsia" w:ascii="仿宋_GB2312" w:hAnsi="仿宋_GB2312" w:eastAsia="仿宋_GB2312" w:cs="仿宋_GB2312"/>
                <w:sz w:val="28"/>
                <w:szCs w:val="28"/>
                <w:highlight w:val="none"/>
              </w:rPr>
              <w:t>。</w:t>
            </w:r>
          </w:p>
        </w:tc>
      </w:tr>
    </w:tbl>
    <w:p w14:paraId="22C678AA">
      <w:pPr>
        <w:spacing w:line="216" w:lineRule="exact"/>
        <w:rPr>
          <w:rFonts w:ascii="Arial"/>
          <w:sz w:val="18"/>
          <w:highlight w:val="none"/>
        </w:rPr>
      </w:pPr>
    </w:p>
    <w:p w14:paraId="7002CB8A">
      <w:pPr>
        <w:rPr>
          <w:highlight w:val="none"/>
        </w:rPr>
        <w:sectPr>
          <w:footerReference r:id="rId8" w:type="default"/>
          <w:pgSz w:w="11905" w:h="16839"/>
          <w:pgMar w:top="1431" w:right="1609" w:bottom="1742" w:left="1597" w:header="0" w:footer="1467" w:gutter="0"/>
          <w:cols w:space="720" w:num="1"/>
        </w:sectPr>
      </w:pPr>
    </w:p>
    <w:p w14:paraId="704EB12D">
      <w:pPr>
        <w:spacing w:line="248" w:lineRule="auto"/>
        <w:rPr>
          <w:rFonts w:ascii="Arial"/>
          <w:highlight w:val="none"/>
        </w:rPr>
      </w:pPr>
    </w:p>
    <w:p w14:paraId="3A0CD4BA">
      <w:pPr>
        <w:spacing w:before="104" w:line="570" w:lineRule="exact"/>
        <w:ind w:left="3498"/>
        <w:rPr>
          <w:rFonts w:ascii="黑体" w:hAnsi="黑体" w:eastAsia="黑体" w:cs="黑体"/>
          <w:sz w:val="32"/>
          <w:szCs w:val="32"/>
          <w:highlight w:val="none"/>
        </w:rPr>
      </w:pPr>
      <w:r>
        <w:rPr>
          <w:rFonts w:ascii="黑体" w:hAnsi="黑体" w:eastAsia="黑体" w:cs="黑体"/>
          <w:spacing w:val="1"/>
          <w:sz w:val="32"/>
          <w:szCs w:val="32"/>
          <w:highlight w:val="none"/>
        </w:rPr>
        <w:t>第一</w:t>
      </w:r>
      <w:r>
        <w:rPr>
          <w:rFonts w:ascii="黑体" w:hAnsi="黑体" w:eastAsia="黑体" w:cs="黑体"/>
          <w:sz w:val="32"/>
          <w:szCs w:val="32"/>
          <w:highlight w:val="none"/>
        </w:rPr>
        <w:t>章 总则</w:t>
      </w:r>
    </w:p>
    <w:p w14:paraId="31272093">
      <w:pPr>
        <w:spacing w:line="570" w:lineRule="exact"/>
        <w:ind w:firstLine="669"/>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第一条 为进一步规范中粮糖业各类采购业务活动，明确供应商在采购活动中的串通投标行为认定标准，保护公司和采购 活动当事人的合法权益，根据《中华人民共和国招标投标法》《中华人民共和国招标投标法实施条例》等法律法规的规定， 结合本公司实际情况，制定本办法。</w:t>
      </w:r>
    </w:p>
    <w:p w14:paraId="25910258">
      <w:pPr>
        <w:spacing w:before="3" w:line="570" w:lineRule="exact"/>
        <w:ind w:left="15" w:right="73" w:firstLine="656"/>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第二条 本制度适用于中粮糖业总部、各一级经营单位及华商中心境内各级全资、控股、托管企业进行的工程项目、物资和服务采购活动。在串通投标行为的认定和处理上，均适用于本办法。</w:t>
      </w:r>
    </w:p>
    <w:p w14:paraId="4E715F09">
      <w:pPr>
        <w:spacing w:before="1" w:line="570" w:lineRule="exact"/>
        <w:ind w:left="3498"/>
        <w:rPr>
          <w:rFonts w:ascii="黑体" w:hAnsi="黑体" w:eastAsia="黑体" w:cs="黑体"/>
          <w:sz w:val="32"/>
          <w:szCs w:val="32"/>
          <w:highlight w:val="none"/>
        </w:rPr>
      </w:pPr>
      <w:r>
        <w:rPr>
          <w:rFonts w:ascii="黑体" w:hAnsi="黑体" w:eastAsia="黑体" w:cs="黑体"/>
          <w:spacing w:val="-1"/>
          <w:sz w:val="32"/>
          <w:szCs w:val="32"/>
          <w:highlight w:val="none"/>
        </w:rPr>
        <w:t>第二章</w:t>
      </w:r>
      <w:r>
        <w:rPr>
          <w:rFonts w:ascii="黑体" w:hAnsi="黑体" w:eastAsia="黑体" w:cs="黑体"/>
          <w:sz w:val="32"/>
          <w:szCs w:val="32"/>
          <w:highlight w:val="none"/>
        </w:rPr>
        <w:t xml:space="preserve"> 释义</w:t>
      </w:r>
    </w:p>
    <w:p w14:paraId="0DBB0FD5">
      <w:pPr>
        <w:spacing w:before="3" w:line="570" w:lineRule="exact"/>
        <w:ind w:left="15" w:right="73" w:firstLine="656"/>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第三条 根据《中华人民共和国刑法》第二百二十三条规定：</w:t>
      </w:r>
    </w:p>
    <w:p w14:paraId="548A3613">
      <w:pPr>
        <w:spacing w:before="3" w:line="570" w:lineRule="exact"/>
        <w:ind w:right="73"/>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串通投标罪，指投标者相互串通投标，损害招标人或者其他投标人利益，或者投标者与招标者串通投标，损害国家、集体、公民的合法权益，情节严重的行为。</w:t>
      </w:r>
    </w:p>
    <w:p w14:paraId="35F6C409">
      <w:pPr>
        <w:spacing w:before="3" w:line="570" w:lineRule="exact"/>
        <w:ind w:left="15" w:right="73" w:firstLine="656"/>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第四条 根据《关于禁止串通招标投标行为的暂行规定》(国家工商行政管理局令第 82号) 规定：串通招标投标，是指招标 者与投标者之间或者投标者与投标者之间采用不正当手段，对招标投标事项进行串通，以排挤竞争对手或者损害招标者利益的行为。</w:t>
      </w:r>
    </w:p>
    <w:p w14:paraId="6B431B4B">
      <w:pPr>
        <w:spacing w:before="3" w:line="570" w:lineRule="exact"/>
        <w:ind w:left="15" w:right="73" w:firstLine="656"/>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第五条 围标串标在行政机关或建筑工程实践的日常表述中较为常见，但出现在法律规定中的频率较少。相关法律规</w:t>
      </w:r>
      <w:r>
        <w:rPr>
          <w:rFonts w:hint="eastAsia" w:eastAsia="仿宋_GB2312"/>
          <w:spacing w:val="-10"/>
          <w:kern w:val="0"/>
          <w:sz w:val="32"/>
          <w:szCs w:val="32"/>
          <w:highlight w:val="none"/>
          <w:lang w:bidi="zh-CN"/>
        </w:rPr>
        <w:t>定</w:t>
      </w:r>
      <w:r>
        <w:rPr>
          <w:rFonts w:eastAsia="仿宋_GB2312"/>
          <w:spacing w:val="-10"/>
          <w:kern w:val="0"/>
          <w:sz w:val="32"/>
          <w:szCs w:val="32"/>
          <w:highlight w:val="none"/>
          <w:lang w:val="zh-CN" w:bidi="zh-CN"/>
        </w:rPr>
        <w:t>多表述为串通投标。</w:t>
      </w:r>
    </w:p>
    <w:p w14:paraId="4C34901B">
      <w:pPr>
        <w:pStyle w:val="9"/>
        <w:spacing w:line="570" w:lineRule="exact"/>
        <w:ind w:firstLine="640" w:firstLineChars="200"/>
        <w:rPr>
          <w:rFonts w:ascii="Times New Roman" w:hAnsi="Times New Roman" w:eastAsia="仿宋_GB2312"/>
          <w:spacing w:val="-10"/>
          <w:kern w:val="0"/>
          <w:sz w:val="32"/>
          <w:szCs w:val="32"/>
          <w:highlight w:val="none"/>
          <w:lang w:val="zh-CN" w:bidi="zh-CN"/>
        </w:rPr>
      </w:pPr>
      <w:r>
        <w:rPr>
          <w:rFonts w:hint="eastAsia" w:ascii="楷体_GB2312" w:hAnsi="Calibri" w:eastAsia="楷体_GB2312"/>
          <w:sz w:val="32"/>
          <w:szCs w:val="32"/>
          <w:highlight w:val="none"/>
          <w:lang w:val="zh-CN"/>
        </w:rPr>
        <w:t>(一)围标：</w:t>
      </w:r>
      <w:r>
        <w:rPr>
          <w:rFonts w:ascii="Times New Roman" w:hAnsi="Times New Roman" w:eastAsia="仿宋_GB2312"/>
          <w:spacing w:val="-10"/>
          <w:kern w:val="0"/>
          <w:sz w:val="32"/>
          <w:szCs w:val="32"/>
          <w:highlight w:val="none"/>
          <w:lang w:val="zh-CN" w:bidi="zh-CN"/>
        </w:rPr>
        <w:t>所谓“围标”,是指投标人之间相互约定,在投标过程中通过作弊手段投标,排挤未参与约定的投标人，最终使约定的中标</w:t>
      </w:r>
      <w:r>
        <w:rPr>
          <w:rFonts w:hint="eastAsia" w:ascii="Times New Roman" w:hAnsi="Times New Roman" w:eastAsia="仿宋_GB2312"/>
          <w:spacing w:val="-10"/>
          <w:kern w:val="0"/>
          <w:sz w:val="32"/>
          <w:szCs w:val="32"/>
          <w:highlight w:val="none"/>
          <w:lang w:val="zh-CN" w:bidi="zh-CN"/>
        </w:rPr>
        <w:t>人</w:t>
      </w:r>
      <w:r>
        <w:rPr>
          <w:rFonts w:ascii="Times New Roman" w:hAnsi="Times New Roman" w:eastAsia="仿宋_GB2312"/>
          <w:spacing w:val="-10"/>
          <w:kern w:val="0"/>
          <w:sz w:val="32"/>
          <w:szCs w:val="32"/>
          <w:highlight w:val="none"/>
          <w:lang w:val="zh-CN" w:bidi="zh-CN"/>
        </w:rPr>
        <w:t>中标,从而谋取相关约定利益的行为。发起人一般称围标人,其他约定谋取利益的人称为陪标人。</w:t>
      </w:r>
    </w:p>
    <w:p w14:paraId="3CB2CB51">
      <w:pPr>
        <w:spacing w:before="1" w:line="570" w:lineRule="exact"/>
        <w:ind w:left="1" w:right="2" w:firstLine="413"/>
        <w:rPr>
          <w:rFonts w:ascii="仿宋" w:hAnsi="仿宋" w:eastAsia="仿宋" w:cs="仿宋"/>
          <w:sz w:val="32"/>
          <w:szCs w:val="32"/>
          <w:highlight w:val="none"/>
        </w:rPr>
      </w:pPr>
      <w:r>
        <w:rPr>
          <w:rFonts w:hint="eastAsia" w:ascii="楷体_GB2312" w:hAnsi="Calibri" w:eastAsia="楷体_GB2312"/>
          <w:sz w:val="32"/>
          <w:szCs w:val="32"/>
          <w:highlight w:val="none"/>
          <w:lang w:val="zh-CN"/>
        </w:rPr>
        <w:t>(二)串标：</w:t>
      </w:r>
      <w:r>
        <w:rPr>
          <w:rFonts w:eastAsia="仿宋_GB2312"/>
          <w:spacing w:val="-10"/>
          <w:kern w:val="0"/>
          <w:sz w:val="32"/>
          <w:szCs w:val="32"/>
          <w:highlight w:val="none"/>
          <w:lang w:val="zh-CN" w:bidi="zh-CN"/>
        </w:rPr>
        <w:t>串标包括投标人与招标人、投标人与招标代理 机构之间串通和两个以上投标人之间通过约定行为合谋投标 (未达到围标的程度)。</w:t>
      </w:r>
    </w:p>
    <w:p w14:paraId="5EB469F5">
      <w:pPr>
        <w:spacing w:before="1" w:line="570" w:lineRule="exact"/>
        <w:ind w:left="3" w:firstLine="411"/>
        <w:rPr>
          <w:rFonts w:ascii="仿宋" w:hAnsi="仿宋" w:eastAsia="仿宋" w:cs="仿宋"/>
          <w:sz w:val="32"/>
          <w:szCs w:val="32"/>
          <w:highlight w:val="none"/>
        </w:rPr>
      </w:pPr>
      <w:r>
        <w:rPr>
          <w:rFonts w:hint="eastAsia" w:ascii="楷体_GB2312" w:hAnsi="Calibri" w:eastAsia="楷体_GB2312"/>
          <w:sz w:val="32"/>
          <w:szCs w:val="32"/>
          <w:highlight w:val="none"/>
          <w:lang w:val="zh-CN"/>
        </w:rPr>
        <w:t>(三)串通投标：</w:t>
      </w:r>
      <w:r>
        <w:rPr>
          <w:rFonts w:eastAsia="仿宋_GB2312"/>
          <w:spacing w:val="-10"/>
          <w:kern w:val="0"/>
          <w:sz w:val="32"/>
          <w:szCs w:val="32"/>
          <w:highlight w:val="none"/>
          <w:lang w:val="zh-CN" w:bidi="zh-CN"/>
        </w:rPr>
        <w:t>通过相关法律规定及法院、行政判例可知， 其对串通投标和围标串标并没有做一个明确的划分。 由相关法 条显示, 串通投标是围标和串标的集合。</w:t>
      </w:r>
    </w:p>
    <w:p w14:paraId="479EB0A6">
      <w:pPr>
        <w:spacing w:before="1" w:line="570" w:lineRule="exact"/>
        <w:ind w:left="3490"/>
        <w:rPr>
          <w:rFonts w:ascii="黑体" w:hAnsi="黑体" w:eastAsia="黑体" w:cs="黑体"/>
          <w:sz w:val="32"/>
          <w:szCs w:val="32"/>
          <w:highlight w:val="none"/>
        </w:rPr>
      </w:pPr>
      <w:r>
        <w:rPr>
          <w:rFonts w:ascii="黑体" w:hAnsi="黑体" w:eastAsia="黑体" w:cs="黑体"/>
          <w:sz w:val="32"/>
          <w:szCs w:val="32"/>
          <w:highlight w:val="none"/>
        </w:rPr>
        <w:t>第三章 认定</w:t>
      </w:r>
    </w:p>
    <w:p w14:paraId="67156DCE">
      <w:pPr>
        <w:spacing w:before="1" w:line="570" w:lineRule="exact"/>
        <w:ind w:left="3" w:firstLine="411"/>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第六条《招标投标法实施条例》第三十九条规定，有下列情形之一的，属于投标人相互串通投标：</w:t>
      </w:r>
    </w:p>
    <w:p w14:paraId="78CD35A7">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投标人之间协商投标报价等投标文件的实质性内容</w:t>
      </w:r>
      <w:r>
        <w:rPr>
          <w:rFonts w:hint="eastAsia" w:eastAsia="仿宋_GB2312"/>
          <w:spacing w:val="-10"/>
          <w:kern w:val="0"/>
          <w:sz w:val="32"/>
          <w:szCs w:val="32"/>
          <w:highlight w:val="none"/>
          <w:lang w:val="zh-CN" w:bidi="zh-CN"/>
        </w:rPr>
        <w:t>。</w:t>
      </w:r>
    </w:p>
    <w:p w14:paraId="7DDC28D3">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投标人之间约定中标人</w:t>
      </w:r>
      <w:r>
        <w:rPr>
          <w:rFonts w:hint="eastAsia" w:eastAsia="仿宋_GB2312"/>
          <w:spacing w:val="-10"/>
          <w:kern w:val="0"/>
          <w:sz w:val="32"/>
          <w:szCs w:val="32"/>
          <w:highlight w:val="none"/>
          <w:lang w:val="zh-CN" w:bidi="zh-CN"/>
        </w:rPr>
        <w:t>。</w:t>
      </w:r>
    </w:p>
    <w:p w14:paraId="64F264D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投标人之间约定部分投标人放弃投标或者中标</w:t>
      </w:r>
      <w:r>
        <w:rPr>
          <w:rFonts w:hint="eastAsia" w:eastAsia="仿宋_GB2312"/>
          <w:spacing w:val="-10"/>
          <w:kern w:val="0"/>
          <w:sz w:val="32"/>
          <w:szCs w:val="32"/>
          <w:highlight w:val="none"/>
          <w:lang w:val="zh-CN" w:bidi="zh-CN"/>
        </w:rPr>
        <w:t>。</w:t>
      </w:r>
    </w:p>
    <w:p w14:paraId="6511EDFB">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属于同一集团、协会、商会等组织成员的投标人按照该组织要求协同投标</w:t>
      </w:r>
      <w:r>
        <w:rPr>
          <w:rFonts w:hint="eastAsia" w:eastAsia="仿宋_GB2312"/>
          <w:spacing w:val="-10"/>
          <w:kern w:val="0"/>
          <w:sz w:val="32"/>
          <w:szCs w:val="32"/>
          <w:highlight w:val="none"/>
          <w:lang w:val="zh-CN" w:bidi="zh-CN"/>
        </w:rPr>
        <w:t>。</w:t>
      </w:r>
    </w:p>
    <w:p w14:paraId="5D712E3D">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投标人之间为谋取中标或者排斥特定投标人而采取的 其他联合行动。</w:t>
      </w:r>
    </w:p>
    <w:p w14:paraId="2468479B">
      <w:pPr>
        <w:spacing w:before="1" w:line="570" w:lineRule="exact"/>
        <w:ind w:left="3" w:firstLine="411"/>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第七条《招标投标法实施条例》第四十条规定，有下列情形之一的，视为投标人相互串通投标：</w:t>
      </w:r>
    </w:p>
    <w:p w14:paraId="2F675EF9">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不同投标人的投标文件由同一单位或者个人编制</w:t>
      </w:r>
      <w:r>
        <w:rPr>
          <w:rFonts w:hint="eastAsia" w:eastAsia="仿宋_GB2312"/>
          <w:spacing w:val="-10"/>
          <w:kern w:val="0"/>
          <w:sz w:val="32"/>
          <w:szCs w:val="32"/>
          <w:highlight w:val="none"/>
          <w:lang w:val="zh-CN" w:bidi="zh-CN"/>
        </w:rPr>
        <w:t>。</w:t>
      </w:r>
    </w:p>
    <w:p w14:paraId="4980E895">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不同投标人委托同一单位或者个人办理投标事宜</w:t>
      </w:r>
      <w:r>
        <w:rPr>
          <w:rFonts w:hint="eastAsia" w:eastAsia="仿宋_GB2312"/>
          <w:spacing w:val="-10"/>
          <w:kern w:val="0"/>
          <w:sz w:val="32"/>
          <w:szCs w:val="32"/>
          <w:highlight w:val="none"/>
          <w:lang w:val="zh-CN" w:bidi="zh-CN"/>
        </w:rPr>
        <w:t>。</w:t>
      </w:r>
    </w:p>
    <w:p w14:paraId="63A62CCA">
      <w:pPr>
        <w:spacing w:before="1" w:line="570" w:lineRule="exact"/>
        <w:ind w:left="458" w:leftChars="143"/>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不同投标人的投标文件载明的项目管理成员为同一人</w:t>
      </w: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不同投标人的投标文件异常一致或者投标呈规律性差异</w:t>
      </w:r>
      <w:r>
        <w:rPr>
          <w:rFonts w:hint="eastAsia" w:eastAsia="仿宋_GB2312"/>
          <w:spacing w:val="-10"/>
          <w:kern w:val="0"/>
          <w:sz w:val="32"/>
          <w:szCs w:val="32"/>
          <w:highlight w:val="none"/>
          <w:lang w:val="zh-CN" w:bidi="zh-CN"/>
        </w:rPr>
        <w:t>。</w:t>
      </w:r>
    </w:p>
    <w:p w14:paraId="282B4D3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不同投标人的投标文件相互混装</w:t>
      </w:r>
      <w:r>
        <w:rPr>
          <w:rFonts w:hint="eastAsia" w:eastAsia="仿宋_GB2312"/>
          <w:spacing w:val="-10"/>
          <w:kern w:val="0"/>
          <w:sz w:val="32"/>
          <w:szCs w:val="32"/>
          <w:highlight w:val="none"/>
          <w:lang w:val="zh-CN" w:bidi="zh-CN"/>
        </w:rPr>
        <w:t>。</w:t>
      </w:r>
    </w:p>
    <w:p w14:paraId="065BF1F4">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不同投标人的投标保证金从同一单位或者个人的账户转出</w:t>
      </w:r>
      <w:r>
        <w:rPr>
          <w:rFonts w:hint="eastAsia" w:eastAsia="仿宋_GB2312"/>
          <w:spacing w:val="-10"/>
          <w:kern w:val="0"/>
          <w:sz w:val="32"/>
          <w:szCs w:val="32"/>
          <w:highlight w:val="none"/>
          <w:lang w:val="zh-CN" w:bidi="zh-CN"/>
        </w:rPr>
        <w:t>。</w:t>
      </w:r>
    </w:p>
    <w:p w14:paraId="6BDBD652">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同一项目中不同供应商的实际控制人相同，视作串通投标行为。</w:t>
      </w:r>
    </w:p>
    <w:p w14:paraId="79626E92">
      <w:pPr>
        <w:spacing w:before="1" w:line="570" w:lineRule="exact"/>
        <w:ind w:left="3" w:firstLine="411"/>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第八条《招标投标法实施条例》第四十一条规定，有下列情形之一的，属于招标人与投标人串通投标</w:t>
      </w:r>
      <w:r>
        <w:rPr>
          <w:rFonts w:hint="eastAsia" w:eastAsia="仿宋_GB2312"/>
          <w:spacing w:val="-10"/>
          <w:kern w:val="0"/>
          <w:sz w:val="32"/>
          <w:szCs w:val="32"/>
          <w:highlight w:val="none"/>
          <w:lang w:val="zh-CN" w:bidi="zh-CN"/>
        </w:rPr>
        <w:t>：</w:t>
      </w:r>
    </w:p>
    <w:p w14:paraId="24CDD34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招标人在开标前开启投标文件并将有关信息泄露给其 他投标人</w:t>
      </w:r>
      <w:r>
        <w:rPr>
          <w:rFonts w:hint="eastAsia" w:eastAsia="仿宋_GB2312"/>
          <w:spacing w:val="-10"/>
          <w:kern w:val="0"/>
          <w:sz w:val="32"/>
          <w:szCs w:val="32"/>
          <w:highlight w:val="none"/>
          <w:lang w:val="zh-CN" w:bidi="zh-CN"/>
        </w:rPr>
        <w:t>。</w:t>
      </w:r>
    </w:p>
    <w:p w14:paraId="260EEAFD">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招标人直接或者间接向投标人泄露标底、评标委员会成员等信息</w:t>
      </w:r>
      <w:r>
        <w:rPr>
          <w:rFonts w:hint="eastAsia" w:eastAsia="仿宋_GB2312"/>
          <w:spacing w:val="-10"/>
          <w:kern w:val="0"/>
          <w:sz w:val="32"/>
          <w:szCs w:val="32"/>
          <w:highlight w:val="none"/>
          <w:lang w:val="zh-CN" w:bidi="zh-CN"/>
        </w:rPr>
        <w:t>。</w:t>
      </w:r>
    </w:p>
    <w:p w14:paraId="73F20DB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招标人明示或者暗示投标人压低或者抬高投标报价</w:t>
      </w:r>
      <w:r>
        <w:rPr>
          <w:rFonts w:hint="eastAsia" w:eastAsia="仿宋_GB2312"/>
          <w:spacing w:val="-10"/>
          <w:kern w:val="0"/>
          <w:sz w:val="32"/>
          <w:szCs w:val="32"/>
          <w:highlight w:val="none"/>
          <w:lang w:val="zh-CN" w:bidi="zh-CN"/>
        </w:rPr>
        <w:t>。</w:t>
      </w:r>
    </w:p>
    <w:p w14:paraId="4457B469">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招标人授意投标人撤换、修改投标文件</w:t>
      </w:r>
      <w:r>
        <w:rPr>
          <w:rFonts w:hint="eastAsia" w:eastAsia="仿宋_GB2312"/>
          <w:spacing w:val="-10"/>
          <w:kern w:val="0"/>
          <w:sz w:val="32"/>
          <w:szCs w:val="32"/>
          <w:highlight w:val="none"/>
          <w:lang w:val="zh-CN" w:bidi="zh-CN"/>
        </w:rPr>
        <w:t>。</w:t>
      </w:r>
    </w:p>
    <w:p w14:paraId="2EE0F15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招标人明示或者暗示投标人为特定投标人中标提供方便;</w:t>
      </w:r>
    </w:p>
    <w:p w14:paraId="2254307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招标人与投标人为谋求特定投标人中标而采取的其他串通行为。</w:t>
      </w:r>
    </w:p>
    <w:p w14:paraId="00EA6B3D">
      <w:pPr>
        <w:spacing w:before="1" w:line="570" w:lineRule="exact"/>
        <w:ind w:left="6" w:firstLine="408"/>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第九条 根据各相关法律规定，并结合公司实际情况，公司进一步明确了在各类采购活动中，关于串通投标嫌疑的认定标准，包括但不限于以下情形：</w:t>
      </w:r>
    </w:p>
    <w:p w14:paraId="70D5AC7C">
      <w:pPr>
        <w:spacing w:before="1" w:line="570" w:lineRule="exact"/>
        <w:ind w:left="6" w:firstLine="408"/>
        <w:rPr>
          <w:rFonts w:hint="eastAsia" w:ascii="黑体" w:hAnsi="黑体" w:eastAsia="黑体" w:cs="黑体"/>
          <w:spacing w:val="-10"/>
          <w:kern w:val="0"/>
          <w:sz w:val="32"/>
          <w:szCs w:val="32"/>
          <w:highlight w:val="none"/>
          <w:lang w:val="zh-CN" w:bidi="zh-CN"/>
        </w:rPr>
      </w:pPr>
      <w:r>
        <w:rPr>
          <w:rFonts w:hint="eastAsia" w:ascii="黑体" w:hAnsi="黑体" w:eastAsia="黑体" w:cs="黑体"/>
          <w:spacing w:val="-10"/>
          <w:kern w:val="0"/>
          <w:sz w:val="32"/>
          <w:szCs w:val="32"/>
          <w:highlight w:val="none"/>
          <w:lang w:val="zh-CN" w:bidi="zh-CN"/>
        </w:rPr>
        <w:t>一、供应商之间</w:t>
      </w:r>
    </w:p>
    <w:p w14:paraId="6B9FC05D">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不同供应商的投标响应文件由同一电子设备编制、打印加密或者上传</w:t>
      </w:r>
      <w:r>
        <w:rPr>
          <w:rFonts w:hint="eastAsia" w:eastAsia="仿宋_GB2312"/>
          <w:spacing w:val="-10"/>
          <w:kern w:val="0"/>
          <w:sz w:val="32"/>
          <w:szCs w:val="32"/>
          <w:highlight w:val="none"/>
          <w:lang w:val="zh-CN" w:bidi="zh-CN"/>
        </w:rPr>
        <w:t>。</w:t>
      </w:r>
    </w:p>
    <w:p w14:paraId="7CF54CD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不同供应商的投标响应文件由同一供应商的电子设备打印、复印</w:t>
      </w:r>
      <w:r>
        <w:rPr>
          <w:rFonts w:hint="eastAsia" w:eastAsia="仿宋_GB2312"/>
          <w:spacing w:val="-10"/>
          <w:kern w:val="0"/>
          <w:sz w:val="32"/>
          <w:szCs w:val="32"/>
          <w:highlight w:val="none"/>
          <w:lang w:val="zh-CN" w:bidi="zh-CN"/>
        </w:rPr>
        <w:t>。</w:t>
      </w:r>
    </w:p>
    <w:p w14:paraId="4F32A2F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不同供应商的投标响应文件由同一供应商送达或者分发</w:t>
      </w:r>
      <w:r>
        <w:rPr>
          <w:rFonts w:hint="eastAsia" w:eastAsia="仿宋_GB2312"/>
          <w:spacing w:val="-10"/>
          <w:kern w:val="0"/>
          <w:sz w:val="32"/>
          <w:szCs w:val="32"/>
          <w:highlight w:val="none"/>
          <w:lang w:val="zh-CN" w:bidi="zh-CN"/>
        </w:rPr>
        <w:t>。</w:t>
      </w:r>
    </w:p>
    <w:p w14:paraId="7E1F1E2E">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不同供应商的投标响应文件的实质性内容存在两处以上细节错误一致。</w:t>
      </w:r>
    </w:p>
    <w:p w14:paraId="27CFB131">
      <w:pPr>
        <w:spacing w:before="1" w:line="570" w:lineRule="exact"/>
        <w:ind w:firstLine="300" w:firstLineChars="1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投标响应文件的记录上传 IP 地址相同，且无法提供合理解释的， 应被认定为不同供应商委托同一单位或者个人办理投标事宜。</w:t>
      </w:r>
    </w:p>
    <w:p w14:paraId="57D32CDC">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供应商登录 IP 地址相同，且无法提供合理解释的，应被认定为不同供应商委托同一单位或者个人办理投标事宜。</w:t>
      </w:r>
    </w:p>
    <w:p w14:paraId="4C39F193">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供应商代表人联系方式相同</w:t>
      </w:r>
      <w:r>
        <w:rPr>
          <w:rFonts w:hint="eastAsia" w:eastAsia="仿宋_GB2312"/>
          <w:spacing w:val="-10"/>
          <w:kern w:val="0"/>
          <w:sz w:val="32"/>
          <w:szCs w:val="32"/>
          <w:highlight w:val="none"/>
          <w:lang w:val="zh-CN" w:bidi="zh-CN"/>
        </w:rPr>
        <w:t>。</w:t>
      </w:r>
    </w:p>
    <w:p w14:paraId="38DF8A86">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不同供应商的报价总价异常一致，或者差异化极大，或者呈规律性变化。</w:t>
      </w:r>
    </w:p>
    <w:p w14:paraId="2B26003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供应商一年内有三次及以上参加报名并购买采购文件后，不递交投标响应文件、不参加开标会议。</w:t>
      </w:r>
    </w:p>
    <w:p w14:paraId="21D586C9">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不同供应商的项目保证金由同一账户资金缴纳。</w:t>
      </w:r>
    </w:p>
    <w:p w14:paraId="1C12CE9F">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同一项目中各供应商存在关联关系 (人员关联、公司关联 ) 。</w:t>
      </w:r>
    </w:p>
    <w:p w14:paraId="480F559E">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供应商之间协商报价、技术方案等投标响应文件。</w:t>
      </w:r>
    </w:p>
    <w:p w14:paraId="2A69F26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投标响应过程中事先约定由某一特定供应商中标、成交。</w:t>
      </w:r>
    </w:p>
    <w:p w14:paraId="466F513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供应商之间商定部分供应商放弃采购活动或放弃成交。</w:t>
      </w:r>
    </w:p>
    <w:p w14:paraId="3AAE031A">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同一人或几个利害关系人携带两个以上供应商的资 料参与资格审查、领取采购文件资料等。</w:t>
      </w:r>
    </w:p>
    <w:p w14:paraId="0D4BD856">
      <w:pPr>
        <w:spacing w:before="1" w:line="570" w:lineRule="exact"/>
        <w:ind w:right="640" w:rightChars="200" w:firstLine="300" w:firstLineChars="100"/>
        <w:rPr>
          <w:rFonts w:hint="eastAsia"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同一项目中，不同供应商的法定代表人、委托代理人、项目负责人等在同一单位工作。</w:t>
      </w:r>
    </w:p>
    <w:p w14:paraId="417DA7D3">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不同供应商委托同一人或企业为其提供投标响应咨询服务。</w:t>
      </w:r>
    </w:p>
    <w:p w14:paraId="7F53F2DF">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供应商之间相互约定给予未中标的供应商以费用补偿。</w:t>
      </w:r>
    </w:p>
    <w:p w14:paraId="6A28D002">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不同供应商委托同一人办理响应事宜。</w:t>
      </w:r>
    </w:p>
    <w:p w14:paraId="31DBD1F4">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不同供应商的投标响应文件内容有明显雷同或错漏一致。</w:t>
      </w:r>
    </w:p>
    <w:p w14:paraId="6E77D2E3">
      <w:pPr>
        <w:spacing w:before="1" w:line="570" w:lineRule="exact"/>
        <w:ind w:right="640" w:rightChars="200" w:firstLine="300" w:firstLineChars="1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不同供应商的投标响应文件或者资格审查文件相互混装。</w:t>
      </w:r>
    </w:p>
    <w:p w14:paraId="0F5B77B3">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参加投标响应活动的人员不能提供其属于投标企业正式在职人员的有效证明。</w:t>
      </w:r>
    </w:p>
    <w:p w14:paraId="0C4E12D4">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递交投标响应文件截止时间前，多家供应商几乎同时发出撤回投标响应文件的声明。</w:t>
      </w:r>
    </w:p>
    <w:p w14:paraId="4B95BB35">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第一中标候选人无正当理由放弃中标。</w:t>
      </w:r>
    </w:p>
    <w:p w14:paraId="25C8CF36">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不同供应商的投标响应文件中的售后服务承诺表述异常一致。</w:t>
      </w:r>
    </w:p>
    <w:p w14:paraId="4CA83BB4">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一家公司挂靠数家有资质的企业参加投标，通过编制不同投标方案围标。</w:t>
      </w:r>
    </w:p>
    <w:p w14:paraId="60B1D0B1">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供应商故意按无效标条款制作无效投标响应文件。</w:t>
      </w:r>
    </w:p>
    <w:p w14:paraId="25AE614C">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投标响应项中数项报价雷同，又提供不出计算依据。</w:t>
      </w:r>
    </w:p>
    <w:p w14:paraId="6BD2EDC7">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二十九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主要设备价格极其相近。</w:t>
      </w:r>
    </w:p>
    <w:p w14:paraId="5673147C">
      <w:pPr>
        <w:spacing w:before="1" w:line="570" w:lineRule="exact"/>
        <w:ind w:right="640" w:rightChars="200" w:firstLine="300" w:firstLineChars="1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没有成本分析，擅调擅压，或者技术标雷同等。</w:t>
      </w:r>
    </w:p>
    <w:p w14:paraId="0E8BB15D">
      <w:pPr>
        <w:spacing w:before="1" w:line="570" w:lineRule="exact"/>
        <w:ind w:right="640" w:rightChars="200"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投标响应文件的装订形式、字体、图表、格式等类似，甚至相同。</w:t>
      </w:r>
    </w:p>
    <w:p w14:paraId="795DB567">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故意漏掉法人代表签字。</w:t>
      </w:r>
    </w:p>
    <w:p w14:paraId="55A57C12">
      <w:pPr>
        <w:spacing w:before="1" w:line="570" w:lineRule="exact"/>
        <w:ind w:firstLine="300" w:firstLineChars="1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法定代表人间相互参股。</w:t>
      </w:r>
    </w:p>
    <w:p w14:paraId="479C2072">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供应商利用两家公司参与同一项目。</w:t>
      </w:r>
    </w:p>
    <w:p w14:paraId="23199634">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参加谈判的供应商不足三家，前来响应的两家各找一家公司来谈判。</w:t>
      </w:r>
    </w:p>
    <w:p w14:paraId="3D0A0B38">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已有三家公司投标响应，出现了第四家供应商后，其中一家立刻要求使用第二套投标方案。</w:t>
      </w:r>
    </w:p>
    <w:p w14:paraId="058691D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供应商代表不知公司老总电话。</w:t>
      </w:r>
    </w:p>
    <w:p w14:paraId="255C8000">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供应商代表签名与名片不一致。</w:t>
      </w:r>
    </w:p>
    <w:p w14:paraId="31A12824">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三十九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供应商的手机属于同一集团号，或接通中的相关语音提示相同。</w:t>
      </w:r>
    </w:p>
    <w:p w14:paraId="3FF1B85C">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多家供应商的投标响应文件的暗标中，封面加盖同一单位公章。</w:t>
      </w:r>
    </w:p>
    <w:p w14:paraId="3CAA815E">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供应商之间相互约定，一致抬高报价。</w:t>
      </w:r>
    </w:p>
    <w:p w14:paraId="2E325F28">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供应商之间相互约定，在采购项目中轮流中标。</w:t>
      </w:r>
    </w:p>
    <w:p w14:paraId="101510ED">
      <w:pPr>
        <w:spacing w:before="1" w:line="570" w:lineRule="exact"/>
        <w:ind w:firstLine="300" w:firstLineChars="1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供应商人间相互约定，在采购项目中分别以高、中、低报价。</w:t>
      </w:r>
    </w:p>
    <w:p w14:paraId="6B0E3418">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供应商之间先内部竞价，内定中标人，然后再参加投标响应。</w:t>
      </w:r>
    </w:p>
    <w:p w14:paraId="55E93C6E">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投标响应文件中法人代表签字出自同一人之手。</w:t>
      </w:r>
    </w:p>
    <w:p w14:paraId="54D1F892">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多个供应商使用同一人或同一企业出具的投标保函。</w:t>
      </w:r>
    </w:p>
    <w:p w14:paraId="09B306B4">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 xml:space="preserve"> 除不可抗力因素外，报价与排名第二相差甚远的第一中标候选人放弃中标。</w:t>
      </w:r>
    </w:p>
    <w:p w14:paraId="4F0F1FE4">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不同供应商的投标响应文件相互书写了对方名称。</w:t>
      </w:r>
    </w:p>
    <w:p w14:paraId="61928B21">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四十九</w:t>
      </w: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 xml:space="preserve"> </w:t>
      </w:r>
      <w:r>
        <w:rPr>
          <w:rFonts w:eastAsia="仿宋_GB2312"/>
          <w:spacing w:val="-10"/>
          <w:kern w:val="0"/>
          <w:sz w:val="32"/>
          <w:szCs w:val="32"/>
          <w:highlight w:val="none"/>
          <w:lang w:val="zh-CN" w:bidi="zh-CN"/>
        </w:rPr>
        <w:t>一家供应商的投标响应文件中加盖了另一家投标人的公章。</w:t>
      </w:r>
    </w:p>
    <w:p w14:paraId="36E7FADD">
      <w:pPr>
        <w:spacing w:before="1" w:line="570" w:lineRule="exact"/>
        <w:ind w:firstLine="300" w:firstLineChars="1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一家供应商的投标响应文件装订了另一家供应商的文件材料，或出现了另一家法定代表人或授权代理人的签名。</w:t>
      </w:r>
    </w:p>
    <w:p w14:paraId="3B59D9FC">
      <w:pPr>
        <w:spacing w:line="570" w:lineRule="exact"/>
        <w:ind w:firstLine="580" w:firstLineChars="200"/>
        <w:outlineLvl w:val="0"/>
        <w:rPr>
          <w:rFonts w:hint="eastAsia" w:ascii="黑体" w:hAnsi="黑体" w:eastAsia="黑体" w:cs="黑体"/>
          <w:sz w:val="32"/>
          <w:szCs w:val="32"/>
          <w:highlight w:val="none"/>
        </w:rPr>
      </w:pPr>
      <w:r>
        <w:rPr>
          <w:rFonts w:hint="eastAsia" w:ascii="黑体" w:hAnsi="黑体" w:eastAsia="黑体" w:cs="黑体"/>
          <w:spacing w:val="-15"/>
          <w:sz w:val="32"/>
          <w:szCs w:val="32"/>
          <w:highlight w:val="none"/>
        </w:rPr>
        <w:t>二</w:t>
      </w:r>
      <w:r>
        <w:rPr>
          <w:rFonts w:hint="eastAsia" w:ascii="黑体" w:hAnsi="黑体" w:eastAsia="黑体" w:cs="黑体"/>
          <w:spacing w:val="-13"/>
          <w:sz w:val="32"/>
          <w:szCs w:val="32"/>
          <w:highlight w:val="none"/>
        </w:rPr>
        <w:t>、 采购单位与供应商之间</w:t>
      </w:r>
    </w:p>
    <w:p w14:paraId="7ABB56F0">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五十一</w:t>
      </w: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 xml:space="preserve"> </w:t>
      </w:r>
      <w:r>
        <w:rPr>
          <w:rFonts w:eastAsia="仿宋_GB2312"/>
          <w:spacing w:val="-10"/>
          <w:kern w:val="0"/>
          <w:sz w:val="32"/>
          <w:szCs w:val="32"/>
          <w:highlight w:val="none"/>
          <w:lang w:val="zh-CN" w:bidi="zh-CN"/>
        </w:rPr>
        <w:t>供应商直接或者间接从采购单位或者采购代理机构处获得其他供应商的相关情况并修改其投标文件或者投标响应文件。</w:t>
      </w:r>
    </w:p>
    <w:p w14:paraId="780FB80E">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供应商按照采购单位或者采购代理机构的授意撤换、修改投标响应文件。</w:t>
      </w:r>
    </w:p>
    <w:p w14:paraId="68970A73">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采购单位在采购前已经内定中标单位，组织供应商串通投标的或指使招标代理机构为内定的中标单位提供帮助。</w:t>
      </w:r>
    </w:p>
    <w:p w14:paraId="74F93630">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采购单位在规定的投标回应截止时间前开启投标响应文件。</w:t>
      </w:r>
    </w:p>
    <w:p w14:paraId="4B6B3133">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采购单位在规定的投标回应截止时间后允许供应商补充、撤换或更改投标响应文件。</w:t>
      </w:r>
    </w:p>
    <w:p w14:paraId="2E3E4463">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采购单位向利害关系人泄露底价、资格审查委员会或评标委员会名单，泄露资格审查或评标情况等应当保密的事项。</w:t>
      </w:r>
    </w:p>
    <w:p w14:paraId="0A6B60DB">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采购单位开标前与供应商就项目进行实质性沟通，或与供应商商定压低或抬高标价，中标后再给供应商或采购单 位额外补偿。</w:t>
      </w:r>
    </w:p>
    <w:p w14:paraId="36F9ABA1">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采购单位组织或协助供应商违规投标。</w:t>
      </w:r>
    </w:p>
    <w:p w14:paraId="3AA44224">
      <w:pPr>
        <w:spacing w:before="1" w:line="570" w:lineRule="exact"/>
        <w:ind w:firstLine="600" w:firstLineChars="2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五十九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采购单位与供应商委托同一造价咨询公司提供服务。</w:t>
      </w:r>
    </w:p>
    <w:p w14:paraId="5D6DDAEB">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多家供应商的投标响应与采购预算均相差无几。</w:t>
      </w:r>
    </w:p>
    <w:p w14:paraId="1CD2318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采购单位或代理机构与供应商之间约定给予未中标供应商一定的费用补偿。</w:t>
      </w:r>
    </w:p>
    <w:p w14:paraId="2BFB2A1F">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评标时，采购单位对评标委员会进行倾向性引导或干扰正常评标秩序。</w:t>
      </w:r>
    </w:p>
    <w:p w14:paraId="2B0E2C72">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 xml:space="preserve"> 采购单位指使、暗示或强迫评标委员会推荐的中标候选人放弃中标。</w:t>
      </w:r>
    </w:p>
    <w:p w14:paraId="11AA0E3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采购单位无正当理由拒绝与中标候选人签订合同。</w:t>
      </w:r>
    </w:p>
    <w:p w14:paraId="4B02AFE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采购单位在开标前将投标响应情况告知其他供应商。</w:t>
      </w:r>
    </w:p>
    <w:p w14:paraId="1FB8DD66">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采购单位将一个既定标段拆分成多个标段，然后将意向的中标人分别安排在不同的标段， 同时商定由中标人支付其他供应商一定数额的补偿费用，让各方利益均沾。</w:t>
      </w:r>
    </w:p>
    <w:p w14:paraId="2FEC35D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供应商与采购单位或招标代理机构间串通，事先内定中标单位，然后通过场外交易，获取中标。</w:t>
      </w:r>
    </w:p>
    <w:p w14:paraId="6B399F50">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在一些工程招投标中，供应商与采购单位采取欺诈的方式，低于成本价中标，然后在施工中采取变更工程量、多 算工程量或材料人工费等手段提高决算价格。</w:t>
      </w:r>
    </w:p>
    <w:p w14:paraId="6CDB2994">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六十九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采购单位授意自己中意的无资质公司与有资质的公司商议，以有资质的公司的名义投标，并给予一定报酬。中标后，由无资质公司履约。</w:t>
      </w:r>
    </w:p>
    <w:p w14:paraId="0368B59E">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采购单位向协议供货商询价，但结算时，同品牌、同型号、同期该产品，其他采购单位的购买价格远远低于采购单位所购买的价格。</w:t>
      </w:r>
    </w:p>
    <w:p w14:paraId="57B47DE1">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最低价决标的项目，中标人的报价比第二中标候选人高， 所投产品质量也不如排名第二的公司。</w:t>
      </w:r>
    </w:p>
    <w:p w14:paraId="74149C68">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采购单位向投标利害关系人泄露投标人名称、数量等。</w:t>
      </w:r>
    </w:p>
    <w:p w14:paraId="0CDC76E6">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采购单位发现一个供应商代表在开标记录表上签多个供应商代表的名字却不制止。</w:t>
      </w:r>
    </w:p>
    <w:p w14:paraId="58EBB438">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采购单位发现不同供应商的法定代表人、委托代理人、项目负责人、项目总监等有在同一单位缴纳社会保险情形而不制止，反而同意其继续参加投标。</w:t>
      </w:r>
    </w:p>
    <w:p w14:paraId="5297641A">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采购单位对由同一人或存在利益关系的几个利害关系人携带两个以上供应商的企业资料参与资格审查、领取招 标资料等情形视而不见。</w:t>
      </w:r>
    </w:p>
    <w:p w14:paraId="704B500B">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七十六</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采购单位在资格审查或开标时，发现不同供应商的投标资料混装等情形而不制止。</w:t>
      </w:r>
    </w:p>
    <w:p w14:paraId="184E0EC7">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七十七</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采购单位为参与建设工程的供应商提供影响公平竞争的咨询服务或为其制作投标资料。</w:t>
      </w:r>
    </w:p>
    <w:p w14:paraId="6C050C1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七十八</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采购单位对供应商投标时的明显串标行为视而不见。</w:t>
      </w:r>
    </w:p>
    <w:p w14:paraId="2CF91B5B">
      <w:pPr>
        <w:spacing w:before="1" w:line="570" w:lineRule="exact"/>
        <w:ind w:firstLine="600" w:firstLineChars="200"/>
        <w:rPr>
          <w:highlight w:val="none"/>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七十九</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代理机构标前悄悄组织仅几家公司参加的现场勘查。</w:t>
      </w:r>
    </w:p>
    <w:p w14:paraId="45F21618">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采购单位授意审查委员会或者评标委员会对申请人或者供应商进行区别对待。</w:t>
      </w:r>
    </w:p>
    <w:p w14:paraId="76E5D5FB">
      <w:pPr>
        <w:spacing w:before="1" w:line="570" w:lineRule="exact"/>
        <w:ind w:left="6" w:firstLine="408"/>
        <w:rPr>
          <w:rFonts w:hint="eastAsia" w:ascii="黑体" w:hAnsi="黑体" w:eastAsia="黑体" w:cs="黑体"/>
          <w:spacing w:val="-10"/>
          <w:kern w:val="0"/>
          <w:sz w:val="32"/>
          <w:szCs w:val="32"/>
          <w:highlight w:val="none"/>
          <w:lang w:val="zh-CN" w:bidi="zh-CN"/>
        </w:rPr>
      </w:pPr>
      <w:r>
        <w:rPr>
          <w:rFonts w:hint="eastAsia" w:ascii="黑体" w:hAnsi="黑体" w:eastAsia="黑体" w:cs="黑体"/>
          <w:spacing w:val="-10"/>
          <w:kern w:val="0"/>
          <w:sz w:val="32"/>
          <w:szCs w:val="32"/>
          <w:highlight w:val="none"/>
          <w:lang w:val="zh-CN" w:bidi="zh-CN"/>
        </w:rPr>
        <w:t>三、供应商与评审专家之间</w:t>
      </w:r>
    </w:p>
    <w:p w14:paraId="72C55AC3">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八十一</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 xml:space="preserve">评审专家明知与供应商有利害关系而不主动回避。 </w:t>
      </w:r>
    </w:p>
    <w:p w14:paraId="1FD7219F">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八十二</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评审专家发现供应商投标响应文件中存在不符合采购文件的规定而不指出。</w:t>
      </w:r>
    </w:p>
    <w:p w14:paraId="68AD8D5B">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八十三</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评审专家发现供应商投标响应中存在明显不合理报价而不指出。</w:t>
      </w:r>
    </w:p>
    <w:p w14:paraId="12F88575">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八十四</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评审专家发现供应商技术部分存在明显不合理或内容缺漏而不指出。</w:t>
      </w:r>
    </w:p>
    <w:p w14:paraId="0B657F6B">
      <w:pPr>
        <w:spacing w:before="1" w:line="570" w:lineRule="exact"/>
        <w:ind w:firstLine="600" w:firstLineChars="200"/>
        <w:rPr>
          <w:rFonts w:eastAsia="仿宋_GB2312"/>
          <w:spacing w:val="-10"/>
          <w:kern w:val="0"/>
          <w:sz w:val="32"/>
          <w:szCs w:val="32"/>
          <w:highlight w:val="none"/>
          <w:lang w:val="zh-CN" w:bidi="zh-CN"/>
        </w:rPr>
      </w:pPr>
      <w:r>
        <w:rPr>
          <w:rFonts w:hint="eastAsia" w:eastAsia="仿宋_GB2312"/>
          <w:spacing w:val="-10"/>
          <w:kern w:val="0"/>
          <w:sz w:val="32"/>
          <w:szCs w:val="32"/>
          <w:highlight w:val="none"/>
          <w:lang w:val="zh-CN" w:bidi="zh-CN"/>
        </w:rPr>
        <w:t>（</w:t>
      </w:r>
      <w:r>
        <w:rPr>
          <w:rFonts w:hint="eastAsia" w:eastAsia="仿宋_GB2312"/>
          <w:spacing w:val="-10"/>
          <w:kern w:val="0"/>
          <w:sz w:val="32"/>
          <w:szCs w:val="32"/>
          <w:highlight w:val="none"/>
          <w:lang w:bidi="zh-CN"/>
        </w:rPr>
        <w:t>八十五</w:t>
      </w:r>
      <w:r>
        <w:rPr>
          <w:rFonts w:hint="eastAsia" w:eastAsia="仿宋_GB2312"/>
          <w:spacing w:val="-10"/>
          <w:kern w:val="0"/>
          <w:sz w:val="32"/>
          <w:szCs w:val="32"/>
          <w:highlight w:val="none"/>
          <w:lang w:val="zh-CN" w:bidi="zh-CN"/>
        </w:rPr>
        <w:t>）</w:t>
      </w:r>
      <w:r>
        <w:rPr>
          <w:rFonts w:eastAsia="仿宋_GB2312"/>
          <w:spacing w:val="-10"/>
          <w:kern w:val="0"/>
          <w:sz w:val="32"/>
          <w:szCs w:val="32"/>
          <w:highlight w:val="none"/>
          <w:lang w:val="zh-CN" w:bidi="zh-CN"/>
        </w:rPr>
        <w:t>评审专家进行分值评审时， 在没有合理理由的情况下，有意给某一供应商高分值而压低其他供应商分值，或不按照采购文件规定打分等评分异常。</w:t>
      </w:r>
    </w:p>
    <w:p w14:paraId="2923E1D0">
      <w:pPr>
        <w:spacing w:before="1"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(八十六)</w:t>
      </w:r>
      <w:r>
        <w:rPr>
          <w:rFonts w:hint="eastAsia" w:eastAsia="仿宋_GB2312"/>
          <w:spacing w:val="-10"/>
          <w:kern w:val="0"/>
          <w:sz w:val="32"/>
          <w:szCs w:val="32"/>
          <w:highlight w:val="none"/>
          <w:lang w:bidi="zh-CN"/>
        </w:rPr>
        <w:t xml:space="preserve"> </w:t>
      </w:r>
      <w:r>
        <w:rPr>
          <w:rFonts w:eastAsia="仿宋_GB2312"/>
          <w:spacing w:val="-10"/>
          <w:kern w:val="0"/>
          <w:sz w:val="32"/>
          <w:szCs w:val="32"/>
          <w:highlight w:val="none"/>
          <w:lang w:val="zh-CN" w:bidi="zh-CN"/>
        </w:rPr>
        <w:t>投标响应文件的暗标部分，供应商做了特殊记号。</w:t>
      </w:r>
    </w:p>
    <w:p w14:paraId="365C4855">
      <w:pPr>
        <w:spacing w:before="1" w:line="570" w:lineRule="exact"/>
        <w:ind w:left="6" w:firstLine="408"/>
        <w:rPr>
          <w:rFonts w:hint="eastAsia" w:ascii="黑体" w:hAnsi="黑体" w:eastAsia="黑体" w:cs="黑体"/>
          <w:spacing w:val="-10"/>
          <w:kern w:val="0"/>
          <w:sz w:val="32"/>
          <w:szCs w:val="32"/>
          <w:highlight w:val="none"/>
          <w:lang w:val="zh-CN" w:bidi="zh-CN"/>
        </w:rPr>
      </w:pPr>
      <w:r>
        <w:rPr>
          <w:rFonts w:hint="eastAsia" w:ascii="黑体" w:hAnsi="黑体" w:eastAsia="黑体" w:cs="黑体"/>
          <w:spacing w:val="-10"/>
          <w:kern w:val="0"/>
          <w:sz w:val="32"/>
          <w:szCs w:val="32"/>
          <w:highlight w:val="none"/>
          <w:lang w:val="zh-CN" w:bidi="zh-CN"/>
        </w:rPr>
        <w:t>四、中粮糖业认定的其它串标围标嫌疑的情形</w:t>
      </w:r>
    </w:p>
    <w:p w14:paraId="27F55388">
      <w:pPr>
        <w:spacing w:line="570" w:lineRule="exact"/>
        <w:jc w:val="center"/>
        <w:rPr>
          <w:rFonts w:ascii="黑体" w:hAnsi="黑体" w:eastAsia="黑体" w:cs="黑体"/>
          <w:sz w:val="32"/>
          <w:szCs w:val="32"/>
          <w:highlight w:val="none"/>
        </w:rPr>
      </w:pPr>
      <w:r>
        <w:rPr>
          <w:rFonts w:ascii="黑体" w:hAnsi="黑体" w:eastAsia="黑体" w:cs="黑体"/>
          <w:spacing w:val="-1"/>
          <w:sz w:val="32"/>
          <w:szCs w:val="32"/>
          <w:highlight w:val="none"/>
        </w:rPr>
        <w:t>第四章 监督处</w:t>
      </w:r>
      <w:r>
        <w:rPr>
          <w:rFonts w:ascii="黑体" w:hAnsi="黑体" w:eastAsia="黑体" w:cs="黑体"/>
          <w:sz w:val="32"/>
          <w:szCs w:val="32"/>
          <w:highlight w:val="none"/>
        </w:rPr>
        <w:t>理</w:t>
      </w:r>
    </w:p>
    <w:p w14:paraId="04D86221">
      <w:pPr>
        <w:spacing w:before="104" w:line="570" w:lineRule="exact"/>
        <w:ind w:left="6" w:right="168"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第十条《中华人民共和国招标投标法》第五十三条规定：</w:t>
      </w:r>
    </w:p>
    <w:p w14:paraId="53811096">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 得；情节严重的，取消其一年至二年内参加依法必须进行招标的项目的投标资格并予以公告，直至由工商行政管理机关吊销 营业执照；构成犯罪的，依法追究刑事责任。给他人造成损失的，依法承担赔偿责任。</w:t>
      </w:r>
    </w:p>
    <w:p w14:paraId="4572BBE9">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第十一条 《招投标法实施条例》对情节严重行为进行进一步界定：</w:t>
      </w:r>
      <w:r>
        <w:rPr>
          <w:rFonts w:hint="eastAsia" w:ascii="仿宋_GB2312" w:hAnsi="仿宋_GB2312" w:eastAsia="仿宋_GB2312" w:cs="仿宋_GB2312"/>
          <w:spacing w:val="-10"/>
          <w:kern w:val="0"/>
          <w:sz w:val="32"/>
          <w:szCs w:val="32"/>
          <w:highlight w:val="none"/>
          <w:lang w:val="zh-CN" w:bidi="zh-CN"/>
        </w:rPr>
        <w:t>（</w:t>
      </w:r>
      <w:r>
        <w:rPr>
          <w:rFonts w:hint="eastAsia" w:ascii="仿宋_GB2312" w:hAnsi="仿宋_GB2312" w:eastAsia="仿宋_GB2312" w:cs="仿宋_GB2312"/>
          <w:spacing w:val="-10"/>
          <w:kern w:val="0"/>
          <w:sz w:val="32"/>
          <w:szCs w:val="32"/>
          <w:highlight w:val="none"/>
          <w:lang w:bidi="zh-CN"/>
        </w:rPr>
        <w:t>1</w:t>
      </w:r>
      <w:r>
        <w:rPr>
          <w:rFonts w:hint="eastAsia" w:ascii="仿宋_GB2312" w:hAnsi="仿宋_GB2312" w:eastAsia="仿宋_GB2312" w:cs="仿宋_GB2312"/>
          <w:spacing w:val="-10"/>
          <w:kern w:val="0"/>
          <w:sz w:val="32"/>
          <w:szCs w:val="32"/>
          <w:highlight w:val="none"/>
          <w:lang w:val="zh-CN" w:bidi="zh-CN"/>
        </w:rPr>
        <w:t>）</w:t>
      </w:r>
      <w:r>
        <w:rPr>
          <w:rFonts w:eastAsia="仿宋_GB2312"/>
          <w:spacing w:val="-10"/>
          <w:kern w:val="0"/>
          <w:sz w:val="32"/>
          <w:szCs w:val="32"/>
          <w:highlight w:val="none"/>
          <w:lang w:val="zh-CN" w:bidi="zh-CN"/>
        </w:rPr>
        <w:t>以行贿谋取中标；</w:t>
      </w:r>
      <w:r>
        <w:rPr>
          <w:rFonts w:hint="eastAsia" w:ascii="仿宋_GB2312" w:hAnsi="仿宋_GB2312" w:eastAsia="仿宋_GB2312" w:cs="仿宋_GB2312"/>
          <w:spacing w:val="-10"/>
          <w:kern w:val="0"/>
          <w:sz w:val="32"/>
          <w:szCs w:val="32"/>
          <w:highlight w:val="none"/>
          <w:lang w:val="zh-CN" w:bidi="zh-CN"/>
        </w:rPr>
        <w:t>（</w:t>
      </w:r>
      <w:r>
        <w:rPr>
          <w:rFonts w:hint="eastAsia" w:ascii="仿宋_GB2312" w:hAnsi="仿宋_GB2312" w:eastAsia="仿宋_GB2312" w:cs="仿宋_GB2312"/>
          <w:spacing w:val="-10"/>
          <w:kern w:val="0"/>
          <w:sz w:val="32"/>
          <w:szCs w:val="32"/>
          <w:highlight w:val="none"/>
          <w:lang w:bidi="zh-CN"/>
        </w:rPr>
        <w:t>2</w:t>
      </w:r>
      <w:r>
        <w:rPr>
          <w:rFonts w:hint="eastAsia" w:ascii="仿宋_GB2312" w:hAnsi="仿宋_GB2312" w:eastAsia="仿宋_GB2312" w:cs="仿宋_GB2312"/>
          <w:spacing w:val="-10"/>
          <w:kern w:val="0"/>
          <w:sz w:val="32"/>
          <w:szCs w:val="32"/>
          <w:highlight w:val="none"/>
          <w:lang w:val="zh-CN" w:bidi="zh-CN"/>
        </w:rPr>
        <w:t>）</w:t>
      </w:r>
      <w:r>
        <w:rPr>
          <w:rFonts w:hint="eastAsia" w:ascii="仿宋_GB2312" w:hAnsi="仿宋_GB2312" w:eastAsia="仿宋_GB2312" w:cs="仿宋_GB2312"/>
          <w:spacing w:val="-10"/>
          <w:kern w:val="0"/>
          <w:sz w:val="32"/>
          <w:szCs w:val="32"/>
          <w:highlight w:val="none"/>
          <w:lang w:bidi="zh-CN"/>
        </w:rPr>
        <w:t>3</w:t>
      </w:r>
      <w:r>
        <w:rPr>
          <w:rFonts w:eastAsia="仿宋_GB2312"/>
          <w:spacing w:val="-10"/>
          <w:kern w:val="0"/>
          <w:sz w:val="32"/>
          <w:szCs w:val="32"/>
          <w:highlight w:val="none"/>
          <w:lang w:val="zh-CN" w:bidi="zh-CN"/>
        </w:rPr>
        <w:t>年内</w:t>
      </w:r>
      <w:r>
        <w:rPr>
          <w:rFonts w:hint="eastAsia" w:ascii="仿宋_GB2312" w:hAnsi="仿宋_GB2312" w:eastAsia="仿宋_GB2312" w:cs="仿宋_GB2312"/>
          <w:spacing w:val="-10"/>
          <w:kern w:val="0"/>
          <w:sz w:val="32"/>
          <w:szCs w:val="32"/>
          <w:highlight w:val="none"/>
          <w:lang w:bidi="zh-CN"/>
        </w:rPr>
        <w:t>2</w:t>
      </w:r>
      <w:r>
        <w:rPr>
          <w:rFonts w:hint="eastAsia" w:ascii="仿宋_GB2312" w:hAnsi="仿宋_GB2312" w:eastAsia="仿宋_GB2312" w:cs="仿宋_GB2312"/>
          <w:spacing w:val="-10"/>
          <w:kern w:val="0"/>
          <w:sz w:val="32"/>
          <w:szCs w:val="32"/>
          <w:highlight w:val="none"/>
          <w:lang w:val="zh-CN" w:bidi="zh-CN"/>
        </w:rPr>
        <w:t>次</w:t>
      </w:r>
      <w:r>
        <w:rPr>
          <w:rFonts w:eastAsia="仿宋_GB2312"/>
          <w:spacing w:val="-10"/>
          <w:kern w:val="0"/>
          <w:sz w:val="32"/>
          <w:szCs w:val="32"/>
          <w:highlight w:val="none"/>
          <w:lang w:val="zh-CN" w:bidi="zh-CN"/>
        </w:rPr>
        <w:t>以上串通投标</w:t>
      </w:r>
      <w:r>
        <w:rPr>
          <w:rFonts w:hint="eastAsia" w:ascii="仿宋_GB2312" w:hAnsi="仿宋_GB2312" w:eastAsia="仿宋_GB2312" w:cs="仿宋_GB2312"/>
          <w:spacing w:val="-10"/>
          <w:kern w:val="0"/>
          <w:sz w:val="32"/>
          <w:szCs w:val="32"/>
          <w:highlight w:val="none"/>
          <w:lang w:val="zh-CN" w:bidi="zh-CN"/>
        </w:rPr>
        <w:t>；（</w:t>
      </w:r>
      <w:r>
        <w:rPr>
          <w:rFonts w:hint="eastAsia" w:ascii="仿宋_GB2312" w:hAnsi="仿宋_GB2312" w:eastAsia="仿宋_GB2312" w:cs="仿宋_GB2312"/>
          <w:spacing w:val="-10"/>
          <w:kern w:val="0"/>
          <w:sz w:val="32"/>
          <w:szCs w:val="32"/>
          <w:highlight w:val="none"/>
          <w:lang w:bidi="zh-CN"/>
        </w:rPr>
        <w:t>3</w:t>
      </w:r>
      <w:r>
        <w:rPr>
          <w:rFonts w:hint="eastAsia" w:ascii="仿宋_GB2312" w:hAnsi="仿宋_GB2312" w:eastAsia="仿宋_GB2312" w:cs="仿宋_GB2312"/>
          <w:spacing w:val="-10"/>
          <w:kern w:val="0"/>
          <w:sz w:val="32"/>
          <w:szCs w:val="32"/>
          <w:highlight w:val="none"/>
          <w:lang w:val="zh-CN" w:bidi="zh-CN"/>
        </w:rPr>
        <w:t>）</w:t>
      </w:r>
      <w:r>
        <w:rPr>
          <w:rFonts w:eastAsia="仿宋_GB2312"/>
          <w:spacing w:val="-10"/>
          <w:kern w:val="0"/>
          <w:sz w:val="32"/>
          <w:szCs w:val="32"/>
          <w:highlight w:val="none"/>
          <w:lang w:val="zh-CN" w:bidi="zh-CN"/>
        </w:rPr>
        <w:t>串通投标行为损害招标人、其他投标人或者国家、集体、公民的合法利益，造成直接经济损</w:t>
      </w:r>
      <w:r>
        <w:rPr>
          <w:rFonts w:hint="eastAsia" w:ascii="仿宋_GB2312" w:hAnsi="仿宋_GB2312" w:eastAsia="仿宋_GB2312" w:cs="仿宋_GB2312"/>
          <w:spacing w:val="-10"/>
          <w:kern w:val="0"/>
          <w:sz w:val="32"/>
          <w:szCs w:val="32"/>
          <w:highlight w:val="none"/>
          <w:lang w:val="zh-CN" w:bidi="zh-CN"/>
        </w:rPr>
        <w:t>失 30万元</w:t>
      </w:r>
      <w:r>
        <w:rPr>
          <w:rFonts w:eastAsia="仿宋_GB2312"/>
          <w:spacing w:val="-10"/>
          <w:kern w:val="0"/>
          <w:sz w:val="32"/>
          <w:szCs w:val="32"/>
          <w:highlight w:val="none"/>
          <w:lang w:val="zh-CN" w:bidi="zh-CN"/>
        </w:rPr>
        <w:t>以上</w:t>
      </w:r>
      <w:r>
        <w:rPr>
          <w:rFonts w:hint="eastAsia" w:ascii="仿宋_GB2312" w:hAnsi="仿宋_GB2312" w:eastAsia="仿宋_GB2312" w:cs="仿宋_GB2312"/>
          <w:spacing w:val="-10"/>
          <w:kern w:val="0"/>
          <w:sz w:val="32"/>
          <w:szCs w:val="32"/>
          <w:highlight w:val="none"/>
          <w:lang w:val="zh-CN" w:bidi="zh-CN"/>
        </w:rPr>
        <w:t>；（</w:t>
      </w:r>
      <w:r>
        <w:rPr>
          <w:rFonts w:hint="eastAsia" w:ascii="仿宋_GB2312" w:hAnsi="仿宋_GB2312" w:eastAsia="仿宋_GB2312" w:cs="仿宋_GB2312"/>
          <w:spacing w:val="-10"/>
          <w:kern w:val="0"/>
          <w:sz w:val="32"/>
          <w:szCs w:val="32"/>
          <w:highlight w:val="none"/>
          <w:lang w:bidi="zh-CN"/>
        </w:rPr>
        <w:t>4</w:t>
      </w:r>
      <w:r>
        <w:rPr>
          <w:rFonts w:hint="eastAsia" w:ascii="仿宋_GB2312" w:hAnsi="仿宋_GB2312" w:eastAsia="仿宋_GB2312" w:cs="仿宋_GB2312"/>
          <w:spacing w:val="-10"/>
          <w:kern w:val="0"/>
          <w:sz w:val="32"/>
          <w:szCs w:val="32"/>
          <w:highlight w:val="none"/>
          <w:lang w:val="zh-CN" w:bidi="zh-CN"/>
        </w:rPr>
        <w:t>）</w:t>
      </w:r>
      <w:r>
        <w:rPr>
          <w:rFonts w:eastAsia="仿宋_GB2312"/>
          <w:spacing w:val="-10"/>
          <w:kern w:val="0"/>
          <w:sz w:val="32"/>
          <w:szCs w:val="32"/>
          <w:highlight w:val="none"/>
          <w:lang w:val="zh-CN" w:bidi="zh-CN"/>
        </w:rPr>
        <w:t>其他串通投标情节严重的行为。投标人自上述规定的处罚执行期限届 满之日起3年内又有该款所列违法行为之一的，或者串通投标、以行贿谋取中标情节特别严重的，由工商行政管理机关吊销营业执照。</w:t>
      </w:r>
    </w:p>
    <w:p w14:paraId="0C2A8E1A">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第十二条 投标人或者其他利害关系人发现招标投标活动中存在串通投标行为的，可以向招标(采购)人提出或者依法向行政监督部门或纪检监察部门提出投诉并提供相关证据或线索。</w:t>
      </w:r>
    </w:p>
    <w:p w14:paraId="42301306">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第十三条 评标委员会成员存在违法行为的，应及时予以纠正，无法纠正的，取消其评标资格，评标无效，应当依法重新评标。</w:t>
      </w:r>
    </w:p>
    <w:p w14:paraId="09A4CDA1">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第十四条 招标人和投标人存在串通投标行为的，招标无效，应当依法重新招标。</w:t>
      </w:r>
    </w:p>
    <w:p w14:paraId="57749D6C">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第十五条 招标代理机构有串通投标行为的，招标人应取消其对该项目的招标代理资格，重新选择招标代理机构后重新招标。</w:t>
      </w:r>
    </w:p>
    <w:p w14:paraId="43128271">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第十六条 投标人有串通投标行为的，其投标无效，已经中标的，中标无效。因投标人串通投标行为导致重新招标的，在重新招标时，招标人应拒绝其参与本项目投标，给招标人造成损失的，应依法承担赔偿责任，且列入黑名单库。</w:t>
      </w:r>
    </w:p>
    <w:p w14:paraId="0A7547A6">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第十七条 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14:paraId="33E289A2">
      <w:pPr>
        <w:spacing w:before="1" w:line="570" w:lineRule="exact"/>
        <w:jc w:val="center"/>
        <w:rPr>
          <w:rFonts w:ascii="黑体" w:hAnsi="黑体" w:eastAsia="黑体" w:cs="黑体"/>
          <w:sz w:val="32"/>
          <w:szCs w:val="32"/>
          <w:highlight w:val="none"/>
        </w:rPr>
      </w:pPr>
      <w:r>
        <w:rPr>
          <w:rFonts w:ascii="黑体" w:hAnsi="黑体" w:eastAsia="黑体" w:cs="黑体"/>
          <w:spacing w:val="1"/>
          <w:sz w:val="32"/>
          <w:szCs w:val="32"/>
          <w:highlight w:val="none"/>
        </w:rPr>
        <w:t>第五</w:t>
      </w:r>
      <w:r>
        <w:rPr>
          <w:rFonts w:ascii="黑体" w:hAnsi="黑体" w:eastAsia="黑体" w:cs="黑体"/>
          <w:sz w:val="32"/>
          <w:szCs w:val="32"/>
          <w:highlight w:val="none"/>
        </w:rPr>
        <w:t>章 附 则</w:t>
      </w:r>
    </w:p>
    <w:p w14:paraId="0D796FD0">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第十八条 制度解释</w:t>
      </w:r>
    </w:p>
    <w:p w14:paraId="09B9E135">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本办法由战略与运营管理部负责解释和修订。</w:t>
      </w:r>
    </w:p>
    <w:p w14:paraId="3C9B2E2F">
      <w:pPr>
        <w:spacing w:line="570" w:lineRule="exact"/>
        <w:ind w:firstLine="600" w:firstLineChars="200"/>
        <w:rPr>
          <w:rFonts w:eastAsia="仿宋_GB2312"/>
          <w:spacing w:val="-10"/>
          <w:kern w:val="0"/>
          <w:sz w:val="32"/>
          <w:szCs w:val="32"/>
          <w:highlight w:val="none"/>
          <w:lang w:val="zh-CN" w:bidi="zh-CN"/>
        </w:rPr>
      </w:pPr>
      <w:r>
        <w:rPr>
          <w:rFonts w:eastAsia="仿宋_GB2312"/>
          <w:spacing w:val="-10"/>
          <w:kern w:val="0"/>
          <w:sz w:val="32"/>
          <w:szCs w:val="32"/>
          <w:highlight w:val="none"/>
          <w:lang w:val="zh-CN" w:bidi="zh-CN"/>
        </w:rPr>
        <w:t>第十九条 制度生效</w:t>
      </w:r>
    </w:p>
    <w:p w14:paraId="5AAB5A02">
      <w:pPr>
        <w:spacing w:line="570" w:lineRule="exact"/>
        <w:ind w:firstLine="600" w:firstLineChars="200"/>
        <w:rPr>
          <w:highlight w:val="none"/>
        </w:rPr>
      </w:pPr>
      <w:r>
        <w:rPr>
          <w:rFonts w:eastAsia="仿宋_GB2312"/>
          <w:spacing w:val="-10"/>
          <w:kern w:val="0"/>
          <w:sz w:val="32"/>
          <w:szCs w:val="32"/>
          <w:highlight w:val="none"/>
          <w:lang w:val="zh-CN" w:bidi="zh-CN"/>
        </w:rPr>
        <w:t>本制度经中粮糖业总经理批准，自下发之日起生效。</w:t>
      </w:r>
    </w:p>
    <w:p w14:paraId="1473828E">
      <w:pPr>
        <w:pageBreakBefore w:val="0"/>
        <w:kinsoku/>
        <w:wordWrap w:val="0"/>
        <w:overflowPunct/>
        <w:topLinePunct w:val="0"/>
        <w:bidi w:val="0"/>
        <w:snapToGrid/>
        <w:spacing w:beforeAutospacing="0"/>
        <w:ind w:firstLine="640" w:firstLineChars="200"/>
        <w:rPr>
          <w:highlight w:val="none"/>
        </w:rPr>
      </w:pPr>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587" w:bottom="1440"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927C">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6B0D">
    <w:pPr>
      <w:spacing w:before="1" w:line="188" w:lineRule="auto"/>
      <w:jc w:val="right"/>
      <w:rPr>
        <w:rFonts w:ascii="宋体" w:hAnsi="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46663E">
                          <w:pPr>
                            <w:pStyle w:val="11"/>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446663E">
                    <w:pPr>
                      <w:pStyle w:val="11"/>
                      <w:rPr>
                        <w:rFonts w:hint="eastAsia" w:ascii="宋体" w:hAnsi="宋体" w:cs="宋体"/>
                        <w:sz w:val="21"/>
                        <w:szCs w:val="21"/>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6532">
    <w:pPr>
      <w:spacing w:line="188" w:lineRule="auto"/>
      <w:rPr>
        <w:rFonts w:ascii="宋体" w:hAnsi="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19D4A">
                          <w:pPr>
                            <w:pStyle w:val="11"/>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7919D4A">
                    <w:pPr>
                      <w:pStyle w:val="11"/>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w:rPr>
        <w:rFonts w:ascii="宋体" w:hAnsi="宋体" w:cs="宋体"/>
        <w:spacing w:val="6"/>
        <w:sz w:val="27"/>
        <w:szCs w:val="27"/>
      </w:rPr>
      <w:t>-</w:t>
    </w:r>
    <w:r>
      <w:rPr>
        <w:rFonts w:ascii="宋体" w:hAnsi="宋体" w:cs="宋体"/>
        <w:spacing w:val="4"/>
        <w:sz w:val="27"/>
        <w:szCs w:val="27"/>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943C">
    <w:pPr>
      <w:pStyle w:val="11"/>
      <w:ind w:firstLine="560"/>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AF9CE">
                          <w:pPr>
                            <w:pStyle w:val="11"/>
                            <w:ind w:firstLine="0" w:firstLineChars="0"/>
                            <w:jc w:val="center"/>
                            <w:rPr>
                              <w:rFonts w:ascii="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DDAF9CE">
                    <w:pPr>
                      <w:pStyle w:val="11"/>
                      <w:ind w:firstLine="0" w:firstLineChars="0"/>
                      <w:jc w:val="center"/>
                      <w:rPr>
                        <w:rFonts w:ascii="仿宋_GB2312"/>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DB47">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C32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026A">
    <w:pPr>
      <w:pStyle w:val="12"/>
      <w:tabs>
        <w:tab w:val="left" w:pos="6180"/>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7B7B">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8852">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4A4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6F067"/>
    <w:multiLevelType w:val="singleLevel"/>
    <w:tmpl w:val="0576F067"/>
    <w:lvl w:ilvl="0" w:tentative="0">
      <w:start w:val="1"/>
      <w:numFmt w:val="decimal"/>
      <w:suff w:val="space"/>
      <w:lvlText w:val="%1."/>
      <w:lvlJc w:val="left"/>
    </w:lvl>
  </w:abstractNum>
  <w:abstractNum w:abstractNumId="1">
    <w:nsid w:val="1E173F02"/>
    <w:multiLevelType w:val="singleLevel"/>
    <w:tmpl w:val="1E173F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NDM5OTNlMjI2YTIzYWIyOGRjNjY4MWZhNjM3YjkifQ=="/>
  </w:docVars>
  <w:rsids>
    <w:rsidRoot w:val="00F65648"/>
    <w:rsid w:val="00007F25"/>
    <w:rsid w:val="000315A3"/>
    <w:rsid w:val="000535C4"/>
    <w:rsid w:val="00055F20"/>
    <w:rsid w:val="0006604B"/>
    <w:rsid w:val="000A5925"/>
    <w:rsid w:val="000B5F83"/>
    <w:rsid w:val="000D12E4"/>
    <w:rsid w:val="001025B1"/>
    <w:rsid w:val="001060A6"/>
    <w:rsid w:val="0011669F"/>
    <w:rsid w:val="00120115"/>
    <w:rsid w:val="00133C90"/>
    <w:rsid w:val="00143863"/>
    <w:rsid w:val="00161CA4"/>
    <w:rsid w:val="0017031F"/>
    <w:rsid w:val="001909A2"/>
    <w:rsid w:val="001A0C36"/>
    <w:rsid w:val="001A16AD"/>
    <w:rsid w:val="001B201D"/>
    <w:rsid w:val="001B2762"/>
    <w:rsid w:val="001B2815"/>
    <w:rsid w:val="001C1EAF"/>
    <w:rsid w:val="00241CCB"/>
    <w:rsid w:val="00251D58"/>
    <w:rsid w:val="00270849"/>
    <w:rsid w:val="002F7D6B"/>
    <w:rsid w:val="00317577"/>
    <w:rsid w:val="00321D11"/>
    <w:rsid w:val="00335D05"/>
    <w:rsid w:val="003A2B6F"/>
    <w:rsid w:val="003A3FC9"/>
    <w:rsid w:val="003B7843"/>
    <w:rsid w:val="003E1828"/>
    <w:rsid w:val="003F7E9E"/>
    <w:rsid w:val="00446D5E"/>
    <w:rsid w:val="00457E01"/>
    <w:rsid w:val="00475BA0"/>
    <w:rsid w:val="004812D9"/>
    <w:rsid w:val="004D1156"/>
    <w:rsid w:val="004D529D"/>
    <w:rsid w:val="00503C99"/>
    <w:rsid w:val="00515E1D"/>
    <w:rsid w:val="0053006F"/>
    <w:rsid w:val="00551D37"/>
    <w:rsid w:val="0058637B"/>
    <w:rsid w:val="00595315"/>
    <w:rsid w:val="005A67B0"/>
    <w:rsid w:val="005B079E"/>
    <w:rsid w:val="005B7C60"/>
    <w:rsid w:val="005C3697"/>
    <w:rsid w:val="005D3B84"/>
    <w:rsid w:val="00605701"/>
    <w:rsid w:val="006172CA"/>
    <w:rsid w:val="0062783F"/>
    <w:rsid w:val="00683CAE"/>
    <w:rsid w:val="006C4739"/>
    <w:rsid w:val="006D209A"/>
    <w:rsid w:val="006D598F"/>
    <w:rsid w:val="006F0A02"/>
    <w:rsid w:val="007026EF"/>
    <w:rsid w:val="00704CC4"/>
    <w:rsid w:val="00710DEC"/>
    <w:rsid w:val="00711FA2"/>
    <w:rsid w:val="00716540"/>
    <w:rsid w:val="00716E24"/>
    <w:rsid w:val="00757A12"/>
    <w:rsid w:val="00765DC6"/>
    <w:rsid w:val="007852C7"/>
    <w:rsid w:val="0079504B"/>
    <w:rsid w:val="007B3C49"/>
    <w:rsid w:val="007B61BA"/>
    <w:rsid w:val="007C035B"/>
    <w:rsid w:val="007E01EA"/>
    <w:rsid w:val="007E6E7E"/>
    <w:rsid w:val="00866C59"/>
    <w:rsid w:val="0088495C"/>
    <w:rsid w:val="008B5B54"/>
    <w:rsid w:val="008E4B62"/>
    <w:rsid w:val="0090005C"/>
    <w:rsid w:val="00923948"/>
    <w:rsid w:val="00980A25"/>
    <w:rsid w:val="00983D6D"/>
    <w:rsid w:val="00991221"/>
    <w:rsid w:val="00992F27"/>
    <w:rsid w:val="009970D8"/>
    <w:rsid w:val="009B6FAC"/>
    <w:rsid w:val="00A87ACF"/>
    <w:rsid w:val="00AA3ED7"/>
    <w:rsid w:val="00AE5FFF"/>
    <w:rsid w:val="00AF3E78"/>
    <w:rsid w:val="00B17EA1"/>
    <w:rsid w:val="00B20E49"/>
    <w:rsid w:val="00B6072E"/>
    <w:rsid w:val="00B607B8"/>
    <w:rsid w:val="00B660CE"/>
    <w:rsid w:val="00B70DFC"/>
    <w:rsid w:val="00B8447D"/>
    <w:rsid w:val="00B92F6B"/>
    <w:rsid w:val="00BD77A4"/>
    <w:rsid w:val="00BE4039"/>
    <w:rsid w:val="00BE6E3A"/>
    <w:rsid w:val="00C06D9D"/>
    <w:rsid w:val="00C22671"/>
    <w:rsid w:val="00C22B25"/>
    <w:rsid w:val="00C627E0"/>
    <w:rsid w:val="00C76238"/>
    <w:rsid w:val="00CB50B7"/>
    <w:rsid w:val="00CB50F6"/>
    <w:rsid w:val="00CC1621"/>
    <w:rsid w:val="00D00E78"/>
    <w:rsid w:val="00D01473"/>
    <w:rsid w:val="00D26434"/>
    <w:rsid w:val="00D641A9"/>
    <w:rsid w:val="00DA53FE"/>
    <w:rsid w:val="00E0294C"/>
    <w:rsid w:val="00E15F29"/>
    <w:rsid w:val="00E90F74"/>
    <w:rsid w:val="00E94D37"/>
    <w:rsid w:val="00E9586E"/>
    <w:rsid w:val="00EA788F"/>
    <w:rsid w:val="00EB1356"/>
    <w:rsid w:val="00EB4CD5"/>
    <w:rsid w:val="00EC2D99"/>
    <w:rsid w:val="00ED76D0"/>
    <w:rsid w:val="00EE7A47"/>
    <w:rsid w:val="00EF1456"/>
    <w:rsid w:val="00F1080F"/>
    <w:rsid w:val="00F540C5"/>
    <w:rsid w:val="00F61371"/>
    <w:rsid w:val="00F65648"/>
    <w:rsid w:val="00FA4CEA"/>
    <w:rsid w:val="00FC28FF"/>
    <w:rsid w:val="00FE2A77"/>
    <w:rsid w:val="00FF364B"/>
    <w:rsid w:val="01C15229"/>
    <w:rsid w:val="03767EB5"/>
    <w:rsid w:val="052911E0"/>
    <w:rsid w:val="0B641126"/>
    <w:rsid w:val="0B781D5B"/>
    <w:rsid w:val="0DDA54E4"/>
    <w:rsid w:val="0E906BA8"/>
    <w:rsid w:val="136C61A9"/>
    <w:rsid w:val="172F4E1C"/>
    <w:rsid w:val="178B2535"/>
    <w:rsid w:val="1BC55DA5"/>
    <w:rsid w:val="1F8B3932"/>
    <w:rsid w:val="1FDE717F"/>
    <w:rsid w:val="24B670DC"/>
    <w:rsid w:val="286714C7"/>
    <w:rsid w:val="2CD05FD9"/>
    <w:rsid w:val="2DB375D3"/>
    <w:rsid w:val="2E6361D2"/>
    <w:rsid w:val="32865DE0"/>
    <w:rsid w:val="33852204"/>
    <w:rsid w:val="338903B1"/>
    <w:rsid w:val="348D258E"/>
    <w:rsid w:val="35D270D9"/>
    <w:rsid w:val="3ACC1306"/>
    <w:rsid w:val="3BDB4095"/>
    <w:rsid w:val="3DE30E4A"/>
    <w:rsid w:val="3FD3B460"/>
    <w:rsid w:val="42EA0907"/>
    <w:rsid w:val="43103A7C"/>
    <w:rsid w:val="46EA0279"/>
    <w:rsid w:val="499F5486"/>
    <w:rsid w:val="4B525741"/>
    <w:rsid w:val="4B5B97ED"/>
    <w:rsid w:val="4B7A6DA3"/>
    <w:rsid w:val="4D6D3BD7"/>
    <w:rsid w:val="4EFF9DA7"/>
    <w:rsid w:val="4F1B062B"/>
    <w:rsid w:val="501B4C8B"/>
    <w:rsid w:val="50E86F96"/>
    <w:rsid w:val="54AF4719"/>
    <w:rsid w:val="57E42FC0"/>
    <w:rsid w:val="58076F4C"/>
    <w:rsid w:val="58E04F7F"/>
    <w:rsid w:val="59051927"/>
    <w:rsid w:val="5AD42E4E"/>
    <w:rsid w:val="5BA57710"/>
    <w:rsid w:val="5C9430E9"/>
    <w:rsid w:val="5CB8136C"/>
    <w:rsid w:val="5F8F0AF5"/>
    <w:rsid w:val="5FA31096"/>
    <w:rsid w:val="69DA3644"/>
    <w:rsid w:val="6A393F26"/>
    <w:rsid w:val="6ABE2351"/>
    <w:rsid w:val="6B1B04E2"/>
    <w:rsid w:val="6F7E6093"/>
    <w:rsid w:val="70580F27"/>
    <w:rsid w:val="70DB2BB5"/>
    <w:rsid w:val="718A4F83"/>
    <w:rsid w:val="73F98733"/>
    <w:rsid w:val="7D9D1A7E"/>
    <w:rsid w:val="7DB87446"/>
    <w:rsid w:val="7FE56A8F"/>
    <w:rsid w:val="7FFFB23A"/>
    <w:rsid w:val="8F9FE69A"/>
    <w:rsid w:val="E67ED250"/>
    <w:rsid w:val="FBF7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Times New Roman" w:hAnsi="Times New Roman" w:eastAsia="仿宋_GB2312" w:cs="宋体"/>
      <w:kern w:val="2"/>
      <w:sz w:val="32"/>
      <w:szCs w:val="22"/>
      <w:lang w:val="en-US" w:eastAsia="zh-CN" w:bidi="ar-SA"/>
    </w:rPr>
  </w:style>
  <w:style w:type="paragraph" w:styleId="2">
    <w:name w:val="heading 1"/>
    <w:basedOn w:val="3"/>
    <w:next w:val="1"/>
    <w:link w:val="25"/>
    <w:autoRedefine/>
    <w:qFormat/>
    <w:uiPriority w:val="9"/>
    <w:pPr>
      <w:adjustRightInd w:val="0"/>
      <w:ind w:firstLine="0" w:firstLineChars="0"/>
      <w:jc w:val="center"/>
      <w:outlineLvl w:val="0"/>
    </w:pPr>
    <w:rPr>
      <w:rFonts w:eastAsia="仿宋_GB2312"/>
      <w:bCs w:val="0"/>
      <w:kern w:val="44"/>
      <w:szCs w:val="44"/>
    </w:rPr>
  </w:style>
  <w:style w:type="paragraph" w:styleId="3">
    <w:name w:val="heading 2"/>
    <w:basedOn w:val="1"/>
    <w:next w:val="1"/>
    <w:link w:val="26"/>
    <w:autoRedefine/>
    <w:unhideWhenUsed/>
    <w:qFormat/>
    <w:uiPriority w:val="9"/>
    <w:pPr>
      <w:keepNext/>
      <w:keepLines/>
      <w:outlineLvl w:val="1"/>
    </w:pPr>
    <w:rPr>
      <w:rFonts w:eastAsia="楷体_GB2312" w:cstheme="majorBidi"/>
      <w:b/>
      <w:bCs/>
      <w:szCs w:val="32"/>
    </w:rPr>
  </w:style>
  <w:style w:type="paragraph" w:styleId="4">
    <w:name w:val="heading 3"/>
    <w:basedOn w:val="1"/>
    <w:next w:val="1"/>
    <w:link w:val="27"/>
    <w:autoRedefine/>
    <w:unhideWhenUsed/>
    <w:qFormat/>
    <w:uiPriority w:val="9"/>
    <w:pPr>
      <w:keepNext/>
      <w:keepLines/>
      <w:spacing w:line="560" w:lineRule="exact"/>
      <w:outlineLvl w:val="2"/>
    </w:pPr>
    <w:rPr>
      <w:b/>
      <w:bCs/>
      <w:szCs w:val="32"/>
    </w:rPr>
  </w:style>
  <w:style w:type="paragraph" w:styleId="5">
    <w:name w:val="heading 4"/>
    <w:basedOn w:val="1"/>
    <w:next w:val="1"/>
    <w:link w:val="28"/>
    <w:autoRedefine/>
    <w:semiHidden/>
    <w:unhideWhenUsed/>
    <w:qFormat/>
    <w:uiPriority w:val="9"/>
    <w:pPr>
      <w:keepNext/>
      <w:keepLines/>
      <w:spacing w:line="560" w:lineRule="exact"/>
      <w:outlineLvl w:val="3"/>
    </w:pPr>
    <w:rPr>
      <w:rFonts w:eastAsia="黑体" w:cstheme="majorBidi"/>
      <w:bCs/>
      <w:szCs w:val="28"/>
    </w:rPr>
  </w:style>
  <w:style w:type="paragraph" w:styleId="6">
    <w:name w:val="heading 5"/>
    <w:basedOn w:val="1"/>
    <w:next w:val="1"/>
    <w:link w:val="33"/>
    <w:autoRedefine/>
    <w:semiHidden/>
    <w:unhideWhenUsed/>
    <w:qFormat/>
    <w:uiPriority w:val="9"/>
    <w:pPr>
      <w:keepNext/>
      <w:keepLines/>
      <w:spacing w:before="280" w:after="290" w:line="376" w:lineRule="atLeast"/>
      <w:outlineLvl w:val="4"/>
    </w:pPr>
    <w:rPr>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1"/>
    <w:autoRedefine/>
    <w:semiHidden/>
    <w:unhideWhenUsed/>
    <w:qFormat/>
    <w:uiPriority w:val="99"/>
    <w:pPr>
      <w:jc w:val="left"/>
    </w:pPr>
  </w:style>
  <w:style w:type="paragraph" w:styleId="8">
    <w:name w:val="Body Text"/>
    <w:basedOn w:val="1"/>
    <w:link w:val="34"/>
    <w:autoRedefine/>
    <w:unhideWhenUsed/>
    <w:qFormat/>
    <w:uiPriority w:val="99"/>
    <w:pPr>
      <w:autoSpaceDE w:val="0"/>
      <w:autoSpaceDN w:val="0"/>
      <w:adjustRightInd w:val="0"/>
      <w:spacing w:line="240" w:lineRule="auto"/>
      <w:ind w:firstLine="0" w:firstLineChars="0"/>
    </w:pPr>
    <w:rPr>
      <w:rFonts w:ascii="仿宋_GB2312" w:hAnsi="宋体"/>
      <w:b/>
      <w:bCs/>
      <w:color w:val="FF3300"/>
      <w:sz w:val="40"/>
      <w:szCs w:val="40"/>
    </w:rPr>
  </w:style>
  <w:style w:type="paragraph" w:styleId="9">
    <w:name w:val="Plain Text"/>
    <w:basedOn w:val="1"/>
    <w:link w:val="36"/>
    <w:autoRedefine/>
    <w:unhideWhenUsed/>
    <w:qFormat/>
    <w:uiPriority w:val="99"/>
    <w:pPr>
      <w:spacing w:line="240" w:lineRule="auto"/>
      <w:ind w:firstLine="0" w:firstLineChars="0"/>
    </w:pPr>
    <w:rPr>
      <w:rFonts w:ascii="宋体" w:hAnsi="Courier New" w:eastAsia="宋体"/>
      <w:sz w:val="21"/>
      <w:szCs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adjustRightInd w:val="0"/>
      <w:spacing w:line="360" w:lineRule="atLeast"/>
      <w:ind w:firstLine="0" w:firstLineChars="0"/>
      <w:jc w:val="left"/>
    </w:pPr>
    <w:rPr>
      <w:rFonts w:ascii="宋体" w:hAnsi="Courier New" w:eastAsia="宋体" w:cs="Courier New"/>
      <w:kern w:val="0"/>
      <w:sz w:val="21"/>
      <w:szCs w:val="21"/>
    </w:rPr>
  </w:style>
  <w:style w:type="paragraph" w:styleId="14">
    <w:name w:val="Title"/>
    <w:basedOn w:val="1"/>
    <w:next w:val="1"/>
    <w:link w:val="29"/>
    <w:autoRedefine/>
    <w:qFormat/>
    <w:uiPriority w:val="10"/>
    <w:pPr>
      <w:spacing w:line="440" w:lineRule="exact"/>
      <w:ind w:left="300" w:hanging="300" w:hangingChars="300"/>
      <w:jc w:val="left"/>
      <w:outlineLvl w:val="4"/>
    </w:pPr>
    <w:rPr>
      <w:rFonts w:cstheme="majorBidi"/>
      <w:bCs/>
      <w:sz w:val="28"/>
      <w:szCs w:val="32"/>
    </w:rPr>
  </w:style>
  <w:style w:type="paragraph" w:styleId="15">
    <w:name w:val="annotation subject"/>
    <w:basedOn w:val="7"/>
    <w:next w:val="7"/>
    <w:link w:val="32"/>
    <w:autoRedefine/>
    <w:semiHidden/>
    <w:unhideWhenUsed/>
    <w:qFormat/>
    <w:uiPriority w:val="99"/>
    <w:rPr>
      <w:b/>
      <w:bCs/>
    </w:rPr>
  </w:style>
  <w:style w:type="table" w:styleId="17">
    <w:name w:val="Table Grid"/>
    <w:basedOn w:val="1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autoRedefine/>
    <w:qFormat/>
    <w:uiPriority w:val="0"/>
  </w:style>
  <w:style w:type="character" w:styleId="20">
    <w:name w:val="Hyperlink"/>
    <w:autoRedefine/>
    <w:qFormat/>
    <w:uiPriority w:val="0"/>
    <w:rPr>
      <w:color w:val="0000FF"/>
      <w:u w:val="single"/>
    </w:rPr>
  </w:style>
  <w:style w:type="character" w:styleId="21">
    <w:name w:val="annotation reference"/>
    <w:basedOn w:val="18"/>
    <w:autoRedefine/>
    <w:semiHidden/>
    <w:unhideWhenUsed/>
    <w:qFormat/>
    <w:uiPriority w:val="99"/>
    <w:rPr>
      <w:sz w:val="21"/>
      <w:szCs w:val="21"/>
    </w:rPr>
  </w:style>
  <w:style w:type="character" w:customStyle="1" w:styleId="22">
    <w:name w:val="页脚 字符"/>
    <w:basedOn w:val="18"/>
    <w:link w:val="11"/>
    <w:autoRedefine/>
    <w:qFormat/>
    <w:uiPriority w:val="99"/>
    <w:rPr>
      <w:sz w:val="18"/>
      <w:szCs w:val="18"/>
    </w:rPr>
  </w:style>
  <w:style w:type="character" w:customStyle="1" w:styleId="23">
    <w:name w:val="页眉 字符"/>
    <w:basedOn w:val="18"/>
    <w:link w:val="12"/>
    <w:autoRedefine/>
    <w:qFormat/>
    <w:uiPriority w:val="99"/>
    <w:rPr>
      <w:sz w:val="18"/>
      <w:szCs w:val="18"/>
    </w:rPr>
  </w:style>
  <w:style w:type="paragraph" w:styleId="24">
    <w:name w:val="List Paragraph"/>
    <w:basedOn w:val="1"/>
    <w:autoRedefine/>
    <w:qFormat/>
    <w:uiPriority w:val="34"/>
    <w:pPr>
      <w:ind w:firstLine="420"/>
    </w:pPr>
  </w:style>
  <w:style w:type="character" w:customStyle="1" w:styleId="25">
    <w:name w:val="标题 1 字符"/>
    <w:basedOn w:val="18"/>
    <w:link w:val="2"/>
    <w:autoRedefine/>
    <w:qFormat/>
    <w:uiPriority w:val="9"/>
    <w:rPr>
      <w:rFonts w:eastAsia="仿宋_GB2312" w:cstheme="majorBidi"/>
      <w:b/>
      <w:kern w:val="44"/>
      <w:sz w:val="32"/>
      <w:szCs w:val="44"/>
    </w:rPr>
  </w:style>
  <w:style w:type="character" w:customStyle="1" w:styleId="26">
    <w:name w:val="标题 2 字符"/>
    <w:basedOn w:val="18"/>
    <w:link w:val="3"/>
    <w:autoRedefine/>
    <w:qFormat/>
    <w:uiPriority w:val="9"/>
    <w:rPr>
      <w:rFonts w:ascii="Times New Roman" w:hAnsi="Times New Roman" w:eastAsia="楷体_GB2312" w:cstheme="majorBidi"/>
      <w:b/>
      <w:bCs/>
      <w:sz w:val="32"/>
      <w:szCs w:val="32"/>
    </w:rPr>
  </w:style>
  <w:style w:type="character" w:customStyle="1" w:styleId="27">
    <w:name w:val="标题 3 字符"/>
    <w:basedOn w:val="18"/>
    <w:link w:val="4"/>
    <w:autoRedefine/>
    <w:qFormat/>
    <w:uiPriority w:val="9"/>
    <w:rPr>
      <w:rFonts w:ascii="Times New Roman" w:hAnsi="Times New Roman" w:eastAsia="仿宋_GB2312" w:cs="宋体"/>
      <w:b/>
      <w:bCs/>
      <w:sz w:val="32"/>
      <w:szCs w:val="32"/>
    </w:rPr>
  </w:style>
  <w:style w:type="character" w:customStyle="1" w:styleId="28">
    <w:name w:val="标题 4 字符"/>
    <w:basedOn w:val="18"/>
    <w:link w:val="5"/>
    <w:autoRedefine/>
    <w:semiHidden/>
    <w:qFormat/>
    <w:uiPriority w:val="9"/>
    <w:rPr>
      <w:rFonts w:ascii="Times New Roman" w:hAnsi="Times New Roman" w:eastAsia="黑体" w:cstheme="majorBidi"/>
      <w:bCs/>
      <w:sz w:val="32"/>
      <w:szCs w:val="28"/>
    </w:rPr>
  </w:style>
  <w:style w:type="character" w:customStyle="1" w:styleId="29">
    <w:name w:val="标题 字符"/>
    <w:basedOn w:val="18"/>
    <w:link w:val="14"/>
    <w:autoRedefine/>
    <w:qFormat/>
    <w:uiPriority w:val="10"/>
    <w:rPr>
      <w:rFonts w:ascii="Times New Roman" w:hAnsi="Times New Roman" w:eastAsia="仿宋_GB2312" w:cstheme="majorBidi"/>
      <w:bCs/>
      <w:sz w:val="28"/>
      <w:szCs w:val="32"/>
    </w:rPr>
  </w:style>
  <w:style w:type="paragraph" w:styleId="30">
    <w:name w:val="No Spacing"/>
    <w:basedOn w:val="14"/>
    <w:next w:val="1"/>
    <w:autoRedefine/>
    <w:qFormat/>
    <w:uiPriority w:val="1"/>
    <w:pPr>
      <w:spacing w:line="560" w:lineRule="exact"/>
      <w:ind w:left="0" w:firstLine="0" w:firstLineChars="0"/>
      <w:jc w:val="center"/>
      <w:outlineLvl w:val="9"/>
    </w:pPr>
    <w:rPr>
      <w:rFonts w:eastAsia="方正小标宋简体"/>
      <w:sz w:val="44"/>
    </w:rPr>
  </w:style>
  <w:style w:type="character" w:customStyle="1" w:styleId="31">
    <w:name w:val="批注文字 字符"/>
    <w:basedOn w:val="18"/>
    <w:link w:val="7"/>
    <w:autoRedefine/>
    <w:semiHidden/>
    <w:qFormat/>
    <w:uiPriority w:val="99"/>
    <w:rPr>
      <w:rFonts w:ascii="Times New Roman" w:hAnsi="Times New Roman" w:eastAsia="仿宋_GB2312" w:cs="宋体"/>
      <w:sz w:val="32"/>
    </w:rPr>
  </w:style>
  <w:style w:type="character" w:customStyle="1" w:styleId="32">
    <w:name w:val="批注主题 字符"/>
    <w:basedOn w:val="31"/>
    <w:link w:val="15"/>
    <w:autoRedefine/>
    <w:semiHidden/>
    <w:qFormat/>
    <w:uiPriority w:val="99"/>
    <w:rPr>
      <w:rFonts w:ascii="Times New Roman" w:hAnsi="Times New Roman" w:eastAsia="仿宋_GB2312" w:cs="宋体"/>
      <w:b/>
      <w:bCs/>
      <w:sz w:val="32"/>
    </w:rPr>
  </w:style>
  <w:style w:type="character" w:customStyle="1" w:styleId="33">
    <w:name w:val="标题 5 字符"/>
    <w:basedOn w:val="18"/>
    <w:link w:val="6"/>
    <w:autoRedefine/>
    <w:semiHidden/>
    <w:qFormat/>
    <w:uiPriority w:val="9"/>
    <w:rPr>
      <w:rFonts w:ascii="Times New Roman" w:hAnsi="Times New Roman" w:eastAsia="仿宋_GB2312" w:cs="宋体"/>
      <w:b/>
      <w:bCs/>
      <w:sz w:val="28"/>
      <w:szCs w:val="28"/>
    </w:rPr>
  </w:style>
  <w:style w:type="character" w:customStyle="1" w:styleId="34">
    <w:name w:val="正文文本 字符"/>
    <w:basedOn w:val="18"/>
    <w:link w:val="8"/>
    <w:autoRedefine/>
    <w:qFormat/>
    <w:uiPriority w:val="99"/>
    <w:rPr>
      <w:rFonts w:ascii="仿宋_GB2312" w:hAnsi="宋体" w:eastAsia="仿宋_GB2312" w:cs="宋体"/>
      <w:b/>
      <w:bCs/>
      <w:color w:val="FF3300"/>
      <w:sz w:val="40"/>
      <w:szCs w:val="40"/>
    </w:rPr>
  </w:style>
  <w:style w:type="paragraph" w:customStyle="1" w:styleId="35">
    <w:name w:val="Table Paragraph"/>
    <w:basedOn w:val="1"/>
    <w:autoRedefine/>
    <w:qFormat/>
    <w:uiPriority w:val="0"/>
    <w:pPr>
      <w:spacing w:line="240" w:lineRule="auto"/>
      <w:ind w:firstLine="0" w:firstLineChars="0"/>
    </w:pPr>
    <w:rPr>
      <w:rFonts w:ascii="宋体" w:hAnsi="宋体" w:eastAsia="宋体"/>
      <w:sz w:val="21"/>
      <w:szCs w:val="21"/>
    </w:rPr>
  </w:style>
  <w:style w:type="character" w:customStyle="1" w:styleId="36">
    <w:name w:val="纯文本 字符"/>
    <w:basedOn w:val="18"/>
    <w:link w:val="9"/>
    <w:autoRedefine/>
    <w:qFormat/>
    <w:uiPriority w:val="99"/>
    <w:rPr>
      <w:rFonts w:ascii="宋体" w:hAnsi="Courier New" w:eastAsia="宋体" w:cs="宋体"/>
      <w:szCs w:val="21"/>
    </w:rPr>
  </w:style>
  <w:style w:type="character" w:customStyle="1" w:styleId="37">
    <w:name w:val="15"/>
    <w:basedOn w:val="18"/>
    <w:autoRedefine/>
    <w:qFormat/>
    <w:uiPriority w:val="0"/>
    <w:rPr>
      <w:rFonts w:hint="eastAsia" w:ascii="仿宋_GB2312" w:eastAsia="仿宋_GB2312"/>
      <w:color w:val="0000FF"/>
      <w:u w:val="single"/>
    </w:rPr>
  </w:style>
  <w:style w:type="paragraph" w:customStyle="1" w:styleId="38">
    <w:name w:val="Background"/>
    <w:basedOn w:val="1"/>
    <w:autoRedefine/>
    <w:qFormat/>
    <w:uiPriority w:val="0"/>
    <w:pPr>
      <w:widowControl/>
      <w:autoSpaceDE w:val="0"/>
      <w:autoSpaceDN w:val="0"/>
      <w:spacing w:after="340" w:line="340" w:lineRule="exact"/>
      <w:jc w:val="left"/>
    </w:pPr>
    <w:rPr>
      <w:rFonts w:ascii="宋体" w:hAnsi="宋体"/>
      <w:kern w:val="0"/>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AA357-6FEA-425D-8D17-867A106CF08C}">
  <ds:schemaRefs/>
</ds:datastoreItem>
</file>

<file path=docProps/app.xml><?xml version="1.0" encoding="utf-8"?>
<Properties xmlns="http://schemas.openxmlformats.org/officeDocument/2006/extended-properties" xmlns:vt="http://schemas.openxmlformats.org/officeDocument/2006/docPropsVTypes">
  <Template>Normal</Template>
  <Pages>50</Pages>
  <Words>17379</Words>
  <Characters>18119</Characters>
  <Lines>59</Lines>
  <Paragraphs>16</Paragraphs>
  <TotalTime>7</TotalTime>
  <ScaleCrop>false</ScaleCrop>
  <LinksUpToDate>false</LinksUpToDate>
  <CharactersWithSpaces>20262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2022-12-05T06:13:00Z</dcterms:created>
  <dc:creator>董子煜</dc:creator>
  <cp:lastModifiedBy>windbbr</cp:lastModifiedBy>
  <dcterms:modified xsi:type="dcterms:W3CDTF">2024-07-31T06:51:15Z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KSOSaveFontToCloudKey">
    <vt:lpwstr>714436858_cloud</vt:lpwstr>
  </property>
  <property fmtid="{D5CDD505-2E9C-101B-9397-08002B2CF9AE}" pid="4" name="ICV">
    <vt:lpwstr>FB9A5E2D795F442C928606CBC09EDE64</vt:lpwstr>
  </property>
</Properties>
</file>