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07343">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1B4E4F93">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C5E5577">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18CE1C61">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14:paraId="58365385">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4A5B1A9">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71E64197">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14:paraId="64C59E5A">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4DC32356">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102E2FFB">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32F5EAF6">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BA54104">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05A8CD66">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5782629A">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21A068E6">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362EAAD4">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w:t>
            </w:r>
            <w:r>
              <w:rPr>
                <w:rFonts w:hint="default" w:ascii="Times New Roman" w:hAnsi="Times New Roman" w:eastAsia="黑体" w:cs="Times New Roman"/>
                <w:sz w:val="24"/>
                <w:lang w:eastAsia="zh-CN"/>
              </w:rPr>
              <w:t>月</w:t>
            </w:r>
            <w:r>
              <w:rPr>
                <w:rFonts w:hint="eastAsia" w:eastAsia="黑体" w:cs="Times New Roman"/>
                <w:sz w:val="24"/>
                <w:lang w:val="en-US" w:eastAsia="zh-CN"/>
              </w:rPr>
              <w:t>25</w:t>
            </w:r>
            <w:r>
              <w:rPr>
                <w:rFonts w:hint="default" w:ascii="Times New Roman" w:hAnsi="Times New Roman" w:eastAsia="黑体" w:cs="Times New Roman"/>
                <w:sz w:val="24"/>
                <w:lang w:eastAsia="zh-CN"/>
              </w:rPr>
              <w:t>日</w:t>
            </w:r>
          </w:p>
        </w:tc>
      </w:tr>
      <w:tr w14:paraId="553A78AA">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192BBE6">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7D878EB7">
            <w:pPr>
              <w:rPr>
                <w:rFonts w:hint="default" w:ascii="Times New Roman" w:hAnsi="Times New Roman" w:eastAsia="黑体" w:cs="Times New Roman"/>
                <w:sz w:val="24"/>
              </w:rPr>
            </w:pPr>
          </w:p>
        </w:tc>
      </w:tr>
    </w:tbl>
    <w:p w14:paraId="7BC67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13196F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27115467">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38221C1C">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我公司将对粤北糖业检修材料输送带进行询比采购，请各供应商根据项目要求进行报名报价。具体要求如下：</w:t>
      </w:r>
    </w:p>
    <w:p w14:paraId="105EC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16A01EA">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2DE0BE5E">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14:paraId="0D96B1C9">
      <w:pPr>
        <w:pStyle w:val="7"/>
        <w:ind w:firstLine="640" w:firstLineChars="200"/>
        <w:rPr>
          <w:rFonts w:hint="default"/>
          <w:color w:val="auto"/>
          <w:lang w:val="en-US" w:eastAsia="zh-CN"/>
        </w:rPr>
      </w:pPr>
      <w:r>
        <w:rPr>
          <w:rFonts w:hint="eastAsia" w:ascii="Times New Roman" w:hAnsi="Times New Roman" w:eastAsia="仿宋_GB2312" w:cs="Times New Roman"/>
          <w:color w:val="auto"/>
          <w:kern w:val="0"/>
          <w:sz w:val="32"/>
          <w:szCs w:val="32"/>
          <w:lang w:val="en-US" w:eastAsia="zh-CN"/>
        </w:rPr>
        <w:t>3.注册资本必须超过人民币 15万元及以上。</w:t>
      </w:r>
    </w:p>
    <w:p w14:paraId="20F5B6E9">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5DACA777">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477BA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67B6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6DD8C86F">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序号</w:t>
            </w:r>
          </w:p>
        </w:tc>
        <w:tc>
          <w:tcPr>
            <w:tcW w:w="1547" w:type="dxa"/>
            <w:vAlign w:val="center"/>
          </w:tcPr>
          <w:p w14:paraId="74CCF0BC">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物料编码</w:t>
            </w:r>
          </w:p>
        </w:tc>
        <w:tc>
          <w:tcPr>
            <w:tcW w:w="2340" w:type="dxa"/>
            <w:vAlign w:val="center"/>
          </w:tcPr>
          <w:p w14:paraId="67AAAC31">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物资名称</w:t>
            </w:r>
          </w:p>
        </w:tc>
        <w:tc>
          <w:tcPr>
            <w:tcW w:w="675" w:type="dxa"/>
            <w:vAlign w:val="center"/>
          </w:tcPr>
          <w:p w14:paraId="75684C55">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单位</w:t>
            </w:r>
          </w:p>
        </w:tc>
        <w:tc>
          <w:tcPr>
            <w:tcW w:w="810" w:type="dxa"/>
            <w:vAlign w:val="center"/>
          </w:tcPr>
          <w:p w14:paraId="23A8D012">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数量</w:t>
            </w:r>
          </w:p>
        </w:tc>
        <w:tc>
          <w:tcPr>
            <w:tcW w:w="1110" w:type="dxa"/>
            <w:vAlign w:val="center"/>
          </w:tcPr>
          <w:p w14:paraId="4835A151">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增值税专用发票税率</w:t>
            </w:r>
          </w:p>
        </w:tc>
        <w:tc>
          <w:tcPr>
            <w:tcW w:w="855" w:type="dxa"/>
            <w:vAlign w:val="center"/>
          </w:tcPr>
          <w:p w14:paraId="4C765030">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单价</w:t>
            </w:r>
          </w:p>
        </w:tc>
        <w:tc>
          <w:tcPr>
            <w:tcW w:w="1200" w:type="dxa"/>
            <w:vAlign w:val="center"/>
          </w:tcPr>
          <w:p w14:paraId="2274A62D">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金额</w:t>
            </w:r>
            <w:r>
              <w:rPr>
                <w:rFonts w:hint="default" w:ascii="Times New Roman" w:hAnsi="Times New Roman" w:eastAsia="仿宋_GB2312" w:cs="Times New Roman"/>
                <w:color w:val="auto"/>
                <w:sz w:val="24"/>
                <w:szCs w:val="32"/>
                <w:lang w:eastAsia="zh-CN"/>
              </w:rPr>
              <w:t>（元）</w:t>
            </w:r>
          </w:p>
        </w:tc>
        <w:tc>
          <w:tcPr>
            <w:tcW w:w="1366" w:type="dxa"/>
            <w:vAlign w:val="center"/>
          </w:tcPr>
          <w:p w14:paraId="1E18A437">
            <w:pPr>
              <w:jc w:val="center"/>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备注</w:t>
            </w:r>
          </w:p>
        </w:tc>
      </w:tr>
      <w:tr w14:paraId="0EE2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E5A8F0E">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w:t>
            </w:r>
          </w:p>
        </w:tc>
        <w:tc>
          <w:tcPr>
            <w:tcW w:w="1547" w:type="dxa"/>
            <w:vAlign w:val="center"/>
          </w:tcPr>
          <w:p w14:paraId="6EC7BE86">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14:paraId="061B73E4">
            <w:pPr>
              <w:keepNext w:val="0"/>
              <w:keepLines w:val="0"/>
              <w:widowControl/>
              <w:suppressLineNumbers w:val="0"/>
              <w:ind w:firstLine="660" w:firstLineChars="30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黑色输送带</w:t>
            </w:r>
            <w:r>
              <w:rPr>
                <w:rFonts w:hint="eastAsia" w:ascii="宋体" w:hAnsi="宋体" w:cs="宋体"/>
                <w:i w:val="0"/>
                <w:color w:val="auto"/>
                <w:kern w:val="0"/>
                <w:sz w:val="22"/>
                <w:szCs w:val="22"/>
                <w:u w:val="none"/>
                <w:lang w:val="en-US" w:eastAsia="zh-CN" w:bidi="ar"/>
              </w:rPr>
              <w:t xml:space="preserve">  B1000*5(4+2)-NN150</w:t>
            </w:r>
          </w:p>
        </w:tc>
        <w:tc>
          <w:tcPr>
            <w:tcW w:w="675" w:type="dxa"/>
            <w:vAlign w:val="center"/>
          </w:tcPr>
          <w:p w14:paraId="1E45EDED">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米</w:t>
            </w:r>
          </w:p>
        </w:tc>
        <w:tc>
          <w:tcPr>
            <w:tcW w:w="810" w:type="dxa"/>
            <w:vAlign w:val="center"/>
          </w:tcPr>
          <w:p w14:paraId="1A3780B8">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76</w:t>
            </w:r>
          </w:p>
        </w:tc>
        <w:tc>
          <w:tcPr>
            <w:tcW w:w="1110" w:type="dxa"/>
            <w:vAlign w:val="center"/>
          </w:tcPr>
          <w:p w14:paraId="180FB6C6">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14:paraId="22531613">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14:paraId="2FD498C6">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14:paraId="0192309B">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包安装和热熔接驳连接口</w:t>
            </w:r>
          </w:p>
        </w:tc>
      </w:tr>
      <w:tr w14:paraId="17CD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C770E4C">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w:t>
            </w:r>
          </w:p>
        </w:tc>
        <w:tc>
          <w:tcPr>
            <w:tcW w:w="1547" w:type="dxa"/>
            <w:vAlign w:val="center"/>
          </w:tcPr>
          <w:p w14:paraId="525B593A">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14:paraId="2D5ED62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14:paraId="37285EB9">
            <w:pPr>
              <w:keepNext w:val="0"/>
              <w:keepLines w:val="0"/>
              <w:widowControl/>
              <w:suppressLineNumbers w:val="0"/>
              <w:jc w:val="left"/>
              <w:textAlignment w:val="center"/>
              <w:rPr>
                <w:rFonts w:hint="default" w:ascii="Arial" w:hAnsi="Arial" w:eastAsia="宋体" w:cs="Arial"/>
                <w:i w:val="0"/>
                <w:color w:val="auto"/>
                <w:kern w:val="0"/>
                <w:sz w:val="20"/>
                <w:szCs w:val="20"/>
                <w:u w:val="none"/>
                <w:lang w:val="en-US" w:eastAsia="zh-CN" w:bidi="ar"/>
              </w:rPr>
            </w:pPr>
          </w:p>
        </w:tc>
        <w:tc>
          <w:tcPr>
            <w:tcW w:w="810" w:type="dxa"/>
            <w:vAlign w:val="center"/>
          </w:tcPr>
          <w:p w14:paraId="73DC3EFB">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p>
        </w:tc>
        <w:tc>
          <w:tcPr>
            <w:tcW w:w="1110" w:type="dxa"/>
            <w:vAlign w:val="center"/>
          </w:tcPr>
          <w:p w14:paraId="53AA8336">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14:paraId="5B130C48">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14:paraId="5F714251">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14:paraId="71E8FEC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069F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6C9A27A0">
            <w:pPr>
              <w:keepNext w:val="0"/>
              <w:keepLines w:val="0"/>
              <w:widowControl/>
              <w:suppressLineNumbers w:val="0"/>
              <w:jc w:val="right"/>
              <w:textAlignment w:val="center"/>
              <w:rPr>
                <w:rFonts w:hint="eastAsia" w:ascii="Arial" w:hAnsi="Arial"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w:t>
            </w:r>
          </w:p>
        </w:tc>
        <w:tc>
          <w:tcPr>
            <w:tcW w:w="1547" w:type="dxa"/>
            <w:vAlign w:val="center"/>
          </w:tcPr>
          <w:p w14:paraId="3EC0082E">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14:paraId="600D6BB5">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675" w:type="dxa"/>
            <w:vAlign w:val="center"/>
          </w:tcPr>
          <w:p w14:paraId="5B8973D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810" w:type="dxa"/>
            <w:vAlign w:val="center"/>
          </w:tcPr>
          <w:p w14:paraId="06926E39">
            <w:pPr>
              <w:keepNext w:val="0"/>
              <w:keepLines w:val="0"/>
              <w:widowControl/>
              <w:suppressLineNumbers w:val="0"/>
              <w:jc w:val="right"/>
              <w:textAlignment w:val="center"/>
              <w:rPr>
                <w:rFonts w:hint="eastAsia" w:ascii="宋体" w:hAnsi="宋体" w:cs="宋体"/>
                <w:i w:val="0"/>
                <w:color w:val="auto"/>
                <w:kern w:val="0"/>
                <w:sz w:val="22"/>
                <w:szCs w:val="22"/>
                <w:u w:val="none"/>
                <w:lang w:val="en-US" w:eastAsia="zh-CN" w:bidi="ar"/>
              </w:rPr>
            </w:pPr>
          </w:p>
        </w:tc>
        <w:tc>
          <w:tcPr>
            <w:tcW w:w="1110" w:type="dxa"/>
            <w:vAlign w:val="center"/>
          </w:tcPr>
          <w:p w14:paraId="395BEDCA">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14:paraId="491DEFB1">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14:paraId="16A44A4E">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14:paraId="13545D03">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2E26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35376AA9">
            <w:pPr>
              <w:pStyle w:val="8"/>
              <w:spacing w:line="500" w:lineRule="exact"/>
              <w:ind w:firstLine="0" w:firstLineChars="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合计</w:t>
            </w:r>
          </w:p>
        </w:tc>
        <w:tc>
          <w:tcPr>
            <w:tcW w:w="3887" w:type="dxa"/>
            <w:gridSpan w:val="2"/>
            <w:vAlign w:val="center"/>
          </w:tcPr>
          <w:p w14:paraId="5CE9446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675" w:type="dxa"/>
            <w:vAlign w:val="center"/>
          </w:tcPr>
          <w:p w14:paraId="36B731F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10" w:type="dxa"/>
            <w:vAlign w:val="center"/>
          </w:tcPr>
          <w:p w14:paraId="2348CC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110" w:type="dxa"/>
            <w:vAlign w:val="center"/>
          </w:tcPr>
          <w:p w14:paraId="4583EE3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14:paraId="2945D17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14:paraId="20FA1B5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14:paraId="16DE625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r>
      <w:tr w14:paraId="65C4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62E387F4">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w:t>
            </w:r>
            <w:r>
              <w:rPr>
                <w:rFonts w:hint="eastAsia" w:eastAsia="仿宋_GB2312" w:cs="Times New Roman"/>
                <w:b/>
                <w:bCs/>
                <w:color w:val="auto"/>
                <w:sz w:val="24"/>
                <w:lang w:val="en-US" w:eastAsia="zh-CN"/>
              </w:rPr>
              <w:t>不含税</w:t>
            </w:r>
            <w:r>
              <w:rPr>
                <w:rFonts w:hint="default" w:ascii="Times New Roman" w:hAnsi="Times New Roman" w:eastAsia="仿宋_GB2312" w:cs="Times New Roman"/>
                <w:b/>
                <w:bCs/>
                <w:color w:val="auto"/>
                <w:sz w:val="24"/>
                <w:lang w:eastAsia="zh-CN"/>
              </w:rPr>
              <w:t>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r w14:paraId="6067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70E76842">
            <w:pPr>
              <w:jc w:val="left"/>
              <w:rPr>
                <w:rFonts w:hint="default" w:ascii="Times New Roman" w:hAnsi="Times New Roman" w:eastAsia="仿宋_GB2312" w:cs="Times New Roman"/>
                <w:b/>
                <w:bCs/>
                <w:color w:val="auto"/>
                <w:sz w:val="24"/>
                <w:lang w:val="en-US"/>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bl>
    <w:p w14:paraId="4ED1A947">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报价要求：</w:t>
      </w:r>
    </w:p>
    <w:p w14:paraId="67383C6C">
      <w:pPr>
        <w:pStyle w:val="7"/>
        <w:rPr>
          <w:rFonts w:hint="default" w:ascii="Times New Roman" w:hAnsi="Times New Roman" w:eastAsia="仿宋_GB2312" w:cs="Times New Roman"/>
          <w:color w:val="auto"/>
          <w:kern w:val="0"/>
          <w:sz w:val="32"/>
          <w:szCs w:val="32"/>
          <w:lang w:val="en-US" w:eastAsia="zh-CN" w:bidi="ar-SA"/>
        </w:rPr>
      </w:pPr>
      <w:r>
        <w:rPr>
          <w:rFonts w:hint="eastAsia" w:ascii="仿宋_GB2312" w:hAnsi="黑体" w:eastAsia="仿宋_GB2312" w:cs="黑体"/>
          <w:color w:val="auto"/>
          <w:sz w:val="32"/>
          <w:szCs w:val="32"/>
          <w:lang w:val="en-US" w:eastAsia="zh-CN"/>
        </w:rPr>
        <w:t>报价含税费、运费。</w:t>
      </w:r>
    </w:p>
    <w:p w14:paraId="1537B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rPr>
        <w:t>四、交货地址：</w:t>
      </w:r>
      <w:r>
        <w:rPr>
          <w:rFonts w:hint="eastAsia" w:ascii="Times New Roman" w:hAnsi="Times New Roman" w:eastAsia="仿宋_GB2312" w:cs="Times New Roman"/>
          <w:color w:val="auto"/>
          <w:kern w:val="0"/>
          <w:sz w:val="32"/>
          <w:szCs w:val="32"/>
          <w:lang w:val="en-US" w:eastAsia="zh-CN"/>
        </w:rPr>
        <w:t>英德市浛洸镇西郊粤北糖业有限公司</w:t>
      </w:r>
    </w:p>
    <w:p w14:paraId="7398E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、交货时间：</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天</w:t>
      </w:r>
    </w:p>
    <w:p w14:paraId="59E78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、评审办法</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14:paraId="2481E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3E00E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14:paraId="11C70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、合同草案</w:t>
      </w:r>
      <w:r>
        <w:rPr>
          <w:rFonts w:hint="default" w:ascii="Times New Roman" w:hAnsi="Times New Roman" w:eastAsia="仿宋" w:cs="Times New Roman"/>
          <w:color w:val="auto"/>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color w:val="auto"/>
          <w:sz w:val="32"/>
          <w:szCs w:val="32"/>
        </w:rPr>
        <w:t>）：</w:t>
      </w:r>
    </w:p>
    <w:tbl>
      <w:tblPr>
        <w:tblStyle w:val="12"/>
        <w:tblW w:w="10362"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3792"/>
        <w:gridCol w:w="5787"/>
      </w:tblGrid>
      <w:tr w14:paraId="1E09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83" w:type="dxa"/>
            <w:tcBorders>
              <w:top w:val="nil"/>
              <w:left w:val="nil"/>
              <w:bottom w:val="nil"/>
              <w:right w:val="nil"/>
            </w:tcBorders>
            <w:shd w:val="clear" w:color="auto" w:fill="auto"/>
            <w:noWrap/>
            <w:vAlign w:val="bottom"/>
          </w:tcPr>
          <w:p w14:paraId="749CDD43">
            <w:pPr>
              <w:rPr>
                <w:rFonts w:hint="eastAsia" w:ascii="等线" w:hAnsi="等线" w:eastAsia="等线" w:cs="等线"/>
                <w:i w:val="0"/>
                <w:iCs w:val="0"/>
                <w:color w:val="000000"/>
                <w:sz w:val="21"/>
                <w:szCs w:val="21"/>
                <w:u w:val="none"/>
              </w:rPr>
            </w:pPr>
          </w:p>
        </w:tc>
        <w:tc>
          <w:tcPr>
            <w:tcW w:w="3792" w:type="dxa"/>
            <w:tcBorders>
              <w:top w:val="nil"/>
              <w:left w:val="nil"/>
              <w:bottom w:val="nil"/>
              <w:right w:val="nil"/>
            </w:tcBorders>
            <w:shd w:val="clear" w:color="auto" w:fill="auto"/>
            <w:noWrap/>
            <w:vAlign w:val="bottom"/>
          </w:tcPr>
          <w:p w14:paraId="2E6A0CA4">
            <w:pPr>
              <w:rPr>
                <w:rFonts w:hint="eastAsia" w:ascii="等线" w:hAnsi="等线" w:eastAsia="等线" w:cs="等线"/>
                <w:i w:val="0"/>
                <w:iCs w:val="0"/>
                <w:color w:val="000000"/>
                <w:sz w:val="21"/>
                <w:szCs w:val="21"/>
                <w:u w:val="none"/>
              </w:rPr>
            </w:pPr>
          </w:p>
        </w:tc>
        <w:tc>
          <w:tcPr>
            <w:tcW w:w="5787" w:type="dxa"/>
            <w:tcBorders>
              <w:top w:val="nil"/>
              <w:left w:val="nil"/>
              <w:bottom w:val="nil"/>
              <w:right w:val="nil"/>
            </w:tcBorders>
            <w:shd w:val="clear" w:color="auto" w:fill="auto"/>
            <w:noWrap/>
            <w:vAlign w:val="bottom"/>
          </w:tcPr>
          <w:p w14:paraId="0B89E9E9">
            <w:pPr>
              <w:jc w:val="center"/>
              <w:rPr>
                <w:rFonts w:hint="eastAsia" w:ascii="等线" w:hAnsi="等线" w:eastAsia="等线" w:cs="等线"/>
                <w:i w:val="0"/>
                <w:iCs w:val="0"/>
                <w:color w:val="000000"/>
                <w:sz w:val="21"/>
                <w:szCs w:val="21"/>
                <w:u w:val="none"/>
              </w:rPr>
            </w:pPr>
          </w:p>
        </w:tc>
      </w:tr>
      <w:tr w14:paraId="3ED1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10362" w:type="dxa"/>
            <w:gridSpan w:val="3"/>
            <w:tcBorders>
              <w:top w:val="nil"/>
              <w:left w:val="nil"/>
              <w:bottom w:val="nil"/>
              <w:right w:val="nil"/>
            </w:tcBorders>
            <w:shd w:val="clear" w:color="auto" w:fill="auto"/>
            <w:noWrap/>
            <w:vAlign w:val="center"/>
          </w:tcPr>
          <w:p w14:paraId="6EBB367C">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lang w:val="en-US" w:eastAsia="zh-CN" w:bidi="ar"/>
              </w:rPr>
              <w:t>乙类B级承包方入厂安全资料清单</w:t>
            </w:r>
          </w:p>
        </w:tc>
      </w:tr>
      <w:tr w14:paraId="670D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783" w:type="dxa"/>
            <w:tcBorders>
              <w:top w:val="nil"/>
              <w:left w:val="single" w:color="000000" w:sz="4" w:space="0"/>
              <w:bottom w:val="single" w:color="000000" w:sz="4" w:space="0"/>
              <w:right w:val="single" w:color="000000" w:sz="4" w:space="0"/>
            </w:tcBorders>
            <w:shd w:val="clear" w:color="auto" w:fill="auto"/>
            <w:vAlign w:val="center"/>
          </w:tcPr>
          <w:p w14:paraId="5EAC1446">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792" w:type="dxa"/>
            <w:tcBorders>
              <w:top w:val="nil"/>
              <w:left w:val="single" w:color="000000" w:sz="4" w:space="0"/>
              <w:bottom w:val="single" w:color="000000" w:sz="4" w:space="0"/>
              <w:right w:val="single" w:color="000000" w:sz="4" w:space="0"/>
            </w:tcBorders>
            <w:shd w:val="clear" w:color="auto" w:fill="auto"/>
            <w:vAlign w:val="center"/>
          </w:tcPr>
          <w:p w14:paraId="68530662">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中标人在进场前要经过安全审查审核通过后，方可施工，具体要求如下：</w:t>
            </w:r>
          </w:p>
        </w:tc>
        <w:tc>
          <w:tcPr>
            <w:tcW w:w="5787" w:type="dxa"/>
            <w:tcBorders>
              <w:top w:val="nil"/>
              <w:left w:val="single" w:color="000000" w:sz="4" w:space="0"/>
              <w:bottom w:val="single" w:color="000000" w:sz="4" w:space="0"/>
              <w:right w:val="single" w:color="000000" w:sz="4" w:space="0"/>
            </w:tcBorders>
            <w:shd w:val="clear" w:color="auto" w:fill="auto"/>
            <w:noWrap/>
            <w:vAlign w:val="bottom"/>
          </w:tcPr>
          <w:p w14:paraId="17FDED7F">
            <w:pPr>
              <w:keepNext w:val="0"/>
              <w:keepLines w:val="0"/>
              <w:widowControl/>
              <w:suppressLineNumbers w:val="0"/>
              <w:jc w:val="center"/>
              <w:textAlignment w:val="bottom"/>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备注</w:t>
            </w:r>
          </w:p>
        </w:tc>
      </w:tr>
      <w:tr w14:paraId="19CF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3AB9">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1</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5D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提供一份所有作业人员花名册▲</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79AA">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电子版花名册（具体样板请看表格二：承包商花名册）</w:t>
            </w:r>
          </w:p>
        </w:tc>
      </w:tr>
      <w:tr w14:paraId="5F08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7E6B">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2</w:t>
            </w:r>
          </w:p>
        </w:tc>
        <w:tc>
          <w:tcPr>
            <w:tcW w:w="379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6F998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提供所有作业人员身份证（复印件）▲</w:t>
            </w:r>
          </w:p>
        </w:tc>
        <w:tc>
          <w:tcPr>
            <w:tcW w:w="57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E18569C">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要求：证件在有效期内、正反两面图片或复印件（清晰度高）</w:t>
            </w:r>
          </w:p>
        </w:tc>
      </w:tr>
      <w:tr w14:paraId="30F9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A374">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3</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345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为每一位作业人员提供一份“健康体检”表（医院体检证明）▲</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E2EB">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要求全国范围内二甲或以上资质医疗机构出具的入场人员本人体检报告（附带照片），（要求：体检项目包含内科、外科、五官科、心电图、B超检查、X线透视结果、血常规（血糖血脂血压）、尿常规、肝功能、肾功能等项目。检查结果无入场作业涉及的禁忌病证、体检结果一年内有效。）</w:t>
            </w:r>
          </w:p>
        </w:tc>
      </w:tr>
      <w:tr w14:paraId="1C11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6DA5">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4</w:t>
            </w:r>
          </w:p>
        </w:tc>
        <w:tc>
          <w:tcPr>
            <w:tcW w:w="379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EDA31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每一位作业人员的安全规程培训考试，合格后方可上岗▲</w:t>
            </w:r>
          </w:p>
        </w:tc>
        <w:tc>
          <w:tcPr>
            <w:tcW w:w="578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1FD6A0">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提供承包商企业内部的三级培训档案（要求：一人一档包含签到表、考核内容及成绩合格、公司级、车间级、班组级培训均需满足每级8学时的要求。）</w:t>
            </w:r>
          </w:p>
        </w:tc>
      </w:tr>
      <w:tr w14:paraId="7805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6676">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5</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64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承包单位与每一位员工签订劳动合同（提供复印件）</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86E8">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需提供承包单位与从业人员直接签署的劳动合同（签名、公司盖章、合同期限等要清楚）</w:t>
            </w:r>
          </w:p>
        </w:tc>
      </w:tr>
      <w:tr w14:paraId="272C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37E9">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6</w:t>
            </w:r>
          </w:p>
        </w:tc>
        <w:tc>
          <w:tcPr>
            <w:tcW w:w="379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E8CE0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为所有作业人员办理工伤保险或意外保险（提供保险凭证）▲</w:t>
            </w:r>
          </w:p>
        </w:tc>
        <w:tc>
          <w:tcPr>
            <w:tcW w:w="578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85DE7F">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人身意外保险每人保额105万元、意外医疗险20万元,如购买社保的工伤保险中意外伤害险不足105万的则需补充购买商业意外伤害险补充足额。（提供保单及保险公司盖章的被保人名单）</w:t>
            </w:r>
          </w:p>
        </w:tc>
      </w:tr>
      <w:tr w14:paraId="1AE7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CD14">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7</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70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提供所有作业人员月度考勤表（进场以后执行）▲</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BC1">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入场后每天对承包商作业人员进行考勤记录（入场到离场期间的每次入场作业需签到存档）</w:t>
            </w:r>
          </w:p>
        </w:tc>
      </w:tr>
      <w:tr w14:paraId="3942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C381">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8</w:t>
            </w:r>
          </w:p>
        </w:tc>
        <w:tc>
          <w:tcPr>
            <w:tcW w:w="379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6A2B2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提供所有作业人员劳动防护用品清单（如：安全帽、工作服、工作鞋、口罩、手套、耳塞、防护眼镜等）▲</w:t>
            </w:r>
          </w:p>
        </w:tc>
        <w:tc>
          <w:tcPr>
            <w:tcW w:w="578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629EF7">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建议使用电子档形式记录，劳动防护用品清单需清晰记录：物品名称、数量、合格证、有效期、物品图片</w:t>
            </w:r>
          </w:p>
        </w:tc>
      </w:tr>
      <w:tr w14:paraId="3581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306B">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9</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C8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提供每位员工月度安全培训记录及档案（进场以后执行）</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EB34">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对入场人员一人一档建立培训档案（从各级入场告知、入场后接受的承包商及本厂的任何安全培训记录）</w:t>
            </w:r>
          </w:p>
        </w:tc>
      </w:tr>
      <w:tr w14:paraId="53FE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D4C0">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10</w:t>
            </w:r>
          </w:p>
        </w:tc>
        <w:tc>
          <w:tcPr>
            <w:tcW w:w="379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97471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提供有效的营业执照、施工资质、安全生产许可证等文件▲</w:t>
            </w:r>
          </w:p>
        </w:tc>
        <w:tc>
          <w:tcPr>
            <w:tcW w:w="578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8A7254B">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提供公司营业执照以及根据项目内容需求提供：行业资质、安全生产许可证等文件（如建筑施工、危险化学品、环保设备设施、电器设备设施及特种设备制造安装等行业）</w:t>
            </w:r>
          </w:p>
        </w:tc>
      </w:tr>
      <w:tr w14:paraId="7C97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AC6C">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11</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9D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提供现场“应急施救药品”▲(附药品清单)</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E68">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根据施工类型及风险编制应急药品清单（要与实际入场药品种类、数量相符、药品需在有效期内）</w:t>
            </w:r>
          </w:p>
        </w:tc>
      </w:tr>
      <w:tr w14:paraId="01BE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B1F4">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12</w:t>
            </w:r>
          </w:p>
        </w:tc>
        <w:tc>
          <w:tcPr>
            <w:tcW w:w="379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46322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提供承包合同、安全协议（复印件）▲</w:t>
            </w:r>
          </w:p>
        </w:tc>
        <w:tc>
          <w:tcPr>
            <w:tcW w:w="578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1D8AB23">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甲乙双方签署的完整的项目承包合同、安全环保管理协议等原件扫描件（如中途有合同变更情况需另加变更后的合同扫描件）。</w:t>
            </w:r>
          </w:p>
        </w:tc>
      </w:tr>
      <w:tr w14:paraId="6DC4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69FC">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13</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61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提供作业工器具清单、合格证</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DBD">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作业工具清单需清晰记录：物品名称、数量、合格证、有效期、物品图片、检查现场图片（完成检查后需检查人员及被检查方代表签名确认，检查出问题的记录在案并拒绝该问题设备入场，设备分多次入场则每次入场检查需提供同等次数的检查资料）</w:t>
            </w:r>
          </w:p>
        </w:tc>
      </w:tr>
      <w:tr w14:paraId="7D15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208D">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14</w:t>
            </w:r>
          </w:p>
        </w:tc>
        <w:tc>
          <w:tcPr>
            <w:tcW w:w="379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172DC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特殊作业人员清单、特种作业资格证▲</w:t>
            </w:r>
          </w:p>
        </w:tc>
        <w:tc>
          <w:tcPr>
            <w:tcW w:w="578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60D4044">
            <w:pPr>
              <w:keepNext w:val="0"/>
              <w:keepLines w:val="0"/>
              <w:widowControl/>
              <w:suppressLineNumbers w:val="0"/>
              <w:jc w:val="center"/>
              <w:textAlignment w:val="center"/>
              <w:rPr>
                <w:rFonts w:hint="eastAsia" w:ascii="等线" w:hAnsi="等线" w:eastAsia="等线" w:cs="等线"/>
                <w:b/>
                <w:bCs/>
                <w:i w:val="0"/>
                <w:iCs w:val="0"/>
                <w:color w:val="FF0000"/>
                <w:sz w:val="21"/>
                <w:szCs w:val="21"/>
                <w:u w:val="none"/>
              </w:rPr>
            </w:pPr>
            <w:r>
              <w:rPr>
                <w:rFonts w:hint="eastAsia" w:ascii="等线" w:hAnsi="等线" w:eastAsia="等线" w:cs="等线"/>
                <w:b/>
                <w:bCs/>
                <w:i w:val="0"/>
                <w:iCs w:val="0"/>
                <w:color w:val="FF0000"/>
                <w:kern w:val="0"/>
                <w:sz w:val="21"/>
                <w:szCs w:val="21"/>
                <w:u w:val="none"/>
                <w:lang w:val="en-US" w:eastAsia="zh-CN" w:bidi="ar"/>
              </w:rPr>
              <w:t>电子表：涉及特种作业的人员需列出人员名单（如高、低压电工、金属热切割与焊接工、高空作业工、架子工、叉车驾驶员、及其他特种设备工等）；具体表格模板看表3特种作业人员清单。</w:t>
            </w:r>
          </w:p>
        </w:tc>
      </w:tr>
    </w:tbl>
    <w:p w14:paraId="5743118B">
      <w:pPr>
        <w:pStyle w:val="5"/>
        <w:jc w:val="both"/>
        <w:rPr>
          <w:rFonts w:hint="eastAsia" w:ascii="黑体" w:hAnsi="宋体" w:eastAsia="黑体"/>
          <w:color w:val="auto"/>
          <w:sz w:val="48"/>
          <w:szCs w:val="48"/>
          <w:lang w:eastAsia="zh-CN"/>
        </w:rPr>
      </w:pPr>
    </w:p>
    <w:p w14:paraId="4A54697F">
      <w:pPr>
        <w:pStyle w:val="5"/>
        <w:jc w:val="center"/>
        <w:rPr>
          <w:rFonts w:hint="eastAsia" w:ascii="黑体" w:hAnsi="宋体" w:eastAsia="黑体"/>
          <w:color w:val="auto"/>
          <w:sz w:val="48"/>
          <w:szCs w:val="48"/>
          <w:lang w:eastAsia="zh-CN"/>
        </w:rPr>
      </w:pPr>
    </w:p>
    <w:p w14:paraId="15E949F4">
      <w:pPr>
        <w:pStyle w:val="5"/>
        <w:jc w:val="center"/>
        <w:rPr>
          <w:rFonts w:ascii="黑体" w:hAnsi="宋体" w:eastAsia="黑体"/>
          <w:color w:val="auto"/>
          <w:sz w:val="48"/>
          <w:szCs w:val="48"/>
          <w:lang w:eastAsia="zh-CN"/>
        </w:rPr>
      </w:pPr>
      <w:r>
        <w:rPr>
          <w:rFonts w:hint="eastAsia" w:ascii="黑体" w:hAnsi="宋体" w:eastAsia="黑体"/>
          <w:color w:val="auto"/>
          <w:sz w:val="48"/>
          <w:szCs w:val="48"/>
          <w:lang w:eastAsia="zh-CN"/>
        </w:rPr>
        <w:t>采购合同</w:t>
      </w:r>
    </w:p>
    <w:p w14:paraId="46DC5423">
      <w:pPr>
        <w:pStyle w:val="5"/>
        <w:jc w:val="center"/>
        <w:rPr>
          <w:rFonts w:ascii="宋体" w:hAnsi="宋体"/>
          <w:color w:val="auto"/>
          <w:sz w:val="36"/>
          <w:szCs w:val="36"/>
          <w:lang w:eastAsia="zh-CN"/>
        </w:rPr>
      </w:pPr>
      <w:r>
        <w:rPr>
          <w:rFonts w:hint="eastAsia" w:ascii="宋体" w:hAnsi="宋体"/>
          <w:color w:val="auto"/>
          <w:sz w:val="36"/>
          <w:szCs w:val="36"/>
          <w:lang w:eastAsia="zh-CN"/>
        </w:rPr>
        <w:t>（</w:t>
      </w:r>
      <w:r>
        <w:rPr>
          <w:rFonts w:hint="eastAsia" w:ascii="宋体" w:hAnsi="宋体"/>
          <w:color w:val="auto"/>
          <w:sz w:val="36"/>
          <w:szCs w:val="36"/>
          <w:lang w:val="en-US" w:eastAsia="zh-CN"/>
        </w:rPr>
        <w:t>xx</w:t>
      </w:r>
      <w:r>
        <w:rPr>
          <w:rFonts w:hint="eastAsia" w:ascii="宋体" w:hAnsi="宋体"/>
          <w:color w:val="auto"/>
          <w:sz w:val="36"/>
          <w:szCs w:val="36"/>
          <w:lang w:eastAsia="zh-CN"/>
        </w:rPr>
        <w:t>物资合同）</w:t>
      </w:r>
    </w:p>
    <w:p w14:paraId="05FA3062">
      <w:pPr>
        <w:pStyle w:val="5"/>
        <w:jc w:val="center"/>
        <w:rPr>
          <w:rFonts w:ascii="宋体" w:hAnsi="宋体"/>
          <w:color w:val="auto"/>
          <w:sz w:val="48"/>
          <w:szCs w:val="48"/>
          <w:lang w:eastAsia="zh-CN"/>
        </w:rPr>
      </w:pPr>
    </w:p>
    <w:p w14:paraId="2AE30DB2">
      <w:pPr>
        <w:pStyle w:val="5"/>
        <w:jc w:val="center"/>
        <w:rPr>
          <w:rFonts w:ascii="宋体" w:hAnsi="宋体"/>
          <w:color w:val="auto"/>
          <w:sz w:val="48"/>
          <w:szCs w:val="48"/>
          <w:lang w:eastAsia="zh-CN"/>
        </w:rPr>
      </w:pPr>
    </w:p>
    <w:p w14:paraId="54A9E177">
      <w:pPr>
        <w:pStyle w:val="5"/>
        <w:jc w:val="center"/>
        <w:rPr>
          <w:rFonts w:ascii="宋体" w:hAnsi="宋体"/>
          <w:color w:val="auto"/>
          <w:sz w:val="48"/>
          <w:szCs w:val="48"/>
          <w:lang w:eastAsia="zh-CN"/>
        </w:rPr>
      </w:pPr>
    </w:p>
    <w:p w14:paraId="6EFC37A3">
      <w:pPr>
        <w:pStyle w:val="5"/>
        <w:jc w:val="center"/>
        <w:rPr>
          <w:rFonts w:ascii="宋体" w:hAnsi="宋体"/>
          <w:color w:val="auto"/>
          <w:sz w:val="48"/>
          <w:szCs w:val="48"/>
          <w:lang w:eastAsia="zh-CN"/>
        </w:rPr>
      </w:pPr>
    </w:p>
    <w:p w14:paraId="79445E60">
      <w:pPr>
        <w:pStyle w:val="5"/>
        <w:jc w:val="center"/>
        <w:rPr>
          <w:rFonts w:ascii="宋体" w:hAnsi="宋体"/>
          <w:color w:val="auto"/>
          <w:sz w:val="48"/>
          <w:szCs w:val="48"/>
          <w:lang w:eastAsia="zh-CN"/>
        </w:rPr>
      </w:pPr>
    </w:p>
    <w:p w14:paraId="3069C27F">
      <w:pPr>
        <w:pStyle w:val="5"/>
        <w:jc w:val="center"/>
        <w:rPr>
          <w:rFonts w:ascii="宋体" w:hAnsi="宋体"/>
          <w:color w:val="auto"/>
          <w:sz w:val="48"/>
          <w:szCs w:val="48"/>
          <w:lang w:eastAsia="zh-CN"/>
        </w:rPr>
      </w:pPr>
    </w:p>
    <w:p w14:paraId="3772BDD4">
      <w:pPr>
        <w:pStyle w:val="5"/>
        <w:jc w:val="center"/>
        <w:rPr>
          <w:rFonts w:ascii="宋体" w:hAnsi="宋体"/>
          <w:color w:val="auto"/>
          <w:sz w:val="48"/>
          <w:szCs w:val="48"/>
          <w:lang w:eastAsia="zh-CN"/>
        </w:rPr>
      </w:pPr>
    </w:p>
    <w:p w14:paraId="5BA550A2">
      <w:pPr>
        <w:pStyle w:val="5"/>
        <w:jc w:val="center"/>
        <w:rPr>
          <w:rFonts w:ascii="宋体" w:hAnsi="宋体"/>
          <w:color w:val="auto"/>
          <w:sz w:val="48"/>
          <w:szCs w:val="48"/>
          <w:lang w:eastAsia="zh-CN"/>
        </w:rPr>
      </w:pPr>
    </w:p>
    <w:p w14:paraId="588A3501">
      <w:pPr>
        <w:pStyle w:val="5"/>
        <w:jc w:val="center"/>
        <w:rPr>
          <w:rFonts w:ascii="宋体" w:hAnsi="宋体"/>
          <w:color w:val="auto"/>
          <w:sz w:val="48"/>
          <w:szCs w:val="48"/>
          <w:lang w:eastAsia="zh-CN"/>
        </w:rPr>
      </w:pPr>
    </w:p>
    <w:p w14:paraId="0880CC01">
      <w:pPr>
        <w:pStyle w:val="5"/>
        <w:jc w:val="center"/>
        <w:rPr>
          <w:rFonts w:ascii="宋体" w:hAnsi="宋体"/>
          <w:color w:val="auto"/>
          <w:sz w:val="48"/>
          <w:szCs w:val="48"/>
          <w:lang w:eastAsia="zh-CN"/>
        </w:rPr>
      </w:pPr>
    </w:p>
    <w:p w14:paraId="4FA111DA">
      <w:pPr>
        <w:pStyle w:val="5"/>
        <w:jc w:val="center"/>
        <w:rPr>
          <w:rFonts w:ascii="宋体" w:hAnsi="宋体"/>
          <w:color w:val="auto"/>
          <w:sz w:val="48"/>
          <w:szCs w:val="48"/>
          <w:lang w:eastAsia="zh-CN"/>
        </w:rPr>
      </w:pPr>
    </w:p>
    <w:p w14:paraId="4929E0FF">
      <w:pPr>
        <w:pStyle w:val="5"/>
        <w:jc w:val="center"/>
        <w:rPr>
          <w:rFonts w:ascii="宋体" w:hAnsi="宋体"/>
          <w:color w:val="auto"/>
          <w:sz w:val="48"/>
          <w:szCs w:val="48"/>
          <w:lang w:eastAsia="zh-CN"/>
        </w:rPr>
      </w:pPr>
    </w:p>
    <w:p w14:paraId="1432F69A">
      <w:pPr>
        <w:pStyle w:val="5"/>
        <w:jc w:val="center"/>
        <w:rPr>
          <w:rFonts w:ascii="宋体" w:hAnsi="宋体"/>
          <w:color w:val="auto"/>
          <w:sz w:val="48"/>
          <w:szCs w:val="48"/>
          <w:lang w:eastAsia="zh-CN"/>
        </w:rPr>
      </w:pPr>
    </w:p>
    <w:p w14:paraId="1048A177">
      <w:pPr>
        <w:pStyle w:val="5"/>
        <w:jc w:val="center"/>
        <w:rPr>
          <w:rFonts w:ascii="宋体" w:hAnsi="宋体"/>
          <w:color w:val="auto"/>
          <w:sz w:val="48"/>
          <w:szCs w:val="48"/>
          <w:lang w:eastAsia="zh-CN"/>
        </w:rPr>
      </w:pPr>
    </w:p>
    <w:p w14:paraId="29EE5A14">
      <w:pPr>
        <w:pStyle w:val="5"/>
        <w:spacing w:line="460" w:lineRule="exact"/>
        <w:ind w:left="0"/>
        <w:rPr>
          <w:rFonts w:ascii="宋体" w:hAnsi="宋体"/>
          <w:color w:val="auto"/>
          <w:sz w:val="24"/>
          <w:szCs w:val="24"/>
          <w:lang w:eastAsia="zh-CN"/>
        </w:rPr>
      </w:pPr>
    </w:p>
    <w:p w14:paraId="6B6F96E1">
      <w:pPr>
        <w:pStyle w:val="5"/>
        <w:spacing w:line="460" w:lineRule="exact"/>
        <w:ind w:left="0"/>
        <w:rPr>
          <w:rFonts w:ascii="宋体" w:hAnsi="宋体"/>
          <w:color w:val="auto"/>
          <w:sz w:val="24"/>
          <w:szCs w:val="24"/>
          <w:lang w:eastAsia="zh-CN"/>
        </w:rPr>
      </w:pPr>
    </w:p>
    <w:p w14:paraId="3EA14DF9">
      <w:pPr>
        <w:pStyle w:val="5"/>
        <w:spacing w:line="460" w:lineRule="exact"/>
        <w:ind w:left="5250" w:leftChars="2500" w:firstLine="354" w:firstLineChars="147"/>
        <w:rPr>
          <w:rFonts w:hint="eastAsia" w:ascii="宋体" w:hAnsi="宋体"/>
          <w:color w:val="auto"/>
          <w:sz w:val="24"/>
          <w:szCs w:val="24"/>
          <w:lang w:eastAsia="zh-CN"/>
        </w:rPr>
      </w:pPr>
      <w:r>
        <w:rPr>
          <w:rFonts w:hint="eastAsia" w:ascii="宋体" w:hAnsi="宋体"/>
          <w:color w:val="auto"/>
          <w:sz w:val="24"/>
          <w:szCs w:val="24"/>
          <w:lang w:eastAsia="zh-CN"/>
        </w:rPr>
        <w:t>合同编号：</w:t>
      </w:r>
    </w:p>
    <w:p w14:paraId="228B596F">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签订日期：</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年  月  日</w:t>
      </w:r>
    </w:p>
    <w:p w14:paraId="7DE34D30">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签订地点: 英德市</w:t>
      </w:r>
    </w:p>
    <w:p w14:paraId="1A8EE53A">
      <w:pPr>
        <w:pStyle w:val="5"/>
        <w:spacing w:line="460" w:lineRule="exact"/>
        <w:ind w:left="5043" w:hanging="5062" w:hangingChars="1801"/>
        <w:rPr>
          <w:rFonts w:ascii="宋体" w:hAnsi="宋体"/>
          <w:color w:val="auto"/>
          <w:sz w:val="28"/>
          <w:szCs w:val="28"/>
          <w:lang w:eastAsia="zh-CN"/>
        </w:rPr>
      </w:pPr>
      <w:r>
        <w:rPr>
          <w:rFonts w:hint="eastAsia" w:ascii="宋体" w:hAnsi="宋体"/>
          <w:color w:val="auto"/>
          <w:sz w:val="28"/>
          <w:szCs w:val="28"/>
          <w:lang w:eastAsia="zh-CN"/>
        </w:rPr>
        <w:t xml:space="preserve">购买方: </w:t>
      </w:r>
      <w:r>
        <w:rPr>
          <w:rFonts w:hint="eastAsia" w:ascii="宋体" w:hAnsi="宋体"/>
          <w:color w:val="auto"/>
          <w:sz w:val="28"/>
          <w:szCs w:val="28"/>
          <w:lang w:val="en-US" w:eastAsia="zh-CN"/>
        </w:rPr>
        <w:t>xx</w:t>
      </w:r>
      <w:r>
        <w:rPr>
          <w:rFonts w:ascii="宋体" w:hAnsi="宋体"/>
          <w:color w:val="auto"/>
          <w:sz w:val="28"/>
          <w:szCs w:val="28"/>
          <w:lang w:eastAsia="zh-CN"/>
        </w:rPr>
        <w:t>公司</w:t>
      </w:r>
    </w:p>
    <w:p w14:paraId="34BE1EB2">
      <w:pPr>
        <w:pStyle w:val="5"/>
        <w:ind w:left="0"/>
        <w:rPr>
          <w:rFonts w:ascii="宋体" w:hAnsi="宋体"/>
          <w:color w:val="auto"/>
          <w:sz w:val="21"/>
          <w:szCs w:val="21"/>
          <w:lang w:eastAsia="zh-CN"/>
        </w:rPr>
      </w:pPr>
      <w:r>
        <w:rPr>
          <w:rFonts w:hint="eastAsia" w:ascii="宋体" w:hAnsi="宋体"/>
          <w:color w:val="auto"/>
          <w:sz w:val="28"/>
          <w:szCs w:val="28"/>
        </w:rPr>
        <w:t>销售方:</w:t>
      </w:r>
    </w:p>
    <w:p w14:paraId="42FEC9C9">
      <w:pPr>
        <w:pStyle w:val="5"/>
        <w:numPr>
          <w:ilvl w:val="0"/>
          <w:numId w:val="2"/>
        </w:numPr>
        <w:spacing w:line="500" w:lineRule="exact"/>
        <w:rPr>
          <w:rFonts w:ascii="宋体" w:hAnsi="宋体"/>
          <w:color w:val="auto"/>
          <w:sz w:val="28"/>
          <w:szCs w:val="28"/>
        </w:rPr>
      </w:pPr>
      <w:r>
        <w:rPr>
          <w:rFonts w:hint="eastAsia" w:ascii="宋体" w:hAnsi="宋体"/>
          <w:color w:val="auto"/>
          <w:sz w:val="28"/>
          <w:szCs w:val="28"/>
        </w:rPr>
        <w:t>订购物资数量及规格</w:t>
      </w:r>
    </w:p>
    <w:p w14:paraId="65FB6860">
      <w:pPr>
        <w:pStyle w:val="5"/>
        <w:spacing w:line="500" w:lineRule="exact"/>
        <w:ind w:firstLine="562" w:firstLineChars="200"/>
        <w:rPr>
          <w:rFonts w:ascii="宋体" w:hAnsi="宋体"/>
          <w:color w:val="auto"/>
          <w:sz w:val="28"/>
          <w:szCs w:val="28"/>
          <w:lang w:eastAsia="zh-CN"/>
        </w:rPr>
      </w:pPr>
      <w:r>
        <w:rPr>
          <w:rFonts w:hint="eastAsia" w:ascii="宋体" w:hAnsi="宋体"/>
          <w:color w:val="auto"/>
          <w:sz w:val="28"/>
          <w:szCs w:val="28"/>
          <w:lang w:eastAsia="zh-CN"/>
        </w:rPr>
        <w:t>见附表。附表是本合同不可分割的组成部分，与合同正文具有同等法律效力。</w:t>
      </w:r>
    </w:p>
    <w:p w14:paraId="7BACF062">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第二条  订购物资质量要求</w:t>
      </w:r>
    </w:p>
    <w:p w14:paraId="21286CC7">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一、所订购的物资(以下简称货物)质量技术指标符合相</w:t>
      </w:r>
      <w:r>
        <w:rPr>
          <w:rFonts w:ascii="宋体" w:hAnsi="宋体"/>
          <w:color w:val="auto"/>
          <w:sz w:val="28"/>
          <w:szCs w:val="28"/>
          <w:lang w:eastAsia="zh-CN"/>
        </w:rPr>
        <w:t>关标准</w:t>
      </w:r>
      <w:r>
        <w:rPr>
          <w:rFonts w:hint="eastAsia" w:ascii="宋体" w:hAnsi="宋体"/>
          <w:color w:val="auto"/>
          <w:sz w:val="28"/>
          <w:szCs w:val="28"/>
          <w:lang w:eastAsia="zh-CN"/>
        </w:rPr>
        <w:t>(包括</w:t>
      </w:r>
      <w:r>
        <w:rPr>
          <w:rFonts w:ascii="宋体" w:hAnsi="宋体"/>
          <w:color w:val="auto"/>
          <w:sz w:val="28"/>
          <w:szCs w:val="28"/>
          <w:lang w:eastAsia="zh-CN"/>
        </w:rPr>
        <w:t>国家标准、行业标准</w:t>
      </w:r>
      <w:r>
        <w:rPr>
          <w:rFonts w:hint="eastAsia" w:ascii="宋体" w:hAnsi="宋体"/>
          <w:color w:val="auto"/>
          <w:sz w:val="28"/>
          <w:szCs w:val="28"/>
          <w:lang w:eastAsia="zh-CN"/>
        </w:rPr>
        <w:t>及</w:t>
      </w:r>
      <w:r>
        <w:rPr>
          <w:rFonts w:ascii="宋体" w:hAnsi="宋体"/>
          <w:color w:val="auto"/>
          <w:sz w:val="28"/>
          <w:szCs w:val="28"/>
          <w:lang w:eastAsia="zh-CN"/>
        </w:rPr>
        <w:t>企业标准</w:t>
      </w:r>
      <w:r>
        <w:rPr>
          <w:rFonts w:hint="eastAsia" w:ascii="宋体" w:hAnsi="宋体"/>
          <w:color w:val="auto"/>
          <w:sz w:val="28"/>
          <w:szCs w:val="28"/>
          <w:lang w:eastAsia="zh-CN"/>
        </w:rPr>
        <w:t>)</w:t>
      </w:r>
      <w:r>
        <w:rPr>
          <w:rFonts w:ascii="宋体" w:hAnsi="宋体"/>
          <w:color w:val="auto"/>
          <w:sz w:val="28"/>
          <w:szCs w:val="28"/>
          <w:lang w:eastAsia="zh-CN"/>
        </w:rPr>
        <w:t>，</w:t>
      </w:r>
      <w:r>
        <w:rPr>
          <w:rFonts w:hint="eastAsia" w:ascii="宋体" w:hAnsi="宋体"/>
          <w:color w:val="auto"/>
          <w:sz w:val="28"/>
          <w:szCs w:val="28"/>
          <w:lang w:eastAsia="zh-CN"/>
        </w:rPr>
        <w:t>相应国标与</w:t>
      </w:r>
      <w:r>
        <w:rPr>
          <w:rFonts w:ascii="宋体" w:hAnsi="宋体"/>
          <w:color w:val="auto"/>
          <w:sz w:val="28"/>
          <w:szCs w:val="28"/>
          <w:lang w:eastAsia="zh-CN"/>
        </w:rPr>
        <w:t>相关</w:t>
      </w:r>
      <w:r>
        <w:rPr>
          <w:rFonts w:hint="eastAsia" w:ascii="宋体" w:hAnsi="宋体"/>
          <w:color w:val="auto"/>
          <w:sz w:val="28"/>
          <w:szCs w:val="28"/>
          <w:lang w:eastAsia="zh-CN"/>
        </w:rPr>
        <w:t>标准供方应提供作为本合同附件之一；</w:t>
      </w:r>
    </w:p>
    <w:p w14:paraId="0C9FE7B3">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二、供方提供厂检合格证（需</w:t>
      </w:r>
      <w:r>
        <w:rPr>
          <w:rFonts w:ascii="宋体" w:hAnsi="宋体"/>
          <w:color w:val="auto"/>
          <w:sz w:val="28"/>
          <w:szCs w:val="28"/>
          <w:lang w:eastAsia="zh-CN"/>
        </w:rPr>
        <w:t>提</w:t>
      </w:r>
      <w:r>
        <w:rPr>
          <w:rFonts w:hint="eastAsia" w:ascii="宋体" w:hAnsi="宋体"/>
          <w:color w:val="auto"/>
          <w:sz w:val="28"/>
          <w:szCs w:val="28"/>
          <w:lang w:eastAsia="zh-CN"/>
        </w:rPr>
        <w:t>供第三方检测证书的</w:t>
      </w:r>
      <w:r>
        <w:rPr>
          <w:rFonts w:ascii="宋体" w:hAnsi="宋体"/>
          <w:color w:val="auto"/>
          <w:sz w:val="28"/>
          <w:szCs w:val="28"/>
          <w:lang w:eastAsia="zh-CN"/>
        </w:rPr>
        <w:t>，第三方检</w:t>
      </w:r>
      <w:r>
        <w:rPr>
          <w:rFonts w:hint="eastAsia" w:ascii="宋体" w:hAnsi="宋体"/>
          <w:color w:val="auto"/>
          <w:sz w:val="28"/>
          <w:szCs w:val="28"/>
          <w:lang w:eastAsia="zh-CN"/>
        </w:rPr>
        <w:t>测</w:t>
      </w:r>
      <w:r>
        <w:rPr>
          <w:rFonts w:ascii="宋体" w:hAnsi="宋体"/>
          <w:color w:val="auto"/>
          <w:sz w:val="28"/>
          <w:szCs w:val="28"/>
          <w:lang w:eastAsia="zh-CN"/>
        </w:rPr>
        <w:t>证书</w:t>
      </w:r>
      <w:r>
        <w:rPr>
          <w:rFonts w:hint="eastAsia" w:ascii="宋体" w:hAnsi="宋体"/>
          <w:color w:val="auto"/>
          <w:sz w:val="28"/>
          <w:szCs w:val="28"/>
          <w:lang w:eastAsia="zh-CN"/>
        </w:rPr>
        <w:t xml:space="preserve">作为该物资的质量证明。） </w:t>
      </w:r>
    </w:p>
    <w:p w14:paraId="4DEDAFC6">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第三条  技术资料提供办法</w:t>
      </w:r>
    </w:p>
    <w:p w14:paraId="0717C59F">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一、供方给需方提供订购物资的产品目录、样品图集、生产厂及产品介绍、使用说明书等有关资料作为选择该类物资的参考； </w:t>
      </w:r>
    </w:p>
    <w:p w14:paraId="356E81F1">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二、需方对采购物资提出的本合同条款内未约定的相关质量要求视为本条的补充内容，与本合同具有同等法律效力。</w:t>
      </w:r>
    </w:p>
    <w:p w14:paraId="434396B9">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第四条  交货验收</w:t>
      </w:r>
    </w:p>
    <w:p w14:paraId="76453A90">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一、需方指定使用方工厂交货，按照合同以及相应国标、行业</w:t>
      </w:r>
      <w:r>
        <w:rPr>
          <w:rFonts w:ascii="宋体" w:hAnsi="宋体"/>
          <w:color w:val="auto"/>
          <w:sz w:val="28"/>
          <w:szCs w:val="28"/>
          <w:lang w:eastAsia="zh-CN"/>
        </w:rPr>
        <w:t>标准</w:t>
      </w:r>
      <w:r>
        <w:rPr>
          <w:rFonts w:hint="eastAsia" w:ascii="宋体" w:hAnsi="宋体"/>
          <w:color w:val="auto"/>
          <w:sz w:val="28"/>
          <w:szCs w:val="28"/>
          <w:lang w:eastAsia="zh-CN"/>
        </w:rPr>
        <w:t>及企业标准的质量要求、图纸或样品作为验收标准；</w:t>
      </w:r>
    </w:p>
    <w:p w14:paraId="6C06D4DC">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66AAABF6">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第五条  交货时间和地点</w:t>
      </w:r>
    </w:p>
    <w:p w14:paraId="73CBFE23">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一、交货日期计算：供方自备运输工具送交需方工厂，以需方接收的戳记日期为准；具体交货时间及地点见附表；</w:t>
      </w:r>
    </w:p>
    <w:p w14:paraId="54BCA99C">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二、任何一方要求提前或延期交货，必须事先与对方达成协议，并按协议执行。</w:t>
      </w:r>
    </w:p>
    <w:p w14:paraId="1DA61F1B">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第六条  结算方式及期限</w:t>
      </w:r>
    </w:p>
    <w:p w14:paraId="0DC42B4B">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一、货到后需方按相关标准检验合格后出具接收证明，办理暂存手续。</w:t>
      </w:r>
    </w:p>
    <w:p w14:paraId="04E978BC">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二、需方使用部门领用后，按期开具入库单，供方依据入库单提供增值税专用发票挂帐后，需方按资金支付计划支付货款。 </w:t>
      </w:r>
    </w:p>
    <w:p w14:paraId="26F44B54">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三、电汇方式支付已挂帐货款。</w:t>
      </w:r>
    </w:p>
    <w:p w14:paraId="38CD0748">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第七条  其他约定</w:t>
      </w:r>
    </w:p>
    <w:p w14:paraId="6E0DDC43">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一、供方未按需方要求多送的货物，需方在有存放空间的条件下可作暂存。需方暂存期间（无偿保管），除需方保管有重大过失造成的损失外，需方不承担任何货物毁损灭失责任。</w:t>
      </w:r>
    </w:p>
    <w:p w14:paraId="451236C9">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33FD31C8">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lang w:eastAsia="zh-CN"/>
        </w:rPr>
        <w:t>与</w:t>
      </w:r>
      <w:r>
        <w:rPr>
          <w:rFonts w:hint="eastAsia" w:ascii="宋体" w:hAnsi="宋体"/>
          <w:color w:val="auto"/>
          <w:sz w:val="28"/>
          <w:szCs w:val="28"/>
          <w:lang w:eastAsia="zh-CN"/>
        </w:rPr>
        <w:t>供方</w:t>
      </w:r>
      <w:r>
        <w:rPr>
          <w:rFonts w:ascii="宋体" w:hAnsi="宋体"/>
          <w:color w:val="auto"/>
          <w:sz w:val="28"/>
          <w:szCs w:val="28"/>
          <w:lang w:eastAsia="zh-CN"/>
        </w:rPr>
        <w:t>达成</w:t>
      </w:r>
      <w:r>
        <w:rPr>
          <w:rFonts w:hint="eastAsia" w:ascii="宋体" w:hAnsi="宋体"/>
          <w:color w:val="auto"/>
          <w:sz w:val="28"/>
          <w:szCs w:val="28"/>
          <w:lang w:eastAsia="zh-CN"/>
        </w:rPr>
        <w:t>调</w:t>
      </w:r>
      <w:r>
        <w:rPr>
          <w:rFonts w:ascii="宋体" w:hAnsi="宋体"/>
          <w:color w:val="auto"/>
          <w:sz w:val="28"/>
          <w:szCs w:val="28"/>
          <w:lang w:eastAsia="zh-CN"/>
        </w:rPr>
        <w:t>换货</w:t>
      </w:r>
      <w:r>
        <w:rPr>
          <w:rFonts w:hint="eastAsia" w:ascii="宋体" w:hAnsi="宋体"/>
          <w:color w:val="auto"/>
          <w:sz w:val="28"/>
          <w:szCs w:val="28"/>
          <w:lang w:eastAsia="zh-CN"/>
        </w:rPr>
        <w:t>意</w:t>
      </w:r>
      <w:r>
        <w:rPr>
          <w:rFonts w:ascii="宋体" w:hAnsi="宋体"/>
          <w:color w:val="auto"/>
          <w:sz w:val="28"/>
          <w:szCs w:val="28"/>
          <w:lang w:eastAsia="zh-CN"/>
        </w:rPr>
        <w:t>向的除外）</w:t>
      </w:r>
      <w:r>
        <w:rPr>
          <w:rFonts w:hint="eastAsia" w:ascii="宋体" w:hAnsi="宋体"/>
          <w:color w:val="auto"/>
          <w:sz w:val="28"/>
          <w:szCs w:val="28"/>
          <w:lang w:eastAsia="zh-CN"/>
        </w:rPr>
        <w:t>。</w:t>
      </w:r>
    </w:p>
    <w:p w14:paraId="4AF33FCB">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32F5A4B1">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五、合同有效期为签订合同之日起一年。</w:t>
      </w:r>
    </w:p>
    <w:p w14:paraId="038E2487">
      <w:pPr>
        <w:pStyle w:val="5"/>
        <w:tabs>
          <w:tab w:val="left" w:pos="3720"/>
        </w:tabs>
        <w:spacing w:line="500" w:lineRule="exact"/>
        <w:rPr>
          <w:rFonts w:ascii="宋体" w:hAnsi="宋体"/>
          <w:color w:val="auto"/>
          <w:sz w:val="28"/>
          <w:szCs w:val="28"/>
          <w:lang w:eastAsia="zh-CN"/>
        </w:rPr>
      </w:pPr>
      <w:r>
        <w:rPr>
          <w:rFonts w:hint="eastAsia" w:ascii="宋体" w:hAnsi="宋体"/>
          <w:color w:val="auto"/>
          <w:sz w:val="28"/>
          <w:szCs w:val="28"/>
          <w:lang w:eastAsia="zh-CN"/>
        </w:rPr>
        <w:t>第八条  供方的违约责任</w:t>
      </w:r>
      <w:r>
        <w:rPr>
          <w:rFonts w:hint="eastAsia" w:ascii="宋体" w:hAnsi="宋体"/>
          <w:color w:val="auto"/>
          <w:sz w:val="28"/>
          <w:szCs w:val="28"/>
          <w:lang w:eastAsia="zh-CN"/>
        </w:rPr>
        <w:tab/>
      </w:r>
    </w:p>
    <w:p w14:paraId="3E756169">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lang w:eastAsia="zh-CN"/>
        </w:rPr>
        <w:t>应按照不符合</w:t>
      </w:r>
      <w:r>
        <w:rPr>
          <w:rFonts w:hint="eastAsia" w:ascii="宋体" w:hAnsi="宋体"/>
          <w:color w:val="auto"/>
          <w:sz w:val="28"/>
          <w:szCs w:val="28"/>
          <w:lang w:eastAsia="zh-CN"/>
        </w:rPr>
        <w:t>合同约定</w:t>
      </w:r>
      <w:r>
        <w:rPr>
          <w:rFonts w:ascii="宋体" w:hAnsi="宋体"/>
          <w:color w:val="auto"/>
          <w:sz w:val="28"/>
          <w:szCs w:val="28"/>
          <w:lang w:eastAsia="zh-CN"/>
        </w:rPr>
        <w:t>标准货物对应价格的</w:t>
      </w:r>
      <w:r>
        <w:rPr>
          <w:rFonts w:hint="eastAsia" w:ascii="宋体" w:hAnsi="宋体"/>
          <w:color w:val="auto"/>
          <w:sz w:val="28"/>
          <w:szCs w:val="28"/>
          <w:lang w:eastAsia="zh-CN"/>
        </w:rPr>
        <w:t>30</w:t>
      </w:r>
      <w:r>
        <w:rPr>
          <w:rFonts w:ascii="宋体" w:hAnsi="宋体"/>
          <w:color w:val="auto"/>
          <w:sz w:val="28"/>
          <w:szCs w:val="28"/>
          <w:lang w:eastAsia="zh-CN"/>
        </w:rPr>
        <w:t>%向</w:t>
      </w:r>
      <w:r>
        <w:rPr>
          <w:rFonts w:hint="eastAsia" w:ascii="宋体" w:hAnsi="宋体"/>
          <w:color w:val="auto"/>
          <w:sz w:val="28"/>
          <w:szCs w:val="28"/>
          <w:lang w:eastAsia="zh-CN"/>
        </w:rPr>
        <w:t>需方</w:t>
      </w:r>
      <w:r>
        <w:rPr>
          <w:rFonts w:ascii="宋体" w:hAnsi="宋体"/>
          <w:color w:val="auto"/>
          <w:sz w:val="28"/>
          <w:szCs w:val="28"/>
          <w:lang w:eastAsia="zh-CN"/>
        </w:rPr>
        <w:t>支付瑕疵履行违约金，并</w:t>
      </w:r>
      <w:r>
        <w:rPr>
          <w:rFonts w:hint="eastAsia" w:ascii="宋体" w:hAnsi="宋体"/>
          <w:color w:val="auto"/>
          <w:sz w:val="28"/>
          <w:szCs w:val="28"/>
          <w:lang w:eastAsia="zh-CN"/>
        </w:rPr>
        <w:t>赔偿由此</w:t>
      </w:r>
      <w:r>
        <w:rPr>
          <w:rFonts w:ascii="宋体" w:hAnsi="宋体"/>
          <w:color w:val="auto"/>
          <w:sz w:val="28"/>
          <w:szCs w:val="28"/>
          <w:lang w:eastAsia="zh-CN"/>
        </w:rPr>
        <w:t>给</w:t>
      </w:r>
      <w:r>
        <w:rPr>
          <w:rFonts w:hint="eastAsia" w:ascii="宋体" w:hAnsi="宋体"/>
          <w:color w:val="auto"/>
          <w:sz w:val="28"/>
          <w:szCs w:val="28"/>
          <w:lang w:eastAsia="zh-CN"/>
        </w:rPr>
        <w:t>需方造成的实际损失。需方有权直接从供方的货款中扣减损失及</w:t>
      </w:r>
      <w:r>
        <w:rPr>
          <w:rFonts w:ascii="宋体" w:hAnsi="宋体"/>
          <w:color w:val="auto"/>
          <w:sz w:val="28"/>
          <w:szCs w:val="28"/>
          <w:lang w:eastAsia="zh-CN"/>
        </w:rPr>
        <w:t>违约金</w:t>
      </w:r>
      <w:r>
        <w:rPr>
          <w:rFonts w:hint="eastAsia" w:ascii="宋体" w:hAnsi="宋体"/>
          <w:color w:val="auto"/>
          <w:sz w:val="28"/>
          <w:szCs w:val="28"/>
          <w:lang w:eastAsia="zh-CN"/>
        </w:rPr>
        <w:t>。</w:t>
      </w:r>
    </w:p>
    <w:p w14:paraId="37320FE7">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二、供方逾期</w:t>
      </w:r>
      <w:r>
        <w:rPr>
          <w:rFonts w:ascii="宋体" w:hAnsi="宋体"/>
          <w:color w:val="auto"/>
          <w:sz w:val="28"/>
          <w:szCs w:val="28"/>
          <w:lang w:eastAsia="zh-CN"/>
        </w:rPr>
        <w:t>交付货物的，</w:t>
      </w:r>
      <w:r>
        <w:rPr>
          <w:rFonts w:hint="eastAsia" w:ascii="宋体" w:hAnsi="宋体"/>
          <w:color w:val="auto"/>
          <w:sz w:val="28"/>
          <w:szCs w:val="28"/>
          <w:lang w:eastAsia="zh-CN"/>
        </w:rPr>
        <w:t>每</w:t>
      </w:r>
      <w:r>
        <w:rPr>
          <w:rFonts w:ascii="宋体" w:hAnsi="宋体"/>
          <w:color w:val="auto"/>
          <w:sz w:val="28"/>
          <w:szCs w:val="28"/>
          <w:lang w:eastAsia="zh-CN"/>
        </w:rPr>
        <w:t>逾期一日，须按照逾期交付货物价格的</w:t>
      </w:r>
      <w:r>
        <w:rPr>
          <w:rFonts w:hint="eastAsia" w:ascii="宋体" w:hAnsi="宋体"/>
          <w:color w:val="auto"/>
          <w:sz w:val="28"/>
          <w:szCs w:val="28"/>
          <w:lang w:eastAsia="zh-CN"/>
        </w:rPr>
        <w:t>1</w:t>
      </w:r>
      <w:r>
        <w:rPr>
          <w:rFonts w:ascii="宋体" w:hAnsi="宋体"/>
          <w:color w:val="auto"/>
          <w:sz w:val="28"/>
          <w:szCs w:val="28"/>
          <w:lang w:eastAsia="zh-CN"/>
        </w:rPr>
        <w:t>%</w:t>
      </w:r>
      <w:r>
        <w:rPr>
          <w:rFonts w:hint="eastAsia" w:ascii="宋体" w:hAnsi="宋体"/>
          <w:color w:val="auto"/>
          <w:sz w:val="28"/>
          <w:szCs w:val="28"/>
          <w:lang w:eastAsia="zh-CN"/>
        </w:rPr>
        <w:t>向需方</w:t>
      </w:r>
      <w:r>
        <w:rPr>
          <w:rFonts w:ascii="宋体" w:hAnsi="宋体"/>
          <w:color w:val="auto"/>
          <w:sz w:val="28"/>
          <w:szCs w:val="28"/>
          <w:lang w:eastAsia="zh-CN"/>
        </w:rPr>
        <w:t>支付迟延履行违约金一笔</w:t>
      </w:r>
      <w:r>
        <w:rPr>
          <w:rFonts w:hint="eastAsia" w:ascii="宋体" w:hAnsi="宋体"/>
          <w:color w:val="auto"/>
          <w:sz w:val="28"/>
          <w:szCs w:val="28"/>
          <w:lang w:eastAsia="zh-CN"/>
        </w:rPr>
        <w:t>，供方迟延</w:t>
      </w:r>
      <w:r>
        <w:rPr>
          <w:rFonts w:ascii="宋体" w:hAnsi="宋体"/>
          <w:color w:val="auto"/>
          <w:sz w:val="28"/>
          <w:szCs w:val="28"/>
          <w:lang w:eastAsia="zh-CN"/>
        </w:rPr>
        <w:t>交货达</w:t>
      </w:r>
      <w:r>
        <w:rPr>
          <w:rFonts w:hint="eastAsia" w:ascii="宋体" w:hAnsi="宋体"/>
          <w:color w:val="auto"/>
          <w:sz w:val="28"/>
          <w:szCs w:val="28"/>
          <w:lang w:eastAsia="zh-CN"/>
        </w:rPr>
        <w:t>15日</w:t>
      </w:r>
      <w:r>
        <w:rPr>
          <w:rFonts w:ascii="宋体" w:hAnsi="宋体"/>
          <w:color w:val="auto"/>
          <w:sz w:val="28"/>
          <w:szCs w:val="28"/>
          <w:lang w:eastAsia="zh-CN"/>
        </w:rPr>
        <w:t>的，</w:t>
      </w:r>
      <w:r>
        <w:rPr>
          <w:rFonts w:hint="eastAsia" w:ascii="宋体" w:hAnsi="宋体"/>
          <w:color w:val="auto"/>
          <w:sz w:val="28"/>
          <w:szCs w:val="28"/>
          <w:lang w:eastAsia="zh-CN"/>
        </w:rPr>
        <w:t>需方有权单方</w:t>
      </w:r>
      <w:r>
        <w:rPr>
          <w:rFonts w:ascii="宋体" w:hAnsi="宋体"/>
          <w:color w:val="auto"/>
          <w:sz w:val="28"/>
          <w:szCs w:val="28"/>
          <w:lang w:eastAsia="zh-CN"/>
        </w:rPr>
        <w:t>解除本协议，并追究</w:t>
      </w:r>
      <w:r>
        <w:rPr>
          <w:rFonts w:hint="eastAsia" w:ascii="宋体" w:hAnsi="宋体"/>
          <w:color w:val="auto"/>
          <w:sz w:val="28"/>
          <w:szCs w:val="28"/>
          <w:lang w:eastAsia="zh-CN"/>
        </w:rPr>
        <w:t>供方</w:t>
      </w:r>
      <w:r>
        <w:rPr>
          <w:rFonts w:ascii="宋体" w:hAnsi="宋体"/>
          <w:color w:val="auto"/>
          <w:sz w:val="28"/>
          <w:szCs w:val="28"/>
          <w:lang w:eastAsia="zh-CN"/>
        </w:rPr>
        <w:t>的违约责任。</w:t>
      </w:r>
      <w:r>
        <w:rPr>
          <w:rFonts w:hint="eastAsia" w:ascii="宋体" w:hAnsi="宋体"/>
          <w:color w:val="auto"/>
          <w:sz w:val="28"/>
          <w:szCs w:val="28"/>
          <w:lang w:eastAsia="zh-CN"/>
        </w:rPr>
        <w:t>逾期交付的货物，供方应在需方书面允许的期限内照数补齐；供方少交、迟交的部分货物，需方有权拒收，由此产生的费用及损失由供方承担。</w:t>
      </w:r>
    </w:p>
    <w:p w14:paraId="7858FEEA">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三、不能交付货物，应当偿付不能交付货物部分价款总值的</w:t>
      </w:r>
      <w:r>
        <w:rPr>
          <w:rFonts w:ascii="宋体" w:hAnsi="宋体"/>
          <w:color w:val="auto"/>
          <w:sz w:val="28"/>
          <w:szCs w:val="28"/>
          <w:lang w:eastAsia="zh-CN"/>
        </w:rPr>
        <w:t>10</w:t>
      </w:r>
      <w:r>
        <w:rPr>
          <w:rFonts w:hint="eastAsia" w:ascii="宋体" w:hAnsi="宋体"/>
          <w:color w:val="auto"/>
          <w:sz w:val="28"/>
          <w:szCs w:val="28"/>
          <w:lang w:eastAsia="zh-CN"/>
        </w:rPr>
        <w:t>%违约金，违约金需方可从供方货款中扣除。</w:t>
      </w:r>
    </w:p>
    <w:p w14:paraId="575AA7D9">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四、实行代运或送货的供方，错发到达地点或接收单位(人)，除按合同规定负责运到指定地点或接收单位(人)外，并承担因此多付的运杂费和逾期交付货物的责任。</w:t>
      </w:r>
    </w:p>
    <w:p w14:paraId="265D6CD7">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第九条  需方的违约责任</w:t>
      </w:r>
    </w:p>
    <w:p w14:paraId="0CBBFE84">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一、需方在合同履行过程中变更订作货物的数量、规格、质量或设计等，应当在货物发出前通知供方； </w:t>
      </w:r>
    </w:p>
    <w:p w14:paraId="4124A85E">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二、需方无故拒绝接收供方按合同规定期限提供的货物，需方应当赔偿供方因此造成的损失；</w:t>
      </w:r>
    </w:p>
    <w:p w14:paraId="5ED09241">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三、需方变更交付货物地点或接收单位的，应在货物发出前通知供方，因变更交货地而增加的运费或货物已发出而增加的二次倒运费由需方承担；</w:t>
      </w:r>
    </w:p>
    <w:p w14:paraId="5B035AFC">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四、需方未按合同规定的条款付款，造成的后期供货延迟，供方不承担由此造成的损失，责任由需方承担。</w:t>
      </w:r>
    </w:p>
    <w:p w14:paraId="27BC696D">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第十条  不可抗力</w:t>
      </w:r>
    </w:p>
    <w:p w14:paraId="7D3B1946">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B29A27B">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第十一条  纠纷的处理</w:t>
      </w:r>
    </w:p>
    <w:p w14:paraId="4D6763CB">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因本合同引发的争议，双方可协商解决。协商不成应向需方所在地人民法院提起诉讼，诉讼费、律师代理费等相关费用由责任方承担。</w:t>
      </w:r>
    </w:p>
    <w:p w14:paraId="40FECA0B">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第十二条 廉洁条款</w:t>
      </w:r>
    </w:p>
    <w:p w14:paraId="321D7E14">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1.供需双方及其员工不得向对方及其员工实施商业贿赂行为，包括但不限于给予回扣、礼品、馈赠、娱乐、招待等行为。</w:t>
      </w:r>
    </w:p>
    <w:p w14:paraId="3F39D3D6">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2.供需双方及其员工不得向对方及其员工索要财物。</w:t>
      </w:r>
    </w:p>
    <w:p w14:paraId="41ACD452">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3.需方发现供方或供方员工向需方或需方员工实施前两款行为的，需方有权单方解除本合同，同时供方应向需方支付合同总金额10%的违约金。</w:t>
      </w:r>
    </w:p>
    <w:p w14:paraId="4505DF9F">
      <w:pPr>
        <w:pStyle w:val="5"/>
        <w:spacing w:line="500" w:lineRule="exact"/>
        <w:rPr>
          <w:rFonts w:ascii="宋体" w:hAnsi="宋体"/>
          <w:b/>
          <w:bCs/>
          <w:color w:val="auto"/>
          <w:sz w:val="28"/>
          <w:szCs w:val="28"/>
          <w:lang w:eastAsia="zh-CN"/>
        </w:rPr>
      </w:pPr>
      <w:r>
        <w:rPr>
          <w:rFonts w:hint="eastAsia" w:ascii="宋体" w:hAnsi="宋体"/>
          <w:color w:val="auto"/>
          <w:sz w:val="28"/>
          <w:szCs w:val="28"/>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0B715C82">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第十三条 其它</w:t>
      </w:r>
    </w:p>
    <w:p w14:paraId="4D2101E9">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本合同自双</w:t>
      </w:r>
      <w:r>
        <w:rPr>
          <w:rFonts w:ascii="宋体" w:hAnsi="宋体"/>
          <w:color w:val="auto"/>
          <w:sz w:val="28"/>
          <w:szCs w:val="28"/>
          <w:lang w:eastAsia="zh-CN"/>
        </w:rPr>
        <w:t>方盖</w:t>
      </w:r>
      <w:r>
        <w:rPr>
          <w:rFonts w:hint="eastAsia" w:ascii="宋体" w:hAnsi="宋体"/>
          <w:color w:val="auto"/>
          <w:sz w:val="28"/>
          <w:szCs w:val="28"/>
          <w:lang w:val="en-US" w:eastAsia="zh-CN"/>
        </w:rPr>
        <w:t>章后合同</w:t>
      </w:r>
      <w:r>
        <w:rPr>
          <w:rFonts w:hint="eastAsia" w:ascii="宋体" w:hAnsi="宋体"/>
          <w:color w:val="auto"/>
          <w:sz w:val="28"/>
          <w:szCs w:val="28"/>
          <w:lang w:eastAsia="zh-CN"/>
        </w:rPr>
        <w:t>生效，合同所有条款履行完毕即失效，本合同执行期间，双方不得随意变更和解除合同，合同如有未尽事宜，由双方共同协商作出补充规定，补充规定与本合同具有同等法律效力。</w:t>
      </w:r>
    </w:p>
    <w:p w14:paraId="22E4DF34">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本合同一式贰份，购买方壹份，销售方壹份。</w:t>
      </w:r>
    </w:p>
    <w:p w14:paraId="2FDCC51F">
      <w:pPr>
        <w:widowControl/>
        <w:spacing w:line="500" w:lineRule="exact"/>
        <w:jc w:val="both"/>
        <w:rPr>
          <w:rFonts w:hint="eastAsia" w:ascii="仿宋_GB2312" w:hAnsi="黑体" w:eastAsia="仿宋_GB2312"/>
          <w:b/>
          <w:bCs/>
          <w:color w:val="auto"/>
          <w:sz w:val="44"/>
          <w:szCs w:val="44"/>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54BC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680C7B8C">
            <w:pPr>
              <w:spacing w:line="360" w:lineRule="auto"/>
              <w:jc w:val="center"/>
              <w:rPr>
                <w:rFonts w:ascii="宋体" w:hAnsi="宋体"/>
                <w:b/>
                <w:color w:val="auto"/>
                <w:sz w:val="24"/>
                <w:lang w:val="zh-CN"/>
              </w:rPr>
            </w:pPr>
            <w:r>
              <w:rPr>
                <w:rFonts w:hint="eastAsia" w:ascii="宋体" w:hAnsi="宋体"/>
                <w:b/>
                <w:color w:val="auto"/>
                <w:sz w:val="24"/>
                <w:lang w:val="zh-CN"/>
              </w:rPr>
              <w:t>需方</w:t>
            </w:r>
          </w:p>
          <w:p w14:paraId="35FE7986">
            <w:pPr>
              <w:spacing w:line="360" w:lineRule="auto"/>
              <w:rPr>
                <w:rFonts w:ascii="宋体" w:hAnsi="宋体"/>
                <w:color w:val="auto"/>
                <w:sz w:val="22"/>
                <w:szCs w:val="22"/>
              </w:rPr>
            </w:pPr>
            <w:r>
              <w:rPr>
                <w:rFonts w:hint="eastAsia" w:ascii="宋体" w:hAnsi="宋体"/>
                <w:color w:val="auto"/>
                <w:sz w:val="22"/>
                <w:szCs w:val="22"/>
              </w:rPr>
              <w:t xml:space="preserve">单位名称(章)： </w:t>
            </w:r>
          </w:p>
          <w:p w14:paraId="3E671BD9">
            <w:pPr>
              <w:spacing w:line="360" w:lineRule="auto"/>
              <w:rPr>
                <w:rFonts w:ascii="宋体" w:hAnsi="宋体"/>
                <w:color w:val="auto"/>
                <w:sz w:val="22"/>
                <w:szCs w:val="22"/>
              </w:rPr>
            </w:pPr>
            <w:r>
              <w:rPr>
                <w:rFonts w:hint="eastAsia" w:ascii="宋体" w:hAnsi="宋体"/>
                <w:color w:val="auto"/>
                <w:sz w:val="22"/>
                <w:szCs w:val="22"/>
              </w:rPr>
              <w:t>单位地址：</w:t>
            </w:r>
          </w:p>
          <w:p w14:paraId="146D8AD1">
            <w:pPr>
              <w:spacing w:line="360" w:lineRule="auto"/>
              <w:rPr>
                <w:rFonts w:ascii="宋体" w:hAnsi="宋体"/>
                <w:color w:val="auto"/>
                <w:sz w:val="22"/>
                <w:szCs w:val="22"/>
              </w:rPr>
            </w:pPr>
            <w:r>
              <w:rPr>
                <w:rFonts w:hint="eastAsia" w:ascii="宋体" w:hAnsi="宋体"/>
                <w:color w:val="auto"/>
                <w:sz w:val="22"/>
                <w:szCs w:val="22"/>
              </w:rPr>
              <w:t>法定代表人：</w:t>
            </w:r>
          </w:p>
          <w:p w14:paraId="2229A924">
            <w:pPr>
              <w:spacing w:line="360" w:lineRule="auto"/>
              <w:jc w:val="left"/>
              <w:rPr>
                <w:rFonts w:ascii="宋体" w:hAnsi="宋体"/>
                <w:color w:val="auto"/>
                <w:sz w:val="22"/>
                <w:szCs w:val="22"/>
              </w:rPr>
            </w:pPr>
          </w:p>
          <w:p w14:paraId="27D1B562">
            <w:pPr>
              <w:tabs>
                <w:tab w:val="center" w:pos="4182"/>
              </w:tabs>
              <w:spacing w:line="360" w:lineRule="auto"/>
              <w:rPr>
                <w:rFonts w:ascii="宋体" w:hAnsi="宋体"/>
                <w:color w:val="auto"/>
                <w:sz w:val="22"/>
                <w:szCs w:val="22"/>
              </w:rPr>
            </w:pPr>
            <w:r>
              <w:rPr>
                <w:rFonts w:hint="eastAsia" w:ascii="宋体" w:hAnsi="宋体"/>
                <w:color w:val="auto"/>
                <w:sz w:val="22"/>
                <w:szCs w:val="22"/>
              </w:rPr>
              <w:t xml:space="preserve">委托代表人：   </w:t>
            </w:r>
          </w:p>
          <w:p w14:paraId="512652D0">
            <w:pPr>
              <w:spacing w:line="360" w:lineRule="auto"/>
              <w:rPr>
                <w:rFonts w:ascii="宋体" w:hAnsi="宋体"/>
                <w:color w:val="auto"/>
                <w:sz w:val="22"/>
                <w:szCs w:val="22"/>
              </w:rPr>
            </w:pPr>
          </w:p>
          <w:p w14:paraId="379CEF19">
            <w:pPr>
              <w:spacing w:line="360" w:lineRule="auto"/>
              <w:rPr>
                <w:rFonts w:ascii="宋体" w:hAnsi="宋体"/>
                <w:color w:val="auto"/>
                <w:sz w:val="22"/>
                <w:szCs w:val="22"/>
              </w:rPr>
            </w:pPr>
            <w:r>
              <w:rPr>
                <w:rFonts w:hint="eastAsia" w:ascii="宋体" w:hAnsi="宋体"/>
                <w:color w:val="auto"/>
                <w:sz w:val="22"/>
                <w:szCs w:val="22"/>
              </w:rPr>
              <w:t>开户行：</w:t>
            </w:r>
          </w:p>
          <w:p w14:paraId="60DD7E2C">
            <w:pPr>
              <w:spacing w:line="360" w:lineRule="auto"/>
              <w:rPr>
                <w:rFonts w:ascii="宋体" w:hAnsi="宋体"/>
                <w:color w:val="auto"/>
                <w:sz w:val="22"/>
                <w:szCs w:val="22"/>
              </w:rPr>
            </w:pPr>
            <w:r>
              <w:rPr>
                <w:rFonts w:hint="eastAsia" w:ascii="宋体" w:hAnsi="宋体"/>
                <w:color w:val="auto"/>
                <w:sz w:val="22"/>
                <w:szCs w:val="22"/>
              </w:rPr>
              <w:t>帐号：</w:t>
            </w:r>
          </w:p>
          <w:p w14:paraId="23EA4ADA">
            <w:pPr>
              <w:spacing w:line="360" w:lineRule="auto"/>
              <w:rPr>
                <w:rFonts w:ascii="宋体" w:hAnsi="宋体"/>
                <w:color w:val="auto"/>
                <w:sz w:val="22"/>
                <w:szCs w:val="22"/>
              </w:rPr>
            </w:pPr>
            <w:r>
              <w:rPr>
                <w:rFonts w:hint="eastAsia" w:ascii="宋体" w:hAnsi="宋体"/>
                <w:color w:val="auto"/>
                <w:sz w:val="22"/>
                <w:szCs w:val="22"/>
              </w:rPr>
              <w:t>税号：</w:t>
            </w:r>
          </w:p>
          <w:p w14:paraId="6D5C2F43">
            <w:pPr>
              <w:spacing w:line="360" w:lineRule="auto"/>
              <w:rPr>
                <w:rFonts w:ascii="宋体" w:hAnsi="宋体"/>
                <w:color w:val="auto"/>
                <w:sz w:val="22"/>
                <w:szCs w:val="22"/>
              </w:rPr>
            </w:pPr>
            <w:r>
              <w:rPr>
                <w:rFonts w:hint="eastAsia" w:ascii="宋体" w:hAnsi="宋体"/>
                <w:color w:val="auto"/>
                <w:sz w:val="22"/>
                <w:szCs w:val="22"/>
              </w:rPr>
              <w:t>电话：</w:t>
            </w:r>
          </w:p>
        </w:tc>
        <w:tc>
          <w:tcPr>
            <w:tcW w:w="5145" w:type="dxa"/>
          </w:tcPr>
          <w:p w14:paraId="37C8D4BC">
            <w:pPr>
              <w:spacing w:line="360" w:lineRule="auto"/>
              <w:jc w:val="center"/>
              <w:rPr>
                <w:rFonts w:ascii="宋体" w:hAnsi="宋体"/>
                <w:b/>
                <w:color w:val="auto"/>
                <w:sz w:val="24"/>
                <w:lang w:val="zh-CN"/>
              </w:rPr>
            </w:pPr>
            <w:r>
              <w:rPr>
                <w:rFonts w:hint="eastAsia" w:ascii="宋体" w:hAnsi="宋体"/>
                <w:b/>
                <w:color w:val="auto"/>
                <w:sz w:val="24"/>
                <w:lang w:val="zh-CN"/>
              </w:rPr>
              <w:t>供方</w:t>
            </w:r>
          </w:p>
          <w:p w14:paraId="5B47FE07">
            <w:pPr>
              <w:spacing w:line="360" w:lineRule="auto"/>
              <w:rPr>
                <w:rFonts w:ascii="宋体" w:hAnsi="宋体"/>
                <w:color w:val="auto"/>
                <w:sz w:val="22"/>
                <w:szCs w:val="22"/>
              </w:rPr>
            </w:pPr>
            <w:r>
              <w:rPr>
                <w:rFonts w:hint="eastAsia" w:ascii="宋体" w:hAnsi="宋体"/>
                <w:color w:val="auto"/>
                <w:sz w:val="22"/>
                <w:szCs w:val="22"/>
              </w:rPr>
              <w:t>单位名称(章)：</w:t>
            </w:r>
          </w:p>
          <w:p w14:paraId="5E99F089">
            <w:pPr>
              <w:spacing w:line="360" w:lineRule="auto"/>
              <w:rPr>
                <w:rFonts w:ascii="宋体" w:hAnsi="宋体"/>
                <w:color w:val="auto"/>
                <w:sz w:val="22"/>
                <w:szCs w:val="22"/>
              </w:rPr>
            </w:pPr>
            <w:r>
              <w:rPr>
                <w:rFonts w:hint="eastAsia" w:ascii="宋体" w:hAnsi="宋体"/>
                <w:color w:val="auto"/>
                <w:sz w:val="22"/>
                <w:szCs w:val="22"/>
              </w:rPr>
              <w:t>单位地址：</w:t>
            </w:r>
          </w:p>
          <w:p w14:paraId="0B1C110A">
            <w:pPr>
              <w:spacing w:line="360" w:lineRule="auto"/>
              <w:rPr>
                <w:rFonts w:ascii="宋体" w:hAnsi="宋体"/>
                <w:color w:val="auto"/>
                <w:sz w:val="22"/>
                <w:szCs w:val="22"/>
              </w:rPr>
            </w:pPr>
            <w:r>
              <w:rPr>
                <w:rFonts w:hint="eastAsia" w:ascii="宋体" w:hAnsi="宋体"/>
                <w:color w:val="auto"/>
                <w:sz w:val="22"/>
                <w:szCs w:val="22"/>
              </w:rPr>
              <w:t>法定代表人：</w:t>
            </w:r>
          </w:p>
          <w:p w14:paraId="341AB743">
            <w:pPr>
              <w:spacing w:line="360" w:lineRule="auto"/>
              <w:rPr>
                <w:rFonts w:ascii="宋体" w:hAnsi="宋体"/>
                <w:color w:val="auto"/>
                <w:sz w:val="22"/>
                <w:szCs w:val="22"/>
              </w:rPr>
            </w:pPr>
          </w:p>
          <w:p w14:paraId="75212894">
            <w:pPr>
              <w:spacing w:line="360" w:lineRule="auto"/>
              <w:rPr>
                <w:rFonts w:ascii="宋体" w:hAnsi="宋体"/>
                <w:color w:val="auto"/>
                <w:sz w:val="22"/>
                <w:szCs w:val="22"/>
              </w:rPr>
            </w:pPr>
            <w:r>
              <w:rPr>
                <w:rFonts w:hint="eastAsia" w:ascii="宋体" w:hAnsi="宋体"/>
                <w:color w:val="auto"/>
                <w:sz w:val="22"/>
                <w:szCs w:val="22"/>
              </w:rPr>
              <w:t>委托代表人：</w:t>
            </w:r>
          </w:p>
          <w:p w14:paraId="3F57E4F9">
            <w:pPr>
              <w:spacing w:line="360" w:lineRule="auto"/>
              <w:rPr>
                <w:rFonts w:ascii="宋体" w:hAnsi="宋体"/>
                <w:color w:val="auto"/>
                <w:sz w:val="22"/>
                <w:szCs w:val="22"/>
              </w:rPr>
            </w:pPr>
          </w:p>
          <w:p w14:paraId="75D71A70">
            <w:pPr>
              <w:spacing w:line="360" w:lineRule="auto"/>
              <w:rPr>
                <w:rFonts w:ascii="宋体" w:hAnsi="宋体"/>
                <w:color w:val="auto"/>
                <w:sz w:val="22"/>
                <w:szCs w:val="22"/>
              </w:rPr>
            </w:pPr>
            <w:r>
              <w:rPr>
                <w:rFonts w:hint="eastAsia" w:ascii="宋体" w:hAnsi="宋体"/>
                <w:color w:val="auto"/>
                <w:sz w:val="22"/>
                <w:szCs w:val="22"/>
              </w:rPr>
              <w:t>开户行：</w:t>
            </w:r>
          </w:p>
          <w:p w14:paraId="085EB479">
            <w:pPr>
              <w:spacing w:line="360" w:lineRule="auto"/>
              <w:rPr>
                <w:rFonts w:ascii="宋体" w:hAnsi="宋体"/>
                <w:color w:val="auto"/>
                <w:sz w:val="22"/>
                <w:szCs w:val="22"/>
              </w:rPr>
            </w:pPr>
            <w:r>
              <w:rPr>
                <w:rFonts w:hint="eastAsia" w:ascii="宋体" w:hAnsi="宋体"/>
                <w:color w:val="auto"/>
                <w:sz w:val="22"/>
                <w:szCs w:val="22"/>
              </w:rPr>
              <w:t>帐号：</w:t>
            </w:r>
          </w:p>
          <w:p w14:paraId="7F6E301A">
            <w:pPr>
              <w:spacing w:line="360" w:lineRule="auto"/>
              <w:rPr>
                <w:rFonts w:ascii="宋体" w:hAnsi="宋体"/>
                <w:color w:val="auto"/>
                <w:sz w:val="22"/>
                <w:szCs w:val="22"/>
              </w:rPr>
            </w:pPr>
            <w:r>
              <w:rPr>
                <w:rFonts w:hint="eastAsia" w:ascii="宋体" w:hAnsi="宋体"/>
                <w:color w:val="auto"/>
                <w:sz w:val="22"/>
                <w:szCs w:val="22"/>
              </w:rPr>
              <w:t>税号：</w:t>
            </w:r>
          </w:p>
          <w:p w14:paraId="5153A81B">
            <w:pPr>
              <w:spacing w:line="360" w:lineRule="auto"/>
              <w:rPr>
                <w:rFonts w:ascii="宋体" w:hAnsi="宋体"/>
                <w:color w:val="auto"/>
                <w:sz w:val="22"/>
                <w:szCs w:val="22"/>
              </w:rPr>
            </w:pPr>
            <w:r>
              <w:rPr>
                <w:rFonts w:hint="eastAsia" w:ascii="宋体" w:hAnsi="宋体"/>
                <w:color w:val="auto"/>
                <w:sz w:val="22"/>
                <w:szCs w:val="22"/>
              </w:rPr>
              <w:t>电话：</w:t>
            </w:r>
          </w:p>
        </w:tc>
      </w:tr>
    </w:tbl>
    <w:p w14:paraId="63890190">
      <w:pPr>
        <w:rPr>
          <w:color w:val="auto"/>
        </w:rPr>
      </w:pPr>
    </w:p>
    <w:p w14:paraId="69392331">
      <w:pPr>
        <w:rPr>
          <w:color w:val="auto"/>
        </w:rPr>
      </w:pPr>
    </w:p>
    <w:p w14:paraId="5E36421A">
      <w:pPr>
        <w:rPr>
          <w:color w:val="auto"/>
        </w:rPr>
      </w:pPr>
    </w:p>
    <w:p w14:paraId="7955A7BF">
      <w:pPr>
        <w:rPr>
          <w:color w:val="auto"/>
        </w:rPr>
      </w:pPr>
    </w:p>
    <w:p w14:paraId="2656BC0C">
      <w:pPr>
        <w:rPr>
          <w:color w:val="auto"/>
        </w:rPr>
      </w:pPr>
    </w:p>
    <w:p w14:paraId="72B18F10">
      <w:pPr>
        <w:rPr>
          <w:color w:val="auto"/>
        </w:rPr>
      </w:pPr>
    </w:p>
    <w:p w14:paraId="5A3AE8D9">
      <w:pPr>
        <w:rPr>
          <w:color w:val="auto"/>
        </w:rPr>
      </w:pPr>
    </w:p>
    <w:p w14:paraId="301990D1">
      <w:pPr>
        <w:rPr>
          <w:color w:val="auto"/>
        </w:rPr>
      </w:pPr>
    </w:p>
    <w:p w14:paraId="24C31F7D">
      <w:pPr>
        <w:rPr>
          <w:color w:val="auto"/>
        </w:rPr>
      </w:pPr>
    </w:p>
    <w:p w14:paraId="3CE38E72">
      <w:pPr>
        <w:rPr>
          <w:color w:val="auto"/>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79CF5FE9">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46637741">
            <w:pPr>
              <w:jc w:val="center"/>
              <w:rPr>
                <w:rFonts w:hint="eastAsia" w:ascii="宋体" w:hAnsi="宋体" w:cs="宋体"/>
                <w:b/>
                <w:bCs/>
                <w:color w:val="auto"/>
                <w:kern w:val="0"/>
                <w:sz w:val="24"/>
              </w:rPr>
            </w:pPr>
          </w:p>
          <w:p w14:paraId="38AAB7DF">
            <w:pPr>
              <w:jc w:val="center"/>
              <w:rPr>
                <w:rFonts w:ascii="宋体" w:hAnsi="宋体" w:cs="宋体"/>
                <w:b/>
                <w:bCs/>
                <w:color w:val="auto"/>
                <w:kern w:val="0"/>
                <w:sz w:val="24"/>
              </w:rPr>
            </w:pPr>
            <w:r>
              <w:rPr>
                <w:rFonts w:hint="eastAsia" w:ascii="宋体" w:hAnsi="宋体" w:cs="宋体"/>
                <w:b/>
                <w:bCs/>
                <w:color w:val="auto"/>
                <w:kern w:val="0"/>
                <w:sz w:val="24"/>
              </w:rPr>
              <w:t>通用标准件合同附表</w:t>
            </w:r>
          </w:p>
        </w:tc>
      </w:tr>
      <w:tr w14:paraId="5A3A76E9">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44C6721D">
            <w:pPr>
              <w:jc w:val="left"/>
              <w:rPr>
                <w:rFonts w:ascii="宋体" w:hAnsi="宋体" w:cs="宋体"/>
                <w:b/>
                <w:bCs/>
                <w:color w:val="auto"/>
                <w:kern w:val="0"/>
                <w:sz w:val="20"/>
                <w:szCs w:val="20"/>
              </w:rPr>
            </w:pPr>
            <w:r>
              <w:rPr>
                <w:rFonts w:hint="eastAsia" w:ascii="宋体" w:hAnsi="宋体" w:cs="宋体"/>
                <w:b/>
                <w:bCs/>
                <w:color w:val="auto"/>
                <w:kern w:val="0"/>
                <w:sz w:val="20"/>
                <w:szCs w:val="20"/>
              </w:rPr>
              <w:t xml:space="preserve">供方名称： </w:t>
            </w:r>
          </w:p>
        </w:tc>
      </w:tr>
      <w:tr w14:paraId="614701A7">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44AE79FE">
            <w:pPr>
              <w:jc w:val="center"/>
              <w:rPr>
                <w:rFonts w:ascii="宋体" w:hAnsi="宋体" w:cs="宋体"/>
                <w:b/>
                <w:bCs/>
                <w:color w:val="auto"/>
                <w:kern w:val="0"/>
                <w:sz w:val="20"/>
                <w:szCs w:val="20"/>
              </w:rPr>
            </w:pPr>
            <w:r>
              <w:rPr>
                <w:rFonts w:hint="eastAsia" w:ascii="宋体" w:hAnsi="宋体" w:cs="宋体"/>
                <w:b/>
                <w:bCs/>
                <w:color w:val="auto"/>
                <w:kern w:val="0"/>
                <w:sz w:val="20"/>
                <w:szCs w:val="20"/>
              </w:rPr>
              <w:t xml:space="preserve">                                                                           合同编号：</w:t>
            </w:r>
          </w:p>
        </w:tc>
      </w:tr>
      <w:tr w14:paraId="5C752118">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1973F0ED">
            <w:pPr>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462" w:type="dxa"/>
            <w:tcBorders>
              <w:top w:val="nil"/>
              <w:left w:val="nil"/>
              <w:bottom w:val="single" w:color="auto" w:sz="4" w:space="0"/>
              <w:right w:val="single" w:color="auto" w:sz="4" w:space="0"/>
            </w:tcBorders>
            <w:vAlign w:val="center"/>
          </w:tcPr>
          <w:p w14:paraId="18D6B655">
            <w:pPr>
              <w:jc w:val="center"/>
              <w:rPr>
                <w:rFonts w:ascii="宋体" w:hAnsi="宋体" w:cs="宋体"/>
                <w:b/>
                <w:bCs/>
                <w:color w:val="auto"/>
                <w:kern w:val="0"/>
                <w:sz w:val="20"/>
                <w:szCs w:val="20"/>
              </w:rPr>
            </w:pPr>
            <w:r>
              <w:rPr>
                <w:rFonts w:hint="eastAsia" w:ascii="宋体" w:hAnsi="宋体" w:cs="宋体"/>
                <w:b/>
                <w:bCs/>
                <w:color w:val="auto"/>
                <w:kern w:val="0"/>
                <w:sz w:val="20"/>
                <w:szCs w:val="20"/>
              </w:rPr>
              <w:t>SAP物料号</w:t>
            </w:r>
          </w:p>
        </w:tc>
        <w:tc>
          <w:tcPr>
            <w:tcW w:w="2663" w:type="dxa"/>
            <w:tcBorders>
              <w:top w:val="nil"/>
              <w:left w:val="nil"/>
              <w:bottom w:val="single" w:color="auto" w:sz="4" w:space="0"/>
              <w:right w:val="single" w:color="auto" w:sz="4" w:space="0"/>
            </w:tcBorders>
            <w:vAlign w:val="center"/>
          </w:tcPr>
          <w:p w14:paraId="7AD2703F">
            <w:pPr>
              <w:jc w:val="center"/>
              <w:rPr>
                <w:rFonts w:ascii="宋体" w:hAnsi="宋体" w:cs="宋体"/>
                <w:b/>
                <w:bCs/>
                <w:color w:val="auto"/>
                <w:kern w:val="0"/>
                <w:sz w:val="20"/>
                <w:szCs w:val="20"/>
              </w:rPr>
            </w:pPr>
            <w:r>
              <w:rPr>
                <w:rFonts w:hint="eastAsia" w:ascii="宋体" w:hAnsi="宋体" w:cs="宋体"/>
                <w:b/>
                <w:bCs/>
                <w:color w:val="auto"/>
                <w:kern w:val="0"/>
                <w:sz w:val="20"/>
                <w:szCs w:val="20"/>
              </w:rPr>
              <w:t>物料描述</w:t>
            </w:r>
          </w:p>
        </w:tc>
        <w:tc>
          <w:tcPr>
            <w:tcW w:w="690" w:type="dxa"/>
            <w:tcBorders>
              <w:top w:val="nil"/>
              <w:left w:val="nil"/>
              <w:bottom w:val="single" w:color="auto" w:sz="4" w:space="0"/>
              <w:right w:val="single" w:color="auto" w:sz="4" w:space="0"/>
            </w:tcBorders>
            <w:vAlign w:val="center"/>
          </w:tcPr>
          <w:p w14:paraId="63239A0F">
            <w:pPr>
              <w:jc w:val="center"/>
              <w:rPr>
                <w:rFonts w:ascii="宋体" w:hAnsi="宋体" w:cs="宋体"/>
                <w:b/>
                <w:bCs/>
                <w:color w:val="auto"/>
                <w:kern w:val="0"/>
                <w:sz w:val="20"/>
                <w:szCs w:val="20"/>
              </w:rPr>
            </w:pPr>
            <w:r>
              <w:rPr>
                <w:rFonts w:hint="eastAsia" w:ascii="宋体" w:hAnsi="宋体" w:cs="宋体"/>
                <w:b/>
                <w:bCs/>
                <w:color w:val="auto"/>
                <w:kern w:val="0"/>
                <w:sz w:val="20"/>
                <w:szCs w:val="20"/>
              </w:rPr>
              <w:t>数量</w:t>
            </w:r>
          </w:p>
        </w:tc>
        <w:tc>
          <w:tcPr>
            <w:tcW w:w="660" w:type="dxa"/>
            <w:tcBorders>
              <w:top w:val="nil"/>
              <w:left w:val="nil"/>
              <w:bottom w:val="single" w:color="auto" w:sz="4" w:space="0"/>
              <w:right w:val="single" w:color="auto" w:sz="4" w:space="0"/>
            </w:tcBorders>
            <w:vAlign w:val="center"/>
          </w:tcPr>
          <w:p w14:paraId="5BE9F268">
            <w:pPr>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690" w:type="dxa"/>
            <w:gridSpan w:val="2"/>
            <w:tcBorders>
              <w:top w:val="nil"/>
              <w:left w:val="nil"/>
              <w:bottom w:val="single" w:color="auto" w:sz="4" w:space="0"/>
              <w:right w:val="single" w:color="auto" w:sz="4" w:space="0"/>
            </w:tcBorders>
            <w:vAlign w:val="center"/>
          </w:tcPr>
          <w:p w14:paraId="569AEBBD">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含税单价</w:t>
            </w:r>
          </w:p>
        </w:tc>
        <w:tc>
          <w:tcPr>
            <w:tcW w:w="765" w:type="dxa"/>
            <w:tcBorders>
              <w:top w:val="nil"/>
              <w:left w:val="nil"/>
              <w:bottom w:val="single" w:color="auto" w:sz="4" w:space="0"/>
              <w:right w:val="single" w:color="auto" w:sz="4" w:space="0"/>
            </w:tcBorders>
            <w:vAlign w:val="center"/>
          </w:tcPr>
          <w:p w14:paraId="39B208A1">
            <w:pPr>
              <w:jc w:val="center"/>
              <w:rPr>
                <w:rFonts w:ascii="宋体" w:hAnsi="宋体" w:cs="宋体"/>
                <w:b/>
                <w:bCs/>
                <w:color w:val="auto"/>
                <w:kern w:val="0"/>
                <w:sz w:val="20"/>
                <w:szCs w:val="20"/>
              </w:rPr>
            </w:pPr>
            <w:r>
              <w:rPr>
                <w:rFonts w:hint="eastAsia" w:ascii="宋体" w:hAnsi="宋体" w:cs="宋体"/>
                <w:b/>
                <w:bCs/>
                <w:color w:val="auto"/>
                <w:kern w:val="0"/>
                <w:sz w:val="20"/>
                <w:szCs w:val="20"/>
              </w:rPr>
              <w:t>税率</w:t>
            </w:r>
          </w:p>
        </w:tc>
        <w:tc>
          <w:tcPr>
            <w:tcW w:w="881" w:type="dxa"/>
            <w:gridSpan w:val="2"/>
            <w:tcBorders>
              <w:top w:val="nil"/>
              <w:left w:val="nil"/>
              <w:bottom w:val="single" w:color="auto" w:sz="4" w:space="0"/>
              <w:right w:val="single" w:color="auto" w:sz="4" w:space="0"/>
            </w:tcBorders>
            <w:vAlign w:val="center"/>
          </w:tcPr>
          <w:p w14:paraId="5F8388E3">
            <w:pPr>
              <w:jc w:val="center"/>
              <w:rPr>
                <w:rFonts w:ascii="宋体" w:hAnsi="宋体" w:cs="宋体"/>
                <w:b/>
                <w:bCs/>
                <w:color w:val="auto"/>
                <w:kern w:val="0"/>
                <w:sz w:val="20"/>
                <w:szCs w:val="20"/>
              </w:rPr>
            </w:pPr>
            <w:r>
              <w:rPr>
                <w:rFonts w:hint="eastAsia" w:ascii="宋体" w:hAnsi="宋体" w:cs="宋体"/>
                <w:b/>
                <w:bCs/>
                <w:color w:val="auto"/>
                <w:kern w:val="0"/>
                <w:sz w:val="20"/>
                <w:szCs w:val="20"/>
              </w:rPr>
              <w:t>含税金额</w:t>
            </w:r>
          </w:p>
        </w:tc>
        <w:tc>
          <w:tcPr>
            <w:tcW w:w="1056" w:type="dxa"/>
            <w:gridSpan w:val="3"/>
            <w:tcBorders>
              <w:top w:val="nil"/>
              <w:left w:val="nil"/>
              <w:bottom w:val="single" w:color="auto" w:sz="4" w:space="0"/>
              <w:right w:val="single" w:color="auto" w:sz="4" w:space="0"/>
            </w:tcBorders>
            <w:vAlign w:val="center"/>
          </w:tcPr>
          <w:p w14:paraId="65D66D14">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不含税金额</w:t>
            </w:r>
          </w:p>
        </w:tc>
        <w:tc>
          <w:tcPr>
            <w:tcW w:w="686" w:type="dxa"/>
            <w:gridSpan w:val="2"/>
            <w:tcBorders>
              <w:top w:val="nil"/>
              <w:left w:val="nil"/>
              <w:bottom w:val="single" w:color="auto" w:sz="4" w:space="0"/>
              <w:right w:val="single" w:color="auto" w:sz="4" w:space="0"/>
            </w:tcBorders>
            <w:vAlign w:val="center"/>
          </w:tcPr>
          <w:p w14:paraId="70261EE9">
            <w:pPr>
              <w:jc w:val="center"/>
              <w:rPr>
                <w:rFonts w:ascii="宋体" w:hAnsi="宋体" w:cs="宋体"/>
                <w:b/>
                <w:bCs/>
                <w:color w:val="auto"/>
                <w:kern w:val="0"/>
                <w:sz w:val="20"/>
                <w:szCs w:val="20"/>
              </w:rPr>
            </w:pPr>
            <w:r>
              <w:rPr>
                <w:rFonts w:hint="eastAsia" w:ascii="宋体" w:hAnsi="宋体" w:cs="宋体"/>
                <w:b/>
                <w:bCs/>
                <w:color w:val="auto"/>
                <w:kern w:val="0"/>
                <w:sz w:val="18"/>
                <w:szCs w:val="18"/>
              </w:rPr>
              <w:t>交货时间</w:t>
            </w:r>
          </w:p>
        </w:tc>
        <w:tc>
          <w:tcPr>
            <w:tcW w:w="709" w:type="dxa"/>
            <w:gridSpan w:val="2"/>
            <w:tcBorders>
              <w:top w:val="nil"/>
              <w:left w:val="nil"/>
              <w:bottom w:val="single" w:color="auto" w:sz="4" w:space="0"/>
              <w:right w:val="single" w:color="auto" w:sz="4" w:space="0"/>
            </w:tcBorders>
            <w:vAlign w:val="center"/>
          </w:tcPr>
          <w:p w14:paraId="2C3E291D">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14:paraId="2B286024">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01B292F3">
            <w:pPr>
              <w:spacing w:line="360" w:lineRule="exact"/>
              <w:jc w:val="center"/>
              <w:rPr>
                <w:rFonts w:eastAsia="仿宋_GB2312"/>
                <w:color w:val="auto"/>
                <w:szCs w:val="21"/>
              </w:rPr>
            </w:pPr>
            <w:r>
              <w:rPr>
                <w:rFonts w:hint="eastAsia" w:eastAsia="仿宋_GB2312"/>
                <w:color w:val="auto"/>
                <w:szCs w:val="21"/>
              </w:rPr>
              <w:t>1</w:t>
            </w:r>
          </w:p>
        </w:tc>
        <w:tc>
          <w:tcPr>
            <w:tcW w:w="1462" w:type="dxa"/>
            <w:tcBorders>
              <w:top w:val="nil"/>
              <w:left w:val="nil"/>
              <w:bottom w:val="single" w:color="000000" w:sz="4" w:space="0"/>
              <w:right w:val="single" w:color="000000" w:sz="4" w:space="0"/>
            </w:tcBorders>
            <w:vAlign w:val="center"/>
          </w:tcPr>
          <w:p w14:paraId="6583A105">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14:paraId="412A9727">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14:paraId="2D97CF87">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14:paraId="47C6B8AD">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14:paraId="17314D20">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14:paraId="7F28EA2E">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14:paraId="6843F6C0">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14:paraId="0E78FB3A">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14:paraId="498B58EA">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14:paraId="7F1F75D4">
            <w:pPr>
              <w:spacing w:line="360" w:lineRule="exact"/>
              <w:jc w:val="center"/>
              <w:rPr>
                <w:rFonts w:eastAsia="仿宋_GB2312"/>
                <w:color w:val="auto"/>
                <w:szCs w:val="21"/>
              </w:rPr>
            </w:pPr>
          </w:p>
        </w:tc>
      </w:tr>
      <w:tr w14:paraId="6829DE0E">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8C238D8">
            <w:pPr>
              <w:spacing w:line="360" w:lineRule="exact"/>
              <w:jc w:val="center"/>
              <w:rPr>
                <w:rFonts w:eastAsia="仿宋_GB2312"/>
                <w:color w:val="auto"/>
                <w:szCs w:val="21"/>
              </w:rPr>
            </w:pPr>
            <w:r>
              <w:rPr>
                <w:rFonts w:hint="eastAsia" w:eastAsia="仿宋_GB2312"/>
                <w:color w:val="auto"/>
                <w:szCs w:val="21"/>
              </w:rPr>
              <w:t>2</w:t>
            </w:r>
          </w:p>
        </w:tc>
        <w:tc>
          <w:tcPr>
            <w:tcW w:w="1462" w:type="dxa"/>
            <w:tcBorders>
              <w:top w:val="nil"/>
              <w:left w:val="nil"/>
              <w:bottom w:val="single" w:color="000000" w:sz="4" w:space="0"/>
              <w:right w:val="single" w:color="000000" w:sz="4" w:space="0"/>
            </w:tcBorders>
            <w:vAlign w:val="center"/>
          </w:tcPr>
          <w:p w14:paraId="6FCD8D0C">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14:paraId="12FD7CD0">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14:paraId="73905DA5">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14:paraId="7BD61994">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14:paraId="116C1352">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14:paraId="32EEB385">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14:paraId="37861F19">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14:paraId="7D7F225B">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14:paraId="1289918F">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14:paraId="49B8E51F">
            <w:pPr>
              <w:spacing w:line="360" w:lineRule="exact"/>
              <w:jc w:val="center"/>
              <w:rPr>
                <w:rFonts w:eastAsia="仿宋_GB2312"/>
                <w:color w:val="auto"/>
                <w:szCs w:val="21"/>
              </w:rPr>
            </w:pPr>
          </w:p>
        </w:tc>
      </w:tr>
      <w:tr w14:paraId="0FEE0E28">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7D1D167B">
            <w:pPr>
              <w:spacing w:line="360" w:lineRule="exact"/>
              <w:jc w:val="center"/>
              <w:rPr>
                <w:rFonts w:eastAsia="仿宋_GB2312"/>
                <w:color w:val="auto"/>
                <w:szCs w:val="21"/>
              </w:rPr>
            </w:pPr>
            <w:r>
              <w:rPr>
                <w:rFonts w:hint="eastAsia" w:eastAsia="仿宋_GB2312"/>
                <w:color w:val="auto"/>
                <w:szCs w:val="21"/>
              </w:rPr>
              <w:t>3</w:t>
            </w:r>
          </w:p>
        </w:tc>
        <w:tc>
          <w:tcPr>
            <w:tcW w:w="1462" w:type="dxa"/>
            <w:tcBorders>
              <w:top w:val="nil"/>
              <w:left w:val="nil"/>
              <w:bottom w:val="single" w:color="000000" w:sz="4" w:space="0"/>
              <w:right w:val="single" w:color="000000" w:sz="4" w:space="0"/>
            </w:tcBorders>
            <w:vAlign w:val="center"/>
          </w:tcPr>
          <w:p w14:paraId="17609BCA">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14:paraId="711DCEB1">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14:paraId="47C426E7">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14:paraId="307FAC7E">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14:paraId="20A532FC">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14:paraId="33D379C5">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14:paraId="5CC918C6">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14:paraId="23EA5EA7">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14:paraId="641229A4">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14:paraId="1333F5BB">
            <w:pPr>
              <w:spacing w:line="360" w:lineRule="exact"/>
              <w:jc w:val="center"/>
              <w:rPr>
                <w:rFonts w:eastAsia="仿宋_GB2312"/>
                <w:color w:val="auto"/>
                <w:szCs w:val="21"/>
              </w:rPr>
            </w:pPr>
          </w:p>
        </w:tc>
      </w:tr>
      <w:tr w14:paraId="60B343C6">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0E057424">
            <w:pPr>
              <w:jc w:val="center"/>
              <w:rPr>
                <w:b/>
                <w:color w:val="auto"/>
                <w:sz w:val="18"/>
                <w:szCs w:val="18"/>
              </w:rPr>
            </w:pPr>
            <w:r>
              <w:rPr>
                <w:rFonts w:hint="eastAsia"/>
                <w:b/>
                <w:color w:val="auto"/>
                <w:sz w:val="18"/>
                <w:szCs w:val="18"/>
              </w:rPr>
              <w:t>合计</w:t>
            </w:r>
          </w:p>
        </w:tc>
        <w:tc>
          <w:tcPr>
            <w:tcW w:w="1462" w:type="dxa"/>
            <w:tcBorders>
              <w:top w:val="nil"/>
              <w:left w:val="nil"/>
              <w:bottom w:val="single" w:color="auto" w:sz="4" w:space="0"/>
              <w:right w:val="single" w:color="auto" w:sz="4" w:space="0"/>
            </w:tcBorders>
            <w:vAlign w:val="center"/>
          </w:tcPr>
          <w:p w14:paraId="07AB25BF">
            <w:pPr>
              <w:spacing w:line="360" w:lineRule="exact"/>
              <w:jc w:val="center"/>
              <w:rPr>
                <w:rFonts w:eastAsia="仿宋_GB2312"/>
                <w:color w:val="auto"/>
                <w:szCs w:val="21"/>
              </w:rPr>
            </w:pPr>
          </w:p>
        </w:tc>
        <w:tc>
          <w:tcPr>
            <w:tcW w:w="2663" w:type="dxa"/>
            <w:tcBorders>
              <w:top w:val="nil"/>
              <w:left w:val="nil"/>
              <w:bottom w:val="single" w:color="auto" w:sz="4" w:space="0"/>
              <w:right w:val="single" w:color="auto" w:sz="4" w:space="0"/>
            </w:tcBorders>
            <w:vAlign w:val="center"/>
          </w:tcPr>
          <w:p w14:paraId="0A260526">
            <w:pPr>
              <w:spacing w:line="360" w:lineRule="exact"/>
              <w:jc w:val="center"/>
              <w:rPr>
                <w:rFonts w:eastAsia="仿宋_GB2312"/>
                <w:color w:val="auto"/>
                <w:szCs w:val="21"/>
              </w:rPr>
            </w:pPr>
          </w:p>
        </w:tc>
        <w:tc>
          <w:tcPr>
            <w:tcW w:w="690" w:type="dxa"/>
            <w:tcBorders>
              <w:top w:val="nil"/>
              <w:left w:val="nil"/>
              <w:bottom w:val="single" w:color="auto" w:sz="4" w:space="0"/>
              <w:right w:val="single" w:color="auto" w:sz="4" w:space="0"/>
            </w:tcBorders>
            <w:vAlign w:val="center"/>
          </w:tcPr>
          <w:p w14:paraId="1527565C">
            <w:pPr>
              <w:spacing w:line="360" w:lineRule="exact"/>
              <w:jc w:val="center"/>
              <w:rPr>
                <w:rFonts w:eastAsia="仿宋_GB2312"/>
                <w:color w:val="auto"/>
                <w:szCs w:val="21"/>
              </w:rPr>
            </w:pPr>
          </w:p>
        </w:tc>
        <w:tc>
          <w:tcPr>
            <w:tcW w:w="660" w:type="dxa"/>
            <w:tcBorders>
              <w:top w:val="nil"/>
              <w:left w:val="nil"/>
              <w:bottom w:val="single" w:color="auto" w:sz="4" w:space="0"/>
              <w:right w:val="single" w:color="auto" w:sz="4" w:space="0"/>
            </w:tcBorders>
            <w:vAlign w:val="center"/>
          </w:tcPr>
          <w:p w14:paraId="24036682">
            <w:pPr>
              <w:spacing w:line="360" w:lineRule="exact"/>
              <w:jc w:val="center"/>
              <w:rPr>
                <w:rFonts w:eastAsia="仿宋_GB2312"/>
                <w:color w:val="auto"/>
                <w:szCs w:val="21"/>
              </w:rPr>
            </w:pPr>
          </w:p>
        </w:tc>
        <w:tc>
          <w:tcPr>
            <w:tcW w:w="690" w:type="dxa"/>
            <w:gridSpan w:val="2"/>
            <w:tcBorders>
              <w:top w:val="nil"/>
              <w:left w:val="nil"/>
              <w:bottom w:val="single" w:color="auto" w:sz="4" w:space="0"/>
              <w:right w:val="single" w:color="auto" w:sz="4" w:space="0"/>
            </w:tcBorders>
            <w:vAlign w:val="center"/>
          </w:tcPr>
          <w:p w14:paraId="21A1D939">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14:paraId="528A47DD">
            <w:pPr>
              <w:spacing w:line="360" w:lineRule="exact"/>
              <w:jc w:val="center"/>
              <w:rPr>
                <w:rFonts w:eastAsia="仿宋_GB2312"/>
                <w:color w:val="auto"/>
                <w:szCs w:val="21"/>
              </w:rPr>
            </w:pPr>
          </w:p>
        </w:tc>
        <w:tc>
          <w:tcPr>
            <w:tcW w:w="881" w:type="dxa"/>
            <w:gridSpan w:val="2"/>
            <w:tcBorders>
              <w:top w:val="nil"/>
              <w:left w:val="nil"/>
              <w:bottom w:val="single" w:color="auto" w:sz="4" w:space="0"/>
              <w:right w:val="single" w:color="auto" w:sz="4" w:space="0"/>
            </w:tcBorders>
            <w:vAlign w:val="center"/>
          </w:tcPr>
          <w:p w14:paraId="759603E7">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14:paraId="249ACDE7">
            <w:pPr>
              <w:spacing w:line="360" w:lineRule="exact"/>
              <w:jc w:val="center"/>
              <w:rPr>
                <w:rFonts w:eastAsia="仿宋_GB2312"/>
                <w:color w:val="auto"/>
                <w:szCs w:val="21"/>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163FBE2E">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auto" w:sz="4" w:space="0"/>
            </w:tcBorders>
            <w:vAlign w:val="center"/>
          </w:tcPr>
          <w:p w14:paraId="6C121AE0">
            <w:pPr>
              <w:spacing w:line="360" w:lineRule="exact"/>
              <w:jc w:val="center"/>
              <w:rPr>
                <w:rFonts w:eastAsia="仿宋_GB2312"/>
                <w:color w:val="auto"/>
                <w:szCs w:val="21"/>
              </w:rPr>
            </w:pPr>
          </w:p>
        </w:tc>
      </w:tr>
      <w:tr w14:paraId="6B56C5A9">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48655475">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15F034BB">
            <w:pPr>
              <w:jc w:val="center"/>
              <w:rPr>
                <w:rFonts w:ascii="宋体" w:hAnsi="宋体" w:cs="宋体"/>
                <w:b/>
                <w:bCs/>
                <w:color w:val="auto"/>
                <w:kern w:val="0"/>
                <w:sz w:val="20"/>
                <w:szCs w:val="20"/>
              </w:rPr>
            </w:pPr>
          </w:p>
        </w:tc>
      </w:tr>
      <w:tr w14:paraId="46907351">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448DB145">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61C521F4">
            <w:pPr>
              <w:jc w:val="center"/>
              <w:rPr>
                <w:rFonts w:ascii="宋体" w:hAnsi="宋体" w:cs="宋体"/>
                <w:b/>
                <w:bCs/>
                <w:color w:val="auto"/>
                <w:kern w:val="0"/>
                <w:sz w:val="20"/>
                <w:szCs w:val="20"/>
              </w:rPr>
            </w:pPr>
          </w:p>
        </w:tc>
      </w:tr>
      <w:tr w14:paraId="08895AC7">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3E8BAD2">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c>
          <w:tcPr>
            <w:tcW w:w="8800" w:type="dxa"/>
            <w:gridSpan w:val="15"/>
            <w:tcBorders>
              <w:top w:val="single" w:color="auto" w:sz="4" w:space="0"/>
              <w:left w:val="nil"/>
              <w:bottom w:val="single" w:color="auto" w:sz="4" w:space="0"/>
              <w:right w:val="single" w:color="000000" w:sz="4" w:space="0"/>
            </w:tcBorders>
            <w:vAlign w:val="center"/>
          </w:tcPr>
          <w:p w14:paraId="6ED0003E">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供货期限内，按购买方实际的需求量供货，并以实际验收入库物资数量乘以以上对应物资单价结算，交货时间和数量以购买方通知时间为准。</w:t>
            </w:r>
          </w:p>
          <w:p w14:paraId="6F89F12E">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14:paraId="7C7D3B15">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购买方所订购的物资属非国标产品及按购买方要求加工的产品不能退货。</w:t>
            </w:r>
          </w:p>
          <w:p w14:paraId="15E578A3">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购买方所订购物资有保质期的，剩余保质期在1个月内的不能退货。</w:t>
            </w:r>
          </w:p>
          <w:p w14:paraId="3DFF598D">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销售方发给购买方的物资若有保质期，原则上保质期必须在12个月以上，具体以物资的实际保质期时间长短为准。</w:t>
            </w:r>
          </w:p>
        </w:tc>
      </w:tr>
      <w:tr w14:paraId="532A0D71">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4F06FA4C">
            <w:pPr>
              <w:jc w:val="center"/>
              <w:rPr>
                <w:rFonts w:ascii="宋体" w:hAnsi="宋体" w:cs="宋体"/>
                <w:color w:val="auto"/>
                <w:kern w:val="0"/>
                <w:sz w:val="20"/>
                <w:szCs w:val="20"/>
              </w:rPr>
            </w:pPr>
            <w:r>
              <w:rPr>
                <w:rFonts w:hint="eastAsia" w:ascii="宋体" w:hAnsi="宋体" w:cs="宋体"/>
                <w:color w:val="auto"/>
                <w:kern w:val="0"/>
                <w:sz w:val="20"/>
                <w:szCs w:val="20"/>
              </w:rPr>
              <w:t>注</w:t>
            </w:r>
          </w:p>
        </w:tc>
        <w:tc>
          <w:tcPr>
            <w:tcW w:w="4815" w:type="dxa"/>
            <w:gridSpan w:val="3"/>
            <w:tcBorders>
              <w:top w:val="nil"/>
              <w:left w:val="nil"/>
              <w:bottom w:val="nil"/>
              <w:right w:val="nil"/>
            </w:tcBorders>
            <w:vAlign w:val="center"/>
          </w:tcPr>
          <w:p w14:paraId="7A804558">
            <w:pPr>
              <w:jc w:val="left"/>
              <w:rPr>
                <w:rFonts w:ascii="宋体" w:hAnsi="宋体" w:cs="宋体"/>
                <w:color w:val="auto"/>
                <w:kern w:val="0"/>
                <w:sz w:val="20"/>
                <w:szCs w:val="20"/>
              </w:rPr>
            </w:pPr>
            <w:r>
              <w:rPr>
                <w:rFonts w:hint="eastAsia" w:ascii="宋体" w:hAnsi="宋体" w:cs="宋体"/>
                <w:color w:val="auto"/>
                <w:kern w:val="0"/>
                <w:sz w:val="20"/>
                <w:szCs w:val="20"/>
              </w:rPr>
              <w:t>1、结算量根据采购方实际需求量结算</w:t>
            </w:r>
          </w:p>
        </w:tc>
        <w:tc>
          <w:tcPr>
            <w:tcW w:w="660" w:type="dxa"/>
            <w:tcBorders>
              <w:top w:val="nil"/>
              <w:left w:val="nil"/>
              <w:bottom w:val="nil"/>
              <w:right w:val="nil"/>
            </w:tcBorders>
            <w:vAlign w:val="center"/>
          </w:tcPr>
          <w:p w14:paraId="3BEE0ADF">
            <w:pPr>
              <w:jc w:val="left"/>
              <w:rPr>
                <w:rFonts w:ascii="宋体" w:hAnsi="宋体" w:cs="宋体"/>
                <w:color w:val="auto"/>
                <w:kern w:val="0"/>
                <w:sz w:val="20"/>
                <w:szCs w:val="20"/>
              </w:rPr>
            </w:pPr>
          </w:p>
        </w:tc>
        <w:tc>
          <w:tcPr>
            <w:tcW w:w="478" w:type="dxa"/>
            <w:tcBorders>
              <w:top w:val="nil"/>
              <w:left w:val="nil"/>
              <w:bottom w:val="nil"/>
              <w:right w:val="nil"/>
            </w:tcBorders>
            <w:vAlign w:val="center"/>
          </w:tcPr>
          <w:p w14:paraId="06AD14DB">
            <w:pPr>
              <w:jc w:val="left"/>
              <w:rPr>
                <w:rFonts w:ascii="宋体" w:hAnsi="宋体" w:cs="宋体"/>
                <w:color w:val="auto"/>
                <w:kern w:val="0"/>
                <w:sz w:val="20"/>
                <w:szCs w:val="20"/>
              </w:rPr>
            </w:pPr>
          </w:p>
        </w:tc>
        <w:tc>
          <w:tcPr>
            <w:tcW w:w="1245" w:type="dxa"/>
            <w:gridSpan w:val="3"/>
            <w:tcBorders>
              <w:top w:val="nil"/>
              <w:left w:val="nil"/>
              <w:bottom w:val="nil"/>
              <w:right w:val="nil"/>
            </w:tcBorders>
            <w:vAlign w:val="center"/>
          </w:tcPr>
          <w:p w14:paraId="386426EF">
            <w:pPr>
              <w:jc w:val="left"/>
              <w:rPr>
                <w:rFonts w:ascii="宋体" w:hAnsi="宋体" w:cs="宋体"/>
                <w:color w:val="auto"/>
                <w:kern w:val="0"/>
                <w:sz w:val="20"/>
                <w:szCs w:val="20"/>
              </w:rPr>
            </w:pPr>
          </w:p>
        </w:tc>
        <w:tc>
          <w:tcPr>
            <w:tcW w:w="765" w:type="dxa"/>
            <w:gridSpan w:val="2"/>
            <w:tcBorders>
              <w:top w:val="nil"/>
              <w:left w:val="nil"/>
              <w:bottom w:val="nil"/>
              <w:right w:val="nil"/>
            </w:tcBorders>
            <w:vAlign w:val="center"/>
          </w:tcPr>
          <w:p w14:paraId="7C8F8240">
            <w:pPr>
              <w:jc w:val="left"/>
              <w:rPr>
                <w:rFonts w:ascii="宋体" w:hAnsi="宋体" w:cs="宋体"/>
                <w:color w:val="auto"/>
                <w:kern w:val="0"/>
                <w:sz w:val="20"/>
                <w:szCs w:val="20"/>
              </w:rPr>
            </w:pPr>
          </w:p>
        </w:tc>
        <w:tc>
          <w:tcPr>
            <w:tcW w:w="491" w:type="dxa"/>
            <w:tcBorders>
              <w:top w:val="nil"/>
              <w:left w:val="nil"/>
              <w:bottom w:val="nil"/>
              <w:right w:val="nil"/>
            </w:tcBorders>
            <w:vAlign w:val="center"/>
          </w:tcPr>
          <w:p w14:paraId="4B405AFF">
            <w:pPr>
              <w:jc w:val="left"/>
              <w:rPr>
                <w:rFonts w:ascii="宋体" w:hAnsi="宋体" w:cs="宋体"/>
                <w:color w:val="auto"/>
                <w:kern w:val="0"/>
                <w:sz w:val="20"/>
                <w:szCs w:val="20"/>
              </w:rPr>
            </w:pPr>
          </w:p>
        </w:tc>
        <w:tc>
          <w:tcPr>
            <w:tcW w:w="1099" w:type="dxa"/>
            <w:gridSpan w:val="3"/>
            <w:tcBorders>
              <w:top w:val="nil"/>
              <w:left w:val="nil"/>
              <w:bottom w:val="nil"/>
              <w:right w:val="nil"/>
            </w:tcBorders>
            <w:vAlign w:val="center"/>
          </w:tcPr>
          <w:p w14:paraId="75420F99">
            <w:pPr>
              <w:jc w:val="left"/>
              <w:rPr>
                <w:rFonts w:ascii="宋体" w:hAnsi="宋体" w:cs="宋体"/>
                <w:color w:val="auto"/>
                <w:kern w:val="0"/>
                <w:sz w:val="20"/>
                <w:szCs w:val="20"/>
              </w:rPr>
            </w:pPr>
          </w:p>
        </w:tc>
        <w:tc>
          <w:tcPr>
            <w:tcW w:w="840" w:type="dxa"/>
            <w:gridSpan w:val="4"/>
            <w:tcBorders>
              <w:top w:val="nil"/>
              <w:left w:val="nil"/>
              <w:bottom w:val="nil"/>
              <w:right w:val="nil"/>
            </w:tcBorders>
            <w:vAlign w:val="center"/>
          </w:tcPr>
          <w:p w14:paraId="18D254AC">
            <w:pPr>
              <w:jc w:val="left"/>
              <w:rPr>
                <w:rFonts w:ascii="宋体" w:hAnsi="宋体" w:cs="宋体"/>
                <w:color w:val="auto"/>
                <w:kern w:val="0"/>
                <w:sz w:val="20"/>
                <w:szCs w:val="20"/>
              </w:rPr>
            </w:pPr>
          </w:p>
        </w:tc>
        <w:tc>
          <w:tcPr>
            <w:tcW w:w="236" w:type="dxa"/>
            <w:tcBorders>
              <w:top w:val="nil"/>
              <w:left w:val="nil"/>
              <w:bottom w:val="nil"/>
              <w:right w:val="nil"/>
            </w:tcBorders>
            <w:vAlign w:val="center"/>
          </w:tcPr>
          <w:p w14:paraId="0A440684">
            <w:pPr>
              <w:jc w:val="left"/>
              <w:rPr>
                <w:rFonts w:ascii="宋体" w:hAnsi="宋体" w:cs="宋体"/>
                <w:color w:val="auto"/>
                <w:kern w:val="0"/>
                <w:sz w:val="20"/>
                <w:szCs w:val="20"/>
              </w:rPr>
            </w:pPr>
          </w:p>
        </w:tc>
      </w:tr>
      <w:tr w14:paraId="612434C0">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28DBA836">
            <w:pPr>
              <w:jc w:val="center"/>
              <w:rPr>
                <w:rFonts w:ascii="宋体" w:hAnsi="宋体" w:cs="宋体"/>
                <w:color w:val="auto"/>
                <w:kern w:val="0"/>
                <w:sz w:val="20"/>
                <w:szCs w:val="20"/>
              </w:rPr>
            </w:pPr>
          </w:p>
        </w:tc>
        <w:tc>
          <w:tcPr>
            <w:tcW w:w="6165" w:type="dxa"/>
            <w:gridSpan w:val="6"/>
            <w:tcBorders>
              <w:top w:val="nil"/>
              <w:left w:val="nil"/>
              <w:bottom w:val="nil"/>
              <w:right w:val="nil"/>
            </w:tcBorders>
            <w:vAlign w:val="center"/>
          </w:tcPr>
          <w:p w14:paraId="121DED8B">
            <w:pPr>
              <w:jc w:val="left"/>
              <w:rPr>
                <w:rFonts w:ascii="宋体" w:hAnsi="宋体" w:cs="宋体"/>
                <w:color w:val="auto"/>
                <w:kern w:val="0"/>
                <w:sz w:val="20"/>
                <w:szCs w:val="20"/>
              </w:rPr>
            </w:pPr>
            <w:r>
              <w:rPr>
                <w:rFonts w:hint="eastAsia" w:ascii="宋体" w:hAnsi="宋体" w:cs="宋体"/>
                <w:color w:val="auto"/>
                <w:kern w:val="0"/>
                <w:sz w:val="20"/>
                <w:szCs w:val="20"/>
              </w:rPr>
              <w:t>2、合同期内超过合同量的供货，按合同同等价结算</w:t>
            </w:r>
          </w:p>
        </w:tc>
        <w:tc>
          <w:tcPr>
            <w:tcW w:w="765" w:type="dxa"/>
            <w:tcBorders>
              <w:top w:val="nil"/>
              <w:left w:val="nil"/>
              <w:bottom w:val="nil"/>
              <w:right w:val="nil"/>
            </w:tcBorders>
            <w:vAlign w:val="center"/>
          </w:tcPr>
          <w:p w14:paraId="2D86D85F">
            <w:pPr>
              <w:jc w:val="left"/>
              <w:rPr>
                <w:rFonts w:ascii="宋体" w:hAnsi="宋体" w:cs="宋体"/>
                <w:color w:val="auto"/>
                <w:kern w:val="0"/>
                <w:sz w:val="20"/>
                <w:szCs w:val="20"/>
              </w:rPr>
            </w:pPr>
          </w:p>
        </w:tc>
        <w:tc>
          <w:tcPr>
            <w:tcW w:w="881" w:type="dxa"/>
            <w:gridSpan w:val="2"/>
            <w:tcBorders>
              <w:top w:val="nil"/>
              <w:left w:val="nil"/>
              <w:bottom w:val="nil"/>
              <w:right w:val="nil"/>
            </w:tcBorders>
            <w:vAlign w:val="center"/>
          </w:tcPr>
          <w:p w14:paraId="1D61D254">
            <w:pPr>
              <w:jc w:val="left"/>
              <w:rPr>
                <w:rFonts w:ascii="宋体" w:hAnsi="宋体" w:cs="宋体"/>
                <w:color w:val="auto"/>
                <w:kern w:val="0"/>
                <w:sz w:val="20"/>
                <w:szCs w:val="20"/>
              </w:rPr>
            </w:pPr>
          </w:p>
        </w:tc>
        <w:tc>
          <w:tcPr>
            <w:tcW w:w="1056" w:type="dxa"/>
            <w:gridSpan w:val="3"/>
            <w:tcBorders>
              <w:top w:val="nil"/>
              <w:left w:val="nil"/>
              <w:bottom w:val="nil"/>
              <w:right w:val="nil"/>
            </w:tcBorders>
            <w:vAlign w:val="center"/>
          </w:tcPr>
          <w:p w14:paraId="42AE22FD">
            <w:pPr>
              <w:jc w:val="left"/>
              <w:rPr>
                <w:rFonts w:ascii="宋体" w:hAnsi="宋体" w:cs="宋体"/>
                <w:color w:val="auto"/>
                <w:kern w:val="0"/>
                <w:sz w:val="20"/>
                <w:szCs w:val="20"/>
              </w:rPr>
            </w:pPr>
          </w:p>
        </w:tc>
        <w:tc>
          <w:tcPr>
            <w:tcW w:w="236" w:type="dxa"/>
            <w:tcBorders>
              <w:top w:val="nil"/>
              <w:left w:val="nil"/>
              <w:bottom w:val="nil"/>
              <w:right w:val="nil"/>
            </w:tcBorders>
            <w:vAlign w:val="center"/>
          </w:tcPr>
          <w:p w14:paraId="067569AF">
            <w:pPr>
              <w:jc w:val="left"/>
              <w:rPr>
                <w:rFonts w:ascii="宋体" w:hAnsi="宋体" w:cs="宋体"/>
                <w:color w:val="auto"/>
                <w:kern w:val="0"/>
                <w:sz w:val="20"/>
                <w:szCs w:val="20"/>
              </w:rPr>
            </w:pPr>
          </w:p>
        </w:tc>
        <w:tc>
          <w:tcPr>
            <w:tcW w:w="1005" w:type="dxa"/>
            <w:gridSpan w:val="2"/>
            <w:tcBorders>
              <w:top w:val="nil"/>
              <w:left w:val="nil"/>
              <w:bottom w:val="nil"/>
              <w:right w:val="nil"/>
            </w:tcBorders>
            <w:vAlign w:val="center"/>
          </w:tcPr>
          <w:p w14:paraId="644E53C4">
            <w:pPr>
              <w:jc w:val="left"/>
              <w:rPr>
                <w:rFonts w:ascii="宋体" w:hAnsi="宋体" w:cs="宋体"/>
                <w:color w:val="auto"/>
                <w:kern w:val="0"/>
                <w:sz w:val="20"/>
                <w:szCs w:val="20"/>
              </w:rPr>
            </w:pPr>
          </w:p>
        </w:tc>
        <w:tc>
          <w:tcPr>
            <w:tcW w:w="236" w:type="dxa"/>
            <w:gridSpan w:val="2"/>
            <w:tcBorders>
              <w:top w:val="nil"/>
              <w:left w:val="nil"/>
              <w:bottom w:val="nil"/>
              <w:right w:val="nil"/>
            </w:tcBorders>
            <w:vAlign w:val="center"/>
          </w:tcPr>
          <w:p w14:paraId="517FB115">
            <w:pPr>
              <w:jc w:val="left"/>
              <w:rPr>
                <w:rFonts w:ascii="宋体" w:hAnsi="宋体" w:cs="宋体"/>
                <w:color w:val="auto"/>
                <w:kern w:val="0"/>
                <w:sz w:val="20"/>
                <w:szCs w:val="20"/>
              </w:rPr>
            </w:pPr>
          </w:p>
        </w:tc>
      </w:tr>
    </w:tbl>
    <w:p w14:paraId="0B98BB12">
      <w:pPr>
        <w:widowControl/>
        <w:spacing w:line="500" w:lineRule="exact"/>
        <w:jc w:val="center"/>
        <w:rPr>
          <w:rFonts w:hint="eastAsia" w:ascii="仿宋_GB2312" w:hAnsi="黑体" w:eastAsia="仿宋_GB2312"/>
          <w:b/>
          <w:bCs/>
          <w:color w:val="auto"/>
          <w:sz w:val="44"/>
          <w:szCs w:val="44"/>
          <w:u w:val="single"/>
        </w:rPr>
      </w:pPr>
    </w:p>
    <w:p w14:paraId="477BD553">
      <w:pPr>
        <w:pStyle w:val="7"/>
        <w:rPr>
          <w:rFonts w:hint="default"/>
          <w:color w:val="auto"/>
          <w:lang w:val="en-US" w:eastAsia="zh-CN"/>
        </w:rPr>
      </w:pPr>
    </w:p>
    <w:p w14:paraId="7E287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162E7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5F6F3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74C2D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4FC4C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41ABD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48944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208C5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1E8D0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331A3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17B16D3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宋体" w:hAnsi="宋体"/>
          <w:sz w:val="24"/>
          <w:szCs w:val="24"/>
          <w:lang w:eastAsia="zh-CN"/>
        </w:rPr>
      </w:pPr>
      <w:r>
        <w:rPr>
          <w:rFonts w:hint="default" w:ascii="Times New Roman" w:hAnsi="Times New Roman" w:eastAsia="黑体" w:cs="Times New Roman"/>
          <w:color w:val="auto"/>
          <w:sz w:val="32"/>
          <w:szCs w:val="32"/>
        </w:rPr>
        <w:t>廉洁承诺书：</w:t>
      </w:r>
    </w:p>
    <w:p w14:paraId="2AE2131E">
      <w:pPr>
        <w:autoSpaceDE w:val="0"/>
        <w:autoSpaceDN w:val="0"/>
        <w:adjustRightInd w:val="0"/>
        <w:ind w:firstLine="640" w:firstLineChars="200"/>
        <w:rPr>
          <w:rFonts w:ascii="Times" w:hAnsi="Times" w:eastAsia="仿宋_GB2312" w:cs="宋体"/>
          <w:color w:val="000000"/>
          <w:kern w:val="0"/>
          <w:sz w:val="32"/>
          <w:szCs w:val="32"/>
          <w:highlight w:val="none"/>
        </w:rPr>
      </w:pPr>
    </w:p>
    <w:p w14:paraId="09A86102">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578F5CC5">
      <w:pPr>
        <w:autoSpaceDE w:val="0"/>
        <w:autoSpaceDN w:val="0"/>
        <w:adjustRightInd w:val="0"/>
        <w:ind w:firstLine="720" w:firstLineChars="200"/>
        <w:jc w:val="center"/>
        <w:rPr>
          <w:rFonts w:ascii="Times" w:hAnsi="Times" w:eastAsia="黑体" w:cs="宋体"/>
          <w:color w:val="000000"/>
          <w:kern w:val="0"/>
          <w:sz w:val="36"/>
          <w:szCs w:val="32"/>
          <w:highlight w:val="none"/>
        </w:rPr>
      </w:pPr>
    </w:p>
    <w:p w14:paraId="536B0844">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4768598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0386CDC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2DD49F5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52165F2D">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5A582C0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79E20CE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465FE9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4E891FEC">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76E912E">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7A8F9532">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9B0D651">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0C90E6AD">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6A152D3E">
      <w:pPr>
        <w:autoSpaceDE w:val="0"/>
        <w:autoSpaceDN w:val="0"/>
        <w:adjustRightInd w:val="0"/>
        <w:ind w:firstLine="640" w:firstLineChars="200"/>
        <w:rPr>
          <w:rFonts w:ascii="Times" w:hAnsi="Times" w:eastAsia="仿宋_GB2312" w:cs="宋体"/>
          <w:color w:val="000000"/>
          <w:kern w:val="0"/>
          <w:sz w:val="32"/>
          <w:szCs w:val="32"/>
          <w:highlight w:val="none"/>
        </w:rPr>
      </w:pPr>
    </w:p>
    <w:p w14:paraId="110FA3A1">
      <w:pPr>
        <w:autoSpaceDE w:val="0"/>
        <w:autoSpaceDN w:val="0"/>
        <w:adjustRightInd w:val="0"/>
        <w:ind w:firstLine="640" w:firstLineChars="200"/>
        <w:rPr>
          <w:rFonts w:ascii="Times" w:hAnsi="Times" w:eastAsia="仿宋_GB2312" w:cs="宋体"/>
          <w:color w:val="000000"/>
          <w:kern w:val="0"/>
          <w:sz w:val="32"/>
          <w:szCs w:val="32"/>
          <w:highlight w:val="none"/>
        </w:rPr>
      </w:pPr>
    </w:p>
    <w:p w14:paraId="00C5B0F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0B15D322">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4D441023">
      <w:pPr>
        <w:autoSpaceDE w:val="0"/>
        <w:autoSpaceDN w:val="0"/>
        <w:adjustRightInd w:val="0"/>
        <w:ind w:left="3570" w:leftChars="1700"/>
        <w:jc w:val="left"/>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004E28F">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068538C4">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70261324">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6613CDCC">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61A7D7CE">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3BE16460">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1D13ED40">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6F2C3A0C">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635D8D01">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39EBEE58">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2EE52CA5">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6F56A2FC">
      <w:pPr>
        <w:autoSpaceDE w:val="0"/>
        <w:autoSpaceDN w:val="0"/>
        <w:adjustRightInd w:val="0"/>
        <w:ind w:left="3570" w:leftChars="1700"/>
        <w:jc w:val="left"/>
        <w:rPr>
          <w:rFonts w:hint="eastAsia" w:ascii="Times" w:hAnsi="Times" w:eastAsia="仿宋_GB2312" w:cs="宋体"/>
          <w:color w:val="000000"/>
          <w:kern w:val="0"/>
          <w:sz w:val="32"/>
          <w:szCs w:val="32"/>
          <w:highlight w:val="none"/>
        </w:rPr>
      </w:pPr>
    </w:p>
    <w:p w14:paraId="11694E1B">
      <w:pPr>
        <w:tabs>
          <w:tab w:val="left" w:pos="5055"/>
        </w:tabs>
        <w:spacing w:line="400" w:lineRule="exact"/>
        <w:jc w:val="left"/>
        <w:rPr>
          <w:rFonts w:hint="eastAsia" w:ascii="宋体" w:hAnsi="宋体" w:eastAsia="宋体"/>
          <w:kern w:val="0"/>
          <w:sz w:val="24"/>
          <w:lang w:val="en-US" w:eastAsia="zh-CN"/>
        </w:rPr>
      </w:pPr>
      <w:r>
        <w:rPr>
          <w:rFonts w:hint="eastAsia" w:ascii="宋体" w:hAnsi="宋体"/>
          <w:kern w:val="0"/>
          <w:sz w:val="24"/>
        </w:rPr>
        <w:t>附件</w:t>
      </w:r>
      <w:r>
        <w:rPr>
          <w:rFonts w:hint="eastAsia" w:ascii="宋体" w:hAnsi="宋体"/>
          <w:kern w:val="0"/>
          <w:sz w:val="24"/>
          <w:lang w:val="en-US" w:eastAsia="zh-CN"/>
        </w:rPr>
        <w:t>一</w:t>
      </w:r>
    </w:p>
    <w:p w14:paraId="2B07DD28">
      <w:pPr>
        <w:spacing w:line="460" w:lineRule="exact"/>
        <w:jc w:val="center"/>
        <w:rPr>
          <w:rFonts w:ascii="宋体" w:hAnsi="宋体" w:cs="宋体"/>
          <w:b/>
          <w:kern w:val="0"/>
          <w:sz w:val="24"/>
        </w:rPr>
      </w:pPr>
      <w:r>
        <w:rPr>
          <w:rFonts w:hint="eastAsia" w:ascii="宋体" w:hAnsi="宋体" w:cs="宋体"/>
          <w:b/>
          <w:kern w:val="0"/>
          <w:sz w:val="24"/>
        </w:rPr>
        <w:t>乙类承包商安全管理协议</w:t>
      </w:r>
    </w:p>
    <w:p w14:paraId="382FB56E">
      <w:pPr>
        <w:spacing w:line="460" w:lineRule="exact"/>
        <w:ind w:firstLine="480" w:firstLineChars="200"/>
        <w:jc w:val="left"/>
        <w:rPr>
          <w:rFonts w:ascii="宋体" w:hAnsi="宋体" w:cs="宋体"/>
          <w:sz w:val="24"/>
        </w:rPr>
      </w:pPr>
      <w:r>
        <w:rPr>
          <w:rFonts w:hint="eastAsia" w:ascii="宋体" w:hAnsi="宋体" w:cs="宋体"/>
          <w:sz w:val="24"/>
        </w:rPr>
        <w:t>甲方</w:t>
      </w:r>
      <w:bookmarkStart w:id="0" w:name="_Hlk132406061"/>
      <w:r>
        <w:rPr>
          <w:rFonts w:hint="eastAsia" w:ascii="宋体" w:hAnsi="宋体" w:cs="宋体"/>
          <w:sz w:val="24"/>
        </w:rPr>
        <w:t>（发包方）</w:t>
      </w:r>
      <w:bookmarkEnd w:id="0"/>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sz w:val="24"/>
          <w:u w:val="single"/>
        </w:rPr>
        <w:t xml:space="preserve">英德市粤北糖业有限公司 </w:t>
      </w:r>
      <w:r>
        <w:rPr>
          <w:rFonts w:hint="eastAsia" w:ascii="宋体" w:hAnsi="宋体" w:cs="宋体"/>
          <w:sz w:val="24"/>
          <w:u w:val="single"/>
        </w:rPr>
        <w:t xml:space="preserve">     </w:t>
      </w:r>
    </w:p>
    <w:p w14:paraId="36DF9A81">
      <w:pPr>
        <w:spacing w:line="460" w:lineRule="exact"/>
        <w:ind w:firstLine="480" w:firstLineChars="200"/>
        <w:jc w:val="left"/>
        <w:rPr>
          <w:rFonts w:ascii="宋体" w:hAnsi="宋体" w:cs="宋体"/>
          <w:sz w:val="24"/>
        </w:rPr>
      </w:pPr>
      <w:r>
        <w:rPr>
          <w:rFonts w:hint="eastAsia" w:ascii="宋体" w:hAnsi="宋体" w:cs="宋体"/>
          <w:sz w:val="24"/>
        </w:rPr>
        <w:t>乙方</w:t>
      </w:r>
      <w:bookmarkStart w:id="1" w:name="_Hlk132406074"/>
      <w:r>
        <w:rPr>
          <w:rFonts w:hint="eastAsia" w:ascii="宋体" w:hAnsi="宋体" w:cs="宋体"/>
          <w:sz w:val="24"/>
        </w:rPr>
        <w:t>（承包方）</w:t>
      </w:r>
      <w:bookmarkEnd w:id="1"/>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sz w:val="24"/>
          <w:u w:val="single"/>
        </w:rPr>
        <w:t xml:space="preserve">     </w:t>
      </w:r>
    </w:p>
    <w:p w14:paraId="3CEBC6E5">
      <w:pPr>
        <w:spacing w:line="460" w:lineRule="exact"/>
        <w:ind w:firstLine="480" w:firstLineChars="200"/>
        <w:jc w:val="left"/>
        <w:rPr>
          <w:rFonts w:ascii="宋体" w:hAnsi="宋体" w:cs="宋体"/>
          <w:sz w:val="24"/>
        </w:rPr>
      </w:pPr>
    </w:p>
    <w:p w14:paraId="4AE9BA9E">
      <w:pPr>
        <w:spacing w:line="460" w:lineRule="exact"/>
        <w:ind w:firstLine="480" w:firstLineChars="200"/>
        <w:jc w:val="left"/>
        <w:rPr>
          <w:rFonts w:ascii="宋体" w:hAnsi="宋体" w:cs="宋体"/>
          <w:sz w:val="24"/>
        </w:rPr>
      </w:pPr>
      <w:bookmarkStart w:id="2" w:name="_Hlk132407100"/>
      <w:r>
        <w:rPr>
          <w:rFonts w:hint="eastAsia" w:ascii="宋体" w:hAnsi="宋体" w:cs="宋体"/>
          <w:sz w:val="24"/>
        </w:rPr>
        <w:t>为确保施工项目全过程的安全生产管理，明确</w:t>
      </w:r>
      <w:r>
        <w:rPr>
          <w:rFonts w:hint="eastAsia" w:ascii="宋体" w:hAnsi="宋体" w:cs="宋体"/>
          <w:spacing w:val="-13"/>
          <w:sz w:val="24"/>
        </w:rPr>
        <w:t>甲乙双方</w:t>
      </w:r>
      <w:r>
        <w:rPr>
          <w:rFonts w:hint="eastAsia" w:ascii="宋体" w:hAnsi="宋体" w:cs="宋体"/>
          <w:sz w:val="24"/>
        </w:rPr>
        <w:t>安全责任，杜绝生产安全事故，</w:t>
      </w:r>
      <w:r>
        <w:rPr>
          <w:rFonts w:hint="eastAsia" w:ascii="宋体" w:hAnsi="宋体" w:cs="宋体"/>
          <w:spacing w:val="-13"/>
          <w:sz w:val="24"/>
        </w:rPr>
        <w:t>稳定运营，</w:t>
      </w:r>
      <w:r>
        <w:rPr>
          <w:rFonts w:hint="eastAsia" w:ascii="宋体" w:hAnsi="宋体" w:cs="宋体"/>
          <w:sz w:val="24"/>
        </w:rPr>
        <w:t>按照《安全生产法》《民法典》《建设工程安全生产管理条例》等法律法规</w:t>
      </w:r>
      <w:r>
        <w:rPr>
          <w:rFonts w:hint="eastAsia" w:ascii="宋体" w:hAnsi="宋体" w:cs="宋体"/>
          <w:bCs/>
          <w:sz w:val="24"/>
        </w:rPr>
        <w:t>和甲方承包商制度</w:t>
      </w:r>
      <w:r>
        <w:rPr>
          <w:rFonts w:hint="eastAsia" w:ascii="宋体" w:hAnsi="宋体" w:cs="宋体"/>
          <w:sz w:val="24"/>
        </w:rPr>
        <w:t>要求，甲乙双方遵循平等、自愿、公平和诚实信用的原则，就工程安全生产管理事项协商一致，订立本协议。</w:t>
      </w:r>
    </w:p>
    <w:bookmarkEnd w:id="2"/>
    <w:p w14:paraId="56B7F374">
      <w:pPr>
        <w:spacing w:line="460" w:lineRule="exact"/>
        <w:jc w:val="left"/>
        <w:rPr>
          <w:rFonts w:ascii="宋体" w:hAnsi="宋体" w:cs="宋体"/>
          <w:b/>
          <w:sz w:val="24"/>
        </w:rPr>
      </w:pPr>
      <w:bookmarkStart w:id="3" w:name="_Toc434694358"/>
      <w:bookmarkStart w:id="4" w:name="_Toc396037049"/>
      <w:bookmarkStart w:id="5" w:name="_Toc396036405"/>
      <w:bookmarkStart w:id="6" w:name="_Toc381911461"/>
      <w:bookmarkStart w:id="7" w:name="_Toc384944712"/>
      <w:bookmarkStart w:id="8" w:name="_Toc451698735"/>
      <w:bookmarkStart w:id="9" w:name="_Toc389985354"/>
      <w:bookmarkStart w:id="10" w:name="_Toc442016137"/>
      <w:bookmarkStart w:id="11" w:name="_Toc383301022"/>
      <w:bookmarkStart w:id="12" w:name="_Toc442022096"/>
      <w:bookmarkStart w:id="13" w:name="_Toc442133366"/>
      <w:r>
        <w:rPr>
          <w:rFonts w:hint="eastAsia" w:ascii="宋体" w:hAnsi="宋体" w:cs="宋体"/>
          <w:b/>
          <w:sz w:val="24"/>
        </w:rPr>
        <w:t>1工程概况：</w:t>
      </w:r>
      <w:bookmarkEnd w:id="3"/>
      <w:bookmarkEnd w:id="4"/>
      <w:bookmarkEnd w:id="5"/>
      <w:bookmarkEnd w:id="6"/>
      <w:bookmarkEnd w:id="7"/>
      <w:bookmarkEnd w:id="8"/>
      <w:bookmarkEnd w:id="9"/>
      <w:bookmarkEnd w:id="10"/>
      <w:bookmarkEnd w:id="11"/>
      <w:bookmarkEnd w:id="12"/>
      <w:bookmarkEnd w:id="13"/>
    </w:p>
    <w:p w14:paraId="1CE6A85F">
      <w:pPr>
        <w:tabs>
          <w:tab w:val="left" w:pos="962"/>
        </w:tabs>
        <w:spacing w:line="460" w:lineRule="exact"/>
        <w:jc w:val="left"/>
        <w:rPr>
          <w:rFonts w:ascii="宋体" w:hAnsi="宋体" w:cs="宋体"/>
          <w:sz w:val="24"/>
          <w:u w:val="single"/>
        </w:rPr>
      </w:pPr>
      <w:bookmarkStart w:id="14" w:name="_Toc384944713"/>
      <w:bookmarkStart w:id="15" w:name="_Toc389985355"/>
      <w:bookmarkStart w:id="16" w:name="_Toc381911462"/>
      <w:bookmarkStart w:id="17" w:name="_Toc442016138"/>
      <w:bookmarkStart w:id="18" w:name="_Toc442022097"/>
      <w:bookmarkStart w:id="19" w:name="_Toc396037050"/>
      <w:bookmarkStart w:id="20" w:name="_Toc434694359"/>
      <w:bookmarkStart w:id="21" w:name="_Toc451698736"/>
      <w:bookmarkStart w:id="22" w:name="_Toc442133367"/>
      <w:bookmarkStart w:id="23" w:name="_Toc383301023"/>
      <w:bookmarkStart w:id="24" w:name="_Toc396036406"/>
      <w:r>
        <w:rPr>
          <w:rFonts w:hint="eastAsia" w:ascii="宋体" w:hAnsi="宋体" w:cs="宋体"/>
          <w:sz w:val="24"/>
        </w:rPr>
        <w:t>1.1项目（作业）名称：</w:t>
      </w:r>
      <w:bookmarkEnd w:id="14"/>
      <w:bookmarkEnd w:id="15"/>
      <w:bookmarkEnd w:id="16"/>
      <w:bookmarkEnd w:id="17"/>
      <w:bookmarkEnd w:id="18"/>
      <w:bookmarkEnd w:id="19"/>
      <w:bookmarkEnd w:id="20"/>
      <w:bookmarkEnd w:id="21"/>
      <w:bookmarkEnd w:id="22"/>
      <w:bookmarkEnd w:id="23"/>
      <w:bookmarkEnd w:id="24"/>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196AADEB">
      <w:pPr>
        <w:tabs>
          <w:tab w:val="left" w:pos="962"/>
        </w:tabs>
        <w:spacing w:line="460" w:lineRule="exact"/>
        <w:jc w:val="left"/>
        <w:rPr>
          <w:rFonts w:ascii="宋体" w:hAnsi="宋体" w:cs="宋体"/>
          <w:bCs/>
          <w:sz w:val="24"/>
          <w:u w:val="single"/>
        </w:rPr>
      </w:pPr>
      <w:bookmarkStart w:id="25" w:name="_Toc442022098"/>
      <w:bookmarkStart w:id="26" w:name="_Toc396037051"/>
      <w:bookmarkStart w:id="27" w:name="_Toc381911463"/>
      <w:bookmarkStart w:id="28" w:name="_Toc451698737"/>
      <w:bookmarkStart w:id="29" w:name="_Toc442133368"/>
      <w:bookmarkStart w:id="30" w:name="_Toc396036407"/>
      <w:bookmarkStart w:id="31" w:name="_Toc389985356"/>
      <w:bookmarkStart w:id="32" w:name="_Toc384944714"/>
      <w:bookmarkStart w:id="33" w:name="_Toc442016139"/>
      <w:bookmarkStart w:id="34" w:name="_Toc383301024"/>
      <w:bookmarkStart w:id="35" w:name="_Toc434694360"/>
      <w:bookmarkStart w:id="36" w:name="_Hlk132406144"/>
      <w:r>
        <w:rPr>
          <w:rFonts w:hint="eastAsia" w:ascii="宋体" w:hAnsi="宋体" w:cs="宋体"/>
          <w:sz w:val="24"/>
        </w:rPr>
        <w:t>1.2项目（作业）地点与范围：</w:t>
      </w:r>
      <w:bookmarkEnd w:id="25"/>
      <w:bookmarkEnd w:id="26"/>
      <w:bookmarkEnd w:id="27"/>
      <w:bookmarkEnd w:id="28"/>
      <w:bookmarkEnd w:id="29"/>
      <w:bookmarkEnd w:id="30"/>
      <w:bookmarkEnd w:id="31"/>
      <w:bookmarkEnd w:id="32"/>
      <w:bookmarkEnd w:id="33"/>
      <w:bookmarkEnd w:id="34"/>
      <w:bookmarkEnd w:id="35"/>
      <w:r>
        <w:rPr>
          <w:rFonts w:hint="eastAsia" w:ascii="宋体" w:hAnsi="宋体" w:cs="宋体"/>
          <w:sz w:val="24"/>
          <w:u w:val="single"/>
        </w:rPr>
        <w:t xml:space="preserve">   厂区内                                       </w:t>
      </w:r>
    </w:p>
    <w:p w14:paraId="576B7121">
      <w:pPr>
        <w:tabs>
          <w:tab w:val="left" w:pos="962"/>
        </w:tabs>
        <w:spacing w:line="460" w:lineRule="exact"/>
        <w:jc w:val="left"/>
        <w:rPr>
          <w:rFonts w:ascii="宋体" w:hAnsi="宋体" w:cs="宋体"/>
          <w:bCs/>
          <w:sz w:val="24"/>
          <w:u w:val="single"/>
        </w:rPr>
      </w:pPr>
      <w:bookmarkStart w:id="37" w:name="_Toc451698738"/>
      <w:bookmarkStart w:id="38" w:name="_Toc389985357"/>
      <w:bookmarkStart w:id="39" w:name="_Toc442016140"/>
      <w:bookmarkStart w:id="40" w:name="_Toc442022099"/>
      <w:bookmarkStart w:id="41" w:name="_Toc396036408"/>
      <w:bookmarkStart w:id="42" w:name="_Toc383301025"/>
      <w:bookmarkStart w:id="43" w:name="_Toc442133369"/>
      <w:bookmarkStart w:id="44" w:name="_Toc381911464"/>
      <w:bookmarkStart w:id="45" w:name="_Toc384944715"/>
      <w:bookmarkStart w:id="46" w:name="_Toc396037052"/>
      <w:bookmarkStart w:id="47" w:name="_Toc434694361"/>
      <w:r>
        <w:rPr>
          <w:rFonts w:hint="eastAsia" w:ascii="宋体" w:hAnsi="宋体" w:cs="宋体"/>
          <w:sz w:val="24"/>
        </w:rPr>
        <w:t>1.3项目（作业）承包主要内容：</w:t>
      </w:r>
      <w:bookmarkEnd w:id="37"/>
      <w:bookmarkEnd w:id="38"/>
      <w:bookmarkEnd w:id="39"/>
      <w:bookmarkEnd w:id="40"/>
      <w:bookmarkEnd w:id="41"/>
      <w:bookmarkEnd w:id="42"/>
      <w:bookmarkEnd w:id="43"/>
      <w:bookmarkEnd w:id="44"/>
      <w:bookmarkEnd w:id="45"/>
      <w:bookmarkEnd w:id="46"/>
      <w:bookmarkEnd w:id="47"/>
      <w:r>
        <w:rPr>
          <w:rFonts w:hint="eastAsia" w:ascii="宋体" w:hAnsi="宋体" w:cs="宋体"/>
          <w:sz w:val="24"/>
          <w:u w:val="single"/>
        </w:rPr>
        <w:t xml:space="preserve">    详见合同第二条工程承包范围                                    </w:t>
      </w:r>
    </w:p>
    <w:bookmarkEnd w:id="36"/>
    <w:p w14:paraId="66DA9096">
      <w:pPr>
        <w:tabs>
          <w:tab w:val="left" w:pos="962"/>
        </w:tabs>
        <w:spacing w:line="460" w:lineRule="exact"/>
        <w:jc w:val="left"/>
        <w:rPr>
          <w:rFonts w:ascii="宋体" w:hAnsi="宋体" w:cs="宋体"/>
          <w:color w:val="FF0000"/>
          <w:sz w:val="24"/>
        </w:rPr>
      </w:pPr>
      <w:bookmarkStart w:id="48" w:name="_Toc442016141"/>
      <w:bookmarkStart w:id="49" w:name="_Toc442022100"/>
      <w:bookmarkStart w:id="50" w:name="_Toc434694362"/>
      <w:bookmarkStart w:id="51" w:name="_Toc396037053"/>
      <w:bookmarkStart w:id="52" w:name="_Toc442133370"/>
      <w:bookmarkStart w:id="53" w:name="_Toc381911465"/>
      <w:bookmarkStart w:id="54" w:name="_Toc389985358"/>
      <w:bookmarkStart w:id="55" w:name="_Toc396036409"/>
      <w:bookmarkStart w:id="56" w:name="_Toc383301026"/>
      <w:bookmarkStart w:id="57" w:name="_Toc384944716"/>
      <w:bookmarkStart w:id="58" w:name="_Toc451698739"/>
      <w:r>
        <w:rPr>
          <w:rFonts w:hint="eastAsia" w:ascii="宋体" w:hAnsi="宋体" w:cs="宋体"/>
          <w:sz w:val="24"/>
        </w:rPr>
        <w:t>1.4项目（作业）工期：自</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日</w:t>
      </w:r>
      <w:bookmarkEnd w:id="48"/>
      <w:bookmarkEnd w:id="49"/>
      <w:bookmarkEnd w:id="50"/>
      <w:bookmarkEnd w:id="51"/>
      <w:bookmarkEnd w:id="52"/>
      <w:bookmarkEnd w:id="53"/>
      <w:bookmarkEnd w:id="54"/>
      <w:bookmarkEnd w:id="55"/>
      <w:bookmarkEnd w:id="56"/>
      <w:bookmarkEnd w:id="57"/>
      <w:bookmarkEnd w:id="58"/>
      <w:r>
        <w:rPr>
          <w:rFonts w:hint="eastAsia" w:ascii="宋体" w:hAnsi="宋体" w:cs="宋体"/>
          <w:sz w:val="24"/>
        </w:rPr>
        <w:t>止。</w:t>
      </w:r>
      <w:r>
        <w:rPr>
          <w:rFonts w:hint="eastAsia" w:ascii="宋体" w:hAnsi="宋体" w:cs="宋体"/>
          <w:bCs/>
          <w:color w:val="FF0000"/>
          <w:kern w:val="0"/>
          <w:sz w:val="24"/>
        </w:rPr>
        <w:t>（合同有延期的或项目有保质期的，结束时间按照延期的或项目保质期期限结束为止）。</w:t>
      </w:r>
    </w:p>
    <w:p w14:paraId="6FBC35E6">
      <w:pPr>
        <w:snapToGrid w:val="0"/>
        <w:spacing w:line="460" w:lineRule="exact"/>
        <w:rPr>
          <w:rFonts w:ascii="宋体" w:hAnsi="宋体" w:cs="宋体"/>
          <w:sz w:val="24"/>
        </w:rPr>
      </w:pPr>
      <w:bookmarkStart w:id="59" w:name="_Toc442022101"/>
      <w:bookmarkStart w:id="60" w:name="_Toc434694363"/>
      <w:bookmarkStart w:id="61" w:name="_Toc389985359"/>
      <w:bookmarkStart w:id="62" w:name="_Toc442133371"/>
      <w:bookmarkStart w:id="63" w:name="_Toc383301027"/>
      <w:bookmarkStart w:id="64" w:name="_Toc384944717"/>
      <w:bookmarkStart w:id="65" w:name="_Toc396036410"/>
      <w:bookmarkStart w:id="66" w:name="_Toc396037054"/>
      <w:bookmarkStart w:id="67" w:name="_Toc442016142"/>
      <w:bookmarkStart w:id="68" w:name="_Toc451698740"/>
      <w:bookmarkStart w:id="69" w:name="_Toc381911466"/>
      <w:r>
        <w:rPr>
          <w:rFonts w:hint="eastAsia" w:ascii="宋体" w:hAnsi="宋体" w:cs="宋体"/>
          <w:sz w:val="24"/>
        </w:rPr>
        <w:t>2协议内容</w:t>
      </w:r>
    </w:p>
    <w:p w14:paraId="6B582CE1">
      <w:pPr>
        <w:adjustRightInd w:val="0"/>
        <w:snapToGrid w:val="0"/>
        <w:spacing w:line="460" w:lineRule="exact"/>
        <w:rPr>
          <w:rFonts w:ascii="宋体" w:hAnsi="宋体" w:cs="宋体"/>
          <w:sz w:val="24"/>
        </w:rPr>
      </w:pPr>
      <w:r>
        <w:rPr>
          <w:rFonts w:hint="eastAsia" w:ascii="宋体" w:hAnsi="宋体" w:cs="宋体"/>
          <w:sz w:val="24"/>
        </w:rPr>
        <w:t>2.1甲方的职责、权利</w:t>
      </w:r>
    </w:p>
    <w:p w14:paraId="4CA94475">
      <w:pPr>
        <w:snapToGrid w:val="0"/>
        <w:spacing w:line="460" w:lineRule="exact"/>
        <w:rPr>
          <w:rFonts w:ascii="宋体" w:hAnsi="宋体" w:cs="宋体"/>
          <w:sz w:val="24"/>
        </w:rPr>
      </w:pPr>
      <w:r>
        <w:rPr>
          <w:rFonts w:hint="eastAsia" w:ascii="宋体" w:hAnsi="宋体" w:cs="宋体"/>
          <w:sz w:val="24"/>
        </w:rPr>
        <w:t>2.1.1甲方职责</w:t>
      </w:r>
    </w:p>
    <w:p w14:paraId="49D81D57">
      <w:pPr>
        <w:snapToGrid w:val="0"/>
        <w:spacing w:line="460" w:lineRule="exact"/>
        <w:ind w:firstLine="480" w:firstLineChars="200"/>
        <w:rPr>
          <w:rFonts w:ascii="宋体" w:hAnsi="宋体" w:cs="宋体"/>
          <w:sz w:val="24"/>
        </w:rPr>
      </w:pPr>
      <w:r>
        <w:rPr>
          <w:rFonts w:hint="eastAsia" w:ascii="宋体" w:hAnsi="宋体" w:cs="宋体"/>
          <w:sz w:val="24"/>
        </w:rPr>
        <w:t>甲方有责任监督指导乙方按照甲方的信息化管理系统进行承包商全生命周期管理，确保乙方正确理解和应用该系统并遵循相关要求。</w:t>
      </w:r>
    </w:p>
    <w:p w14:paraId="7D1FE63B">
      <w:pPr>
        <w:snapToGrid w:val="0"/>
        <w:spacing w:line="460" w:lineRule="exact"/>
        <w:rPr>
          <w:rFonts w:ascii="宋体" w:hAnsi="宋体" w:cs="宋体"/>
          <w:sz w:val="24"/>
        </w:rPr>
      </w:pPr>
      <w:r>
        <w:rPr>
          <w:rFonts w:hint="eastAsia" w:ascii="宋体" w:hAnsi="宋体" w:cs="宋体"/>
          <w:sz w:val="24"/>
        </w:rPr>
        <w:t>2.1.1.1作业前管理要求</w:t>
      </w:r>
    </w:p>
    <w:p w14:paraId="315E74AE">
      <w:pPr>
        <w:snapToGrid w:val="0"/>
        <w:spacing w:line="460" w:lineRule="exact"/>
        <w:ind w:firstLine="504" w:firstLineChars="200"/>
        <w:rPr>
          <w:rFonts w:ascii="宋体" w:hAnsi="宋体" w:cs="宋体"/>
          <w:sz w:val="24"/>
        </w:rPr>
      </w:pPr>
      <w:r>
        <w:rPr>
          <w:rFonts w:hint="eastAsia" w:ascii="宋体" w:hAnsi="宋体" w:cs="宋体"/>
          <w:color w:val="FF0000"/>
          <w:spacing w:val="6"/>
          <w:kern w:val="0"/>
          <w:sz w:val="24"/>
        </w:rPr>
        <w:t>对乙方提供的单位资质、人员资质等资料进行审核并备案</w:t>
      </w:r>
      <w:r>
        <w:rPr>
          <w:rFonts w:hint="eastAsia" w:ascii="宋体" w:hAnsi="宋体" w:cs="宋体"/>
          <w:sz w:val="24"/>
          <w:lang w:val="zh-CN" w:bidi="zh-CN"/>
        </w:rPr>
        <w:t>，</w:t>
      </w:r>
      <w:r>
        <w:rPr>
          <w:rFonts w:hint="eastAsia" w:ascii="宋体" w:hAnsi="宋体" w:cs="宋体"/>
          <w:sz w:val="24"/>
        </w:rPr>
        <w:t>审查验证乙方作业安全条件，对乙方人员进行进场安全交底</w:t>
      </w:r>
      <w:r>
        <w:rPr>
          <w:rFonts w:hint="eastAsia" w:ascii="宋体" w:hAnsi="宋体" w:cs="宋体"/>
          <w:kern w:val="36"/>
          <w:sz w:val="24"/>
        </w:rPr>
        <w:t>。</w:t>
      </w:r>
    </w:p>
    <w:p w14:paraId="6463DEEF">
      <w:pPr>
        <w:spacing w:line="460" w:lineRule="exact"/>
        <w:ind w:firstLine="554" w:firstLineChars="231"/>
        <w:rPr>
          <w:rFonts w:ascii="宋体" w:hAnsi="宋体" w:cs="宋体"/>
          <w:sz w:val="24"/>
        </w:rPr>
      </w:pPr>
      <w:r>
        <w:rPr>
          <w:rFonts w:hint="eastAsia" w:ascii="宋体" w:hAnsi="宋体" w:cs="宋体"/>
          <w:sz w:val="24"/>
        </w:rPr>
        <w:t>——负责</w:t>
      </w:r>
      <w:r>
        <w:rPr>
          <w:rFonts w:hint="eastAsia" w:ascii="宋体" w:hAnsi="宋体" w:cs="宋体"/>
          <w:kern w:val="36"/>
          <w:sz w:val="24"/>
        </w:rPr>
        <w:t>审核乙方承包资质证件及提供的各类无事故证明、保险、安全培训、作业方案、现场处置方案等文件资料</w:t>
      </w:r>
      <w:r>
        <w:rPr>
          <w:rFonts w:hint="eastAsia" w:ascii="宋体" w:hAnsi="宋体" w:cs="宋体"/>
          <w:sz w:val="24"/>
        </w:rPr>
        <w:t>。</w:t>
      </w:r>
    </w:p>
    <w:p w14:paraId="30416C31">
      <w:pPr>
        <w:autoSpaceDE w:val="0"/>
        <w:autoSpaceDN w:val="0"/>
        <w:adjustRightInd w:val="0"/>
        <w:snapToGrid w:val="0"/>
        <w:spacing w:line="276" w:lineRule="auto"/>
        <w:rPr>
          <w:rFonts w:ascii="宋体" w:hAnsi="宋体" w:cs="宋体"/>
          <w:color w:val="FF0000"/>
          <w:sz w:val="24"/>
        </w:rPr>
      </w:pPr>
      <w:r>
        <w:rPr>
          <w:rFonts w:hint="eastAsia" w:ascii="宋体" w:hAnsi="宋体" w:cs="宋体"/>
          <w:sz w:val="24"/>
        </w:rPr>
        <w:t>——核验乙方安全管理机构及人员配备情况及相应安全（特种作业）资格证书</w:t>
      </w:r>
      <w:r>
        <w:rPr>
          <w:rFonts w:hint="eastAsia" w:ascii="宋体" w:hAnsi="宋体" w:cs="宋体"/>
          <w:color w:val="FF0000"/>
          <w:sz w:val="24"/>
        </w:rPr>
        <w:t>（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b.高压电工和低压电工不需要“高处作业证”，特种作业人员培训考核内容中包含“高作作业”相关内容的，可不用重复取“高处作业证”，反之未包含的则需取证。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14:paraId="1B825116">
      <w:pPr>
        <w:snapToGrid w:val="0"/>
        <w:spacing w:line="460" w:lineRule="exact"/>
        <w:ind w:firstLine="480" w:firstLineChars="200"/>
        <w:rPr>
          <w:rFonts w:ascii="宋体" w:hAnsi="宋体" w:cs="宋体"/>
          <w:sz w:val="24"/>
        </w:rPr>
      </w:pPr>
      <w:r>
        <w:rPr>
          <w:rFonts w:hint="eastAsia" w:ascii="宋体" w:hAnsi="宋体" w:cs="宋体"/>
          <w:sz w:val="24"/>
        </w:rPr>
        <w:t>——核验乙方作业设备设施、工具、物料、劳动保护用品等与乙方承包项目的匹配性以及安全性等；</w:t>
      </w:r>
    </w:p>
    <w:p w14:paraId="14448701">
      <w:pPr>
        <w:snapToGrid w:val="0"/>
        <w:spacing w:line="460" w:lineRule="exact"/>
        <w:ind w:firstLine="480" w:firstLineChars="200"/>
        <w:rPr>
          <w:rFonts w:ascii="宋体" w:hAnsi="宋体" w:cs="宋体"/>
          <w:sz w:val="24"/>
        </w:rPr>
      </w:pPr>
      <w:r>
        <w:rPr>
          <w:rFonts w:hint="eastAsia" w:ascii="宋体" w:hAnsi="宋体" w:cs="宋体"/>
          <w:sz w:val="24"/>
        </w:rPr>
        <w:t>——负责对乙方人员进行安全风险交底；</w:t>
      </w:r>
    </w:p>
    <w:p w14:paraId="09221F95">
      <w:pPr>
        <w:snapToGrid w:val="0"/>
        <w:spacing w:line="460" w:lineRule="exact"/>
        <w:ind w:firstLine="480" w:firstLineChars="200"/>
        <w:rPr>
          <w:rFonts w:ascii="宋体" w:hAnsi="宋体" w:cs="宋体"/>
          <w:sz w:val="24"/>
        </w:rPr>
      </w:pPr>
      <w:r>
        <w:rPr>
          <w:rFonts w:hint="eastAsia" w:ascii="宋体" w:hAnsi="宋体" w:cs="宋体"/>
          <w:sz w:val="24"/>
        </w:rPr>
        <w:t>——提供必要的工作条件；</w:t>
      </w:r>
    </w:p>
    <w:p w14:paraId="5D4069DE">
      <w:pPr>
        <w:snapToGrid w:val="0"/>
        <w:spacing w:line="460" w:lineRule="exact"/>
        <w:rPr>
          <w:rFonts w:ascii="宋体" w:hAnsi="宋体" w:cs="宋体"/>
          <w:sz w:val="24"/>
        </w:rPr>
      </w:pPr>
      <w:r>
        <w:rPr>
          <w:rFonts w:hint="eastAsia" w:ascii="宋体" w:hAnsi="宋体" w:cs="宋体"/>
          <w:sz w:val="24"/>
        </w:rPr>
        <w:t>2.1.1.2作业中管理要求</w:t>
      </w:r>
    </w:p>
    <w:p w14:paraId="2D228453">
      <w:pPr>
        <w:snapToGrid w:val="0"/>
        <w:spacing w:line="460" w:lineRule="exact"/>
        <w:ind w:firstLine="480" w:firstLineChars="200"/>
        <w:rPr>
          <w:rFonts w:ascii="宋体" w:hAnsi="宋体" w:cs="宋体"/>
          <w:sz w:val="24"/>
        </w:rPr>
      </w:pPr>
      <w:r>
        <w:rPr>
          <w:rFonts w:hint="eastAsia" w:ascii="宋体" w:hAnsi="宋体" w:cs="宋体"/>
          <w:sz w:val="24"/>
        </w:rPr>
        <w:t>建立信息交流机制，对乙方提报的工作计划或作业任务进行确认，开展作业监督检查，监督办理危险作业等作业许可，指导协调应急处置。</w:t>
      </w:r>
    </w:p>
    <w:p w14:paraId="2C36B140">
      <w:pPr>
        <w:snapToGrid w:val="0"/>
        <w:spacing w:line="460" w:lineRule="exact"/>
        <w:ind w:firstLine="480" w:firstLineChars="200"/>
        <w:rPr>
          <w:rFonts w:ascii="宋体" w:hAnsi="宋体" w:cs="宋体"/>
          <w:sz w:val="24"/>
        </w:rPr>
      </w:pPr>
      <w:r>
        <w:rPr>
          <w:rFonts w:hint="eastAsia" w:ascii="宋体" w:hAnsi="宋体" w:cs="宋体"/>
          <w:sz w:val="24"/>
        </w:rPr>
        <w:t>——负责审查乙方提报的《每日作业计划》；</w:t>
      </w:r>
    </w:p>
    <w:p w14:paraId="143EDB6B">
      <w:pPr>
        <w:snapToGrid w:val="0"/>
        <w:spacing w:line="460" w:lineRule="exact"/>
        <w:ind w:firstLine="480" w:firstLineChars="200"/>
        <w:rPr>
          <w:rFonts w:ascii="宋体" w:hAnsi="宋体" w:cs="宋体"/>
          <w:sz w:val="24"/>
        </w:rPr>
      </w:pPr>
      <w:r>
        <w:rPr>
          <w:rFonts w:hint="eastAsia" w:ascii="宋体" w:hAnsi="宋体" w:cs="宋体"/>
          <w:sz w:val="24"/>
        </w:rPr>
        <w:t>——监督检查乙方风险管控措施和危大工程的方案落实情况，并督促整改闭环。</w:t>
      </w:r>
    </w:p>
    <w:p w14:paraId="569F7C57">
      <w:pPr>
        <w:snapToGrid w:val="0"/>
        <w:spacing w:line="460" w:lineRule="exact"/>
        <w:ind w:firstLine="480" w:firstLineChars="200"/>
        <w:rPr>
          <w:rFonts w:ascii="宋体" w:hAnsi="宋体" w:cs="宋体"/>
          <w:sz w:val="24"/>
        </w:rPr>
      </w:pPr>
      <w:r>
        <w:rPr>
          <w:rFonts w:hint="eastAsia" w:ascii="宋体" w:hAnsi="宋体" w:cs="宋体"/>
          <w:sz w:val="24"/>
        </w:rPr>
        <w:t>——负责指挥协调乙方现场安全生产事故应急救援工作，充分调动甲乙双方的应急资源。</w:t>
      </w:r>
    </w:p>
    <w:p w14:paraId="2CB05C76">
      <w:pPr>
        <w:snapToGrid w:val="0"/>
        <w:spacing w:line="460" w:lineRule="exact"/>
        <w:ind w:firstLine="480" w:firstLineChars="200"/>
        <w:rPr>
          <w:rFonts w:ascii="宋体" w:hAnsi="宋体" w:cs="宋体"/>
          <w:sz w:val="24"/>
        </w:rPr>
      </w:pPr>
      <w:r>
        <w:rPr>
          <w:rFonts w:hint="eastAsia" w:ascii="宋体" w:hAnsi="宋体" w:cs="宋体"/>
          <w:sz w:val="24"/>
        </w:rPr>
        <w:t>——对承包商危险作业实施许可管理；按照变更作业相关制度实施变更作业管理；</w:t>
      </w:r>
    </w:p>
    <w:p w14:paraId="55EFC56E">
      <w:pPr>
        <w:snapToGrid w:val="0"/>
        <w:spacing w:line="460" w:lineRule="exact"/>
        <w:ind w:firstLine="480" w:firstLineChars="200"/>
        <w:rPr>
          <w:rFonts w:ascii="宋体" w:hAnsi="宋体" w:cs="宋体"/>
          <w:sz w:val="24"/>
        </w:rPr>
      </w:pPr>
      <w:r>
        <w:rPr>
          <w:rFonts w:hint="eastAsia" w:ascii="宋体" w:hAnsi="宋体" w:cs="宋体"/>
          <w:sz w:val="24"/>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14:paraId="6112BA3B">
      <w:pPr>
        <w:snapToGrid w:val="0"/>
        <w:spacing w:line="460" w:lineRule="exact"/>
        <w:rPr>
          <w:rFonts w:ascii="宋体" w:hAnsi="宋体" w:cs="宋体"/>
          <w:sz w:val="24"/>
        </w:rPr>
      </w:pPr>
      <w:r>
        <w:rPr>
          <w:rFonts w:hint="eastAsia" w:ascii="宋体" w:hAnsi="宋体" w:cs="宋体"/>
          <w:sz w:val="24"/>
        </w:rPr>
        <w:t>2.1.1.3作业后管理要求</w:t>
      </w:r>
    </w:p>
    <w:p w14:paraId="4FFD4763">
      <w:pPr>
        <w:snapToGrid w:val="0"/>
        <w:spacing w:line="460" w:lineRule="exact"/>
        <w:ind w:firstLine="480" w:firstLineChars="200"/>
        <w:rPr>
          <w:rFonts w:ascii="宋体" w:hAnsi="宋体" w:cs="宋体"/>
          <w:sz w:val="24"/>
        </w:rPr>
      </w:pPr>
      <w:r>
        <w:rPr>
          <w:rFonts w:hint="eastAsia" w:ascii="宋体" w:hAnsi="宋体" w:cs="宋体"/>
          <w:sz w:val="24"/>
        </w:rPr>
        <w:t>组织对乙方按照甲方考核评价相关制度进行考核评价，开展项目验收。</w:t>
      </w:r>
    </w:p>
    <w:p w14:paraId="21A81866">
      <w:pPr>
        <w:snapToGrid w:val="0"/>
        <w:spacing w:line="460" w:lineRule="exact"/>
        <w:rPr>
          <w:rFonts w:ascii="宋体" w:hAnsi="宋体" w:cs="宋体"/>
          <w:sz w:val="24"/>
        </w:rPr>
      </w:pPr>
      <w:r>
        <w:rPr>
          <w:rFonts w:hint="eastAsia" w:ascii="宋体" w:hAnsi="宋体" w:cs="宋体"/>
          <w:sz w:val="24"/>
        </w:rPr>
        <w:t>2.1.2 权利</w:t>
      </w:r>
    </w:p>
    <w:p w14:paraId="6F0C9E8C">
      <w:pPr>
        <w:snapToGrid w:val="0"/>
        <w:spacing w:line="460" w:lineRule="exact"/>
        <w:rPr>
          <w:rFonts w:ascii="宋体" w:hAnsi="宋体" w:cs="宋体"/>
          <w:sz w:val="24"/>
        </w:rPr>
      </w:pPr>
      <w:r>
        <w:rPr>
          <w:rFonts w:hint="eastAsia" w:ascii="宋体" w:hAnsi="宋体" w:cs="宋体"/>
          <w:sz w:val="24"/>
        </w:rPr>
        <w:t>2.1.2.1 有权否决乙方的分包方案。</w:t>
      </w:r>
    </w:p>
    <w:p w14:paraId="4BCB56AE">
      <w:pPr>
        <w:snapToGrid w:val="0"/>
        <w:spacing w:line="460" w:lineRule="exact"/>
        <w:rPr>
          <w:rFonts w:ascii="宋体" w:hAnsi="宋体" w:cs="宋体"/>
          <w:sz w:val="24"/>
        </w:rPr>
      </w:pPr>
      <w:r>
        <w:rPr>
          <w:rFonts w:hint="eastAsia" w:ascii="宋体" w:hAnsi="宋体" w:cs="宋体"/>
          <w:sz w:val="24"/>
        </w:rPr>
        <w:t>2.1.2.2 有权对乙方现场安全工作不称职的现场负责人、安全管理负责人和作业人员，提出约谈、警告、调离岗位、直至撤换等要求。</w:t>
      </w:r>
    </w:p>
    <w:p w14:paraId="258501A6">
      <w:pPr>
        <w:snapToGrid w:val="0"/>
        <w:spacing w:line="460" w:lineRule="exact"/>
        <w:rPr>
          <w:rFonts w:ascii="宋体" w:hAnsi="宋体" w:cs="宋体"/>
          <w:sz w:val="24"/>
        </w:rPr>
      </w:pPr>
      <w:r>
        <w:rPr>
          <w:rFonts w:hint="eastAsia" w:ascii="宋体" w:hAnsi="宋体" w:cs="宋体"/>
          <w:sz w:val="24"/>
        </w:rPr>
        <w:t>2.1.2.3有权制止并纠正乙方作业现场的“三违”行为，遇到危及安全生产的紧急情况，有权下令停止作业。</w:t>
      </w:r>
    </w:p>
    <w:p w14:paraId="3D567A20">
      <w:pPr>
        <w:snapToGrid w:val="0"/>
        <w:spacing w:line="460" w:lineRule="exact"/>
        <w:rPr>
          <w:rFonts w:ascii="宋体" w:hAnsi="宋体" w:cs="宋体"/>
          <w:sz w:val="24"/>
        </w:rPr>
      </w:pPr>
      <w:r>
        <w:rPr>
          <w:rFonts w:hint="eastAsia" w:ascii="宋体" w:hAnsi="宋体" w:cs="宋体"/>
          <w:sz w:val="24"/>
        </w:rPr>
        <w:t>2.1.2.4乙方实施过程中违反国家有关法律法规的，甲方有权决定解除与乙方之间的合同及本协议。</w:t>
      </w:r>
    </w:p>
    <w:p w14:paraId="5DEE4985">
      <w:pPr>
        <w:snapToGrid w:val="0"/>
        <w:spacing w:line="460" w:lineRule="exact"/>
        <w:rPr>
          <w:rFonts w:ascii="宋体" w:hAnsi="宋体" w:cs="宋体"/>
          <w:sz w:val="24"/>
        </w:rPr>
      </w:pPr>
      <w:r>
        <w:rPr>
          <w:rFonts w:hint="eastAsia" w:ascii="宋体" w:hAnsi="宋体" w:cs="宋体"/>
          <w:sz w:val="24"/>
        </w:rPr>
        <w:t>2.1.2.5有权要求乙方遵守并执行甲方制定或发布的全部的安全方面的管理制度和要求。</w:t>
      </w:r>
    </w:p>
    <w:p w14:paraId="1A7C11EC">
      <w:pPr>
        <w:adjustRightInd w:val="0"/>
        <w:snapToGrid w:val="0"/>
        <w:spacing w:line="460" w:lineRule="exact"/>
        <w:rPr>
          <w:rFonts w:ascii="宋体" w:hAnsi="宋体" w:cs="宋体"/>
          <w:sz w:val="24"/>
        </w:rPr>
      </w:pPr>
      <w:r>
        <w:rPr>
          <w:rFonts w:hint="eastAsia" w:ascii="宋体" w:hAnsi="宋体" w:cs="宋体"/>
          <w:sz w:val="24"/>
        </w:rPr>
        <w:t>2.1.3乙方的职责、权利</w:t>
      </w:r>
    </w:p>
    <w:p w14:paraId="2A0254ED">
      <w:pPr>
        <w:snapToGrid w:val="0"/>
        <w:spacing w:line="460" w:lineRule="exact"/>
        <w:rPr>
          <w:rFonts w:ascii="宋体" w:hAnsi="宋体" w:cs="宋体"/>
          <w:sz w:val="24"/>
        </w:rPr>
      </w:pPr>
      <w:r>
        <w:rPr>
          <w:rFonts w:hint="eastAsia" w:ascii="宋体" w:hAnsi="宋体" w:cs="宋体"/>
          <w:sz w:val="24"/>
        </w:rPr>
        <w:t xml:space="preserve">2.2 乙方责任 </w:t>
      </w:r>
    </w:p>
    <w:p w14:paraId="584306D8">
      <w:pPr>
        <w:snapToGrid w:val="0"/>
        <w:spacing w:line="460" w:lineRule="exact"/>
        <w:ind w:firstLine="480" w:firstLineChars="200"/>
        <w:rPr>
          <w:rFonts w:ascii="宋体" w:hAnsi="宋体" w:cs="宋体"/>
          <w:sz w:val="24"/>
        </w:rPr>
      </w:pPr>
      <w:r>
        <w:rPr>
          <w:rFonts w:hint="eastAsia" w:ascii="宋体" w:hAnsi="宋体" w:cs="宋体"/>
          <w:sz w:val="24"/>
        </w:rPr>
        <w:t>乙方按照甲方承包商管理制度及信息化管理系统要求，提供、上传相关资料文件，对资料的真实性、有效性、合法性负责。安全合规有序开展作业，确保项目满足质量及使用要求。</w:t>
      </w:r>
    </w:p>
    <w:p w14:paraId="42B87D03">
      <w:pPr>
        <w:snapToGrid w:val="0"/>
        <w:spacing w:line="460" w:lineRule="exact"/>
        <w:rPr>
          <w:rFonts w:ascii="宋体" w:hAnsi="宋体" w:cs="宋体"/>
          <w:sz w:val="24"/>
        </w:rPr>
      </w:pPr>
      <w:r>
        <w:rPr>
          <w:rFonts w:hint="eastAsia" w:ascii="宋体" w:hAnsi="宋体" w:cs="宋体"/>
          <w:sz w:val="24"/>
        </w:rPr>
        <w:t>2.2.1作业前工作要求</w:t>
      </w:r>
    </w:p>
    <w:p w14:paraId="5433CA5C">
      <w:pPr>
        <w:snapToGrid w:val="0"/>
        <w:spacing w:line="460" w:lineRule="exact"/>
        <w:ind w:firstLine="540" w:firstLineChars="225"/>
        <w:rPr>
          <w:rFonts w:ascii="宋体" w:hAnsi="宋体" w:cs="宋体"/>
          <w:sz w:val="24"/>
        </w:rPr>
      </w:pPr>
      <w:r>
        <w:rPr>
          <w:rFonts w:hint="eastAsia" w:ascii="宋体" w:hAnsi="宋体" w:cs="宋体"/>
          <w:sz w:val="24"/>
        </w:rPr>
        <w:t>提供企业相关信息，签订安全</w:t>
      </w:r>
      <w:r>
        <w:rPr>
          <w:rFonts w:hint="eastAsia" w:ascii="宋体" w:hAnsi="宋体" w:cs="宋体"/>
          <w:color w:val="FF0000"/>
          <w:sz w:val="24"/>
        </w:rPr>
        <w:t>（消防）</w:t>
      </w:r>
      <w:r>
        <w:rPr>
          <w:rFonts w:hint="eastAsia" w:ascii="宋体" w:hAnsi="宋体" w:cs="宋体"/>
          <w:sz w:val="24"/>
        </w:rPr>
        <w:t>协议，接受安全条件审查，开展安全培训交底工作。</w:t>
      </w:r>
    </w:p>
    <w:p w14:paraId="145E047B">
      <w:pPr>
        <w:spacing w:line="460" w:lineRule="exact"/>
        <w:ind w:firstLine="554" w:firstLineChars="231"/>
        <w:rPr>
          <w:rFonts w:ascii="宋体" w:hAnsi="宋体" w:cs="宋体"/>
          <w:sz w:val="24"/>
        </w:rPr>
      </w:pPr>
      <w:r>
        <w:rPr>
          <w:rFonts w:hint="eastAsia" w:ascii="宋体" w:hAnsi="宋体" w:cs="宋体"/>
          <w:sz w:val="24"/>
        </w:rPr>
        <w:t>——提交</w:t>
      </w:r>
      <w:r>
        <w:rPr>
          <w:rFonts w:hint="eastAsia" w:ascii="宋体" w:hAnsi="宋体" w:cs="宋体"/>
          <w:kern w:val="36"/>
          <w:sz w:val="24"/>
        </w:rPr>
        <w:t>资质证件、无事故证明、人员保险、人员资格证书、安全培训、作业方案、现场处置方案等文件资料</w:t>
      </w:r>
      <w:r>
        <w:rPr>
          <w:rFonts w:hint="eastAsia" w:ascii="宋体" w:hAnsi="宋体" w:cs="宋体"/>
          <w:sz w:val="24"/>
        </w:rPr>
        <w:t>，并对真实性、有效性和合法性负责。</w:t>
      </w:r>
    </w:p>
    <w:p w14:paraId="1E216C61">
      <w:pPr>
        <w:snapToGrid w:val="0"/>
        <w:spacing w:line="460" w:lineRule="exact"/>
        <w:ind w:firstLine="480" w:firstLineChars="200"/>
        <w:rPr>
          <w:rFonts w:ascii="宋体" w:hAnsi="宋体" w:cs="宋体"/>
          <w:sz w:val="24"/>
        </w:rPr>
      </w:pPr>
      <w:r>
        <w:rPr>
          <w:rFonts w:hint="eastAsia" w:ascii="宋体" w:hAnsi="宋体" w:cs="宋体"/>
          <w:sz w:val="24"/>
        </w:rPr>
        <w:t>——配备安全管理机构及人员；</w:t>
      </w:r>
    </w:p>
    <w:p w14:paraId="16D6A3F7">
      <w:pPr>
        <w:snapToGrid w:val="0"/>
        <w:spacing w:line="460" w:lineRule="exact"/>
        <w:ind w:firstLine="480" w:firstLineChars="200"/>
        <w:rPr>
          <w:rFonts w:ascii="宋体" w:hAnsi="宋体" w:cs="宋体"/>
          <w:sz w:val="24"/>
        </w:rPr>
      </w:pPr>
      <w:r>
        <w:rPr>
          <w:rFonts w:hint="eastAsia" w:ascii="宋体" w:hAnsi="宋体" w:cs="宋体"/>
          <w:sz w:val="24"/>
        </w:rPr>
        <w:t>——配备作业设备设施、工具、物料、劳动保护用品等物品，并对符合性、安全性和完好性负责；</w:t>
      </w:r>
    </w:p>
    <w:p w14:paraId="19AC3FD6">
      <w:pPr>
        <w:snapToGrid w:val="0"/>
        <w:spacing w:line="460" w:lineRule="exact"/>
        <w:ind w:firstLine="480" w:firstLineChars="200"/>
        <w:rPr>
          <w:rFonts w:ascii="宋体" w:hAnsi="宋体" w:cs="宋体"/>
          <w:sz w:val="24"/>
        </w:rPr>
      </w:pPr>
      <w:r>
        <w:rPr>
          <w:rFonts w:hint="eastAsia" w:ascii="宋体" w:hAnsi="宋体" w:cs="宋体"/>
          <w:sz w:val="24"/>
        </w:rPr>
        <w:t>——负责对乙方作业人员进行安全风险交底；</w:t>
      </w:r>
    </w:p>
    <w:p w14:paraId="42B63B64">
      <w:pPr>
        <w:snapToGrid w:val="0"/>
        <w:spacing w:line="460" w:lineRule="exact"/>
        <w:ind w:firstLine="480" w:firstLineChars="200"/>
        <w:rPr>
          <w:rFonts w:ascii="宋体" w:hAnsi="宋体" w:cs="宋体"/>
          <w:sz w:val="24"/>
        </w:rPr>
      </w:pPr>
      <w:r>
        <w:rPr>
          <w:rFonts w:hint="eastAsia" w:ascii="宋体" w:hAnsi="宋体" w:cs="宋体"/>
          <w:sz w:val="24"/>
        </w:rPr>
        <w:t>——严禁违法分包和挂靠资质。如违反，则甲方有权决定解除与乙方之间的合同及本协议。</w:t>
      </w:r>
    </w:p>
    <w:p w14:paraId="5E3061BF">
      <w:pPr>
        <w:snapToGrid w:val="0"/>
        <w:spacing w:line="460" w:lineRule="exact"/>
        <w:rPr>
          <w:rFonts w:ascii="宋体" w:hAnsi="宋体" w:cs="宋体"/>
          <w:sz w:val="24"/>
        </w:rPr>
      </w:pPr>
      <w:r>
        <w:rPr>
          <w:rFonts w:hint="eastAsia" w:ascii="宋体" w:hAnsi="宋体" w:cs="宋体"/>
          <w:sz w:val="24"/>
        </w:rPr>
        <w:t>2.2.2作业中管理要求</w:t>
      </w:r>
    </w:p>
    <w:p w14:paraId="7948015D">
      <w:pPr>
        <w:snapToGrid w:val="0"/>
        <w:spacing w:line="460" w:lineRule="exact"/>
        <w:ind w:firstLine="480" w:firstLineChars="200"/>
        <w:rPr>
          <w:rFonts w:ascii="宋体" w:hAnsi="宋体" w:cs="宋体"/>
          <w:sz w:val="24"/>
        </w:rPr>
      </w:pPr>
      <w:r>
        <w:rPr>
          <w:rFonts w:hint="eastAsia" w:ascii="宋体" w:hAnsi="宋体" w:cs="宋体"/>
          <w:sz w:val="24"/>
        </w:rPr>
        <w:t>按照甲方要求参加值班例会或项目例会，按时提报的工作计划或作业任务，定期开展安全检查并整改关闭，按照规定办理危险作业等作业许可，开展安全事故应急处置。</w:t>
      </w:r>
    </w:p>
    <w:p w14:paraId="2CA212DB">
      <w:pPr>
        <w:snapToGrid w:val="0"/>
        <w:spacing w:line="460" w:lineRule="exact"/>
        <w:ind w:firstLine="480" w:firstLineChars="200"/>
        <w:rPr>
          <w:rFonts w:ascii="宋体" w:hAnsi="宋体" w:cs="宋体"/>
          <w:sz w:val="24"/>
        </w:rPr>
      </w:pPr>
      <w:r>
        <w:rPr>
          <w:rFonts w:hint="eastAsia" w:ascii="宋体" w:hAnsi="宋体" w:cs="宋体"/>
          <w:sz w:val="24"/>
        </w:rPr>
        <w:t>禁止擅自改变每日作业活动的性质、范围和条件，禁止在作业任务规定时间之外开展作业，禁止在无人监管的情况下开展作业。</w:t>
      </w:r>
    </w:p>
    <w:p w14:paraId="3FA1E845">
      <w:pPr>
        <w:snapToGrid w:val="0"/>
        <w:spacing w:line="460" w:lineRule="exact"/>
        <w:ind w:firstLine="480" w:firstLineChars="200"/>
        <w:rPr>
          <w:rFonts w:ascii="宋体" w:hAnsi="宋体" w:cs="宋体"/>
          <w:sz w:val="24"/>
        </w:rPr>
      </w:pPr>
      <w:r>
        <w:rPr>
          <w:rFonts w:hint="eastAsia" w:ascii="宋体" w:hAnsi="宋体" w:cs="宋体"/>
          <w:sz w:val="24"/>
        </w:rPr>
        <w:t>——负责提报的《每日作业计划》；</w:t>
      </w:r>
    </w:p>
    <w:p w14:paraId="63CC1A3E">
      <w:pPr>
        <w:snapToGrid w:val="0"/>
        <w:spacing w:line="460" w:lineRule="exact"/>
        <w:ind w:firstLine="480" w:firstLineChars="200"/>
        <w:rPr>
          <w:rFonts w:ascii="宋体" w:hAnsi="宋体" w:cs="宋体"/>
          <w:sz w:val="24"/>
        </w:rPr>
      </w:pPr>
      <w:r>
        <w:rPr>
          <w:rFonts w:hint="eastAsia" w:ascii="宋体" w:hAnsi="宋体" w:cs="宋体"/>
          <w:sz w:val="24"/>
        </w:rPr>
        <w:t>——按照施工方案落实风险管控措施；</w:t>
      </w:r>
    </w:p>
    <w:p w14:paraId="69D5E9DC">
      <w:pPr>
        <w:snapToGrid w:val="0"/>
        <w:spacing w:line="460" w:lineRule="exact"/>
        <w:ind w:firstLine="480" w:firstLineChars="200"/>
        <w:rPr>
          <w:rFonts w:ascii="宋体" w:hAnsi="宋体" w:cs="宋体"/>
          <w:sz w:val="24"/>
        </w:rPr>
      </w:pPr>
      <w:r>
        <w:rPr>
          <w:rFonts w:hint="eastAsia" w:ascii="宋体" w:hAnsi="宋体" w:cs="宋体"/>
          <w:sz w:val="24"/>
        </w:rPr>
        <w:t>——负责指挥现场安全生产事故应急救援工作，并及时向甲方报告，并积极配合甲方的应急指挥、协调事故救援工作。</w:t>
      </w:r>
    </w:p>
    <w:p w14:paraId="1B517501">
      <w:pPr>
        <w:snapToGrid w:val="0"/>
        <w:spacing w:line="460" w:lineRule="exact"/>
        <w:ind w:firstLine="480" w:firstLineChars="200"/>
        <w:rPr>
          <w:rFonts w:ascii="宋体" w:hAnsi="宋体" w:cs="宋体"/>
          <w:sz w:val="24"/>
        </w:rPr>
      </w:pPr>
      <w:r>
        <w:rPr>
          <w:rFonts w:hint="eastAsia" w:ascii="宋体" w:hAnsi="宋体" w:cs="宋体"/>
          <w:sz w:val="24"/>
        </w:rPr>
        <w:t>——按照甲方制度要求，危险作业办理许可方可作业；按照甲方变更作业相关制度实施变更作业管理；</w:t>
      </w:r>
    </w:p>
    <w:p w14:paraId="55C43569">
      <w:pPr>
        <w:snapToGrid w:val="0"/>
        <w:spacing w:line="460" w:lineRule="exact"/>
        <w:ind w:firstLine="480" w:firstLineChars="200"/>
        <w:rPr>
          <w:rFonts w:ascii="宋体" w:hAnsi="宋体" w:cs="宋体"/>
          <w:sz w:val="24"/>
        </w:rPr>
      </w:pPr>
      <w:r>
        <w:rPr>
          <w:rFonts w:hint="eastAsia" w:ascii="宋体" w:hAnsi="宋体" w:cs="宋体"/>
          <w:sz w:val="24"/>
        </w:rPr>
        <w:t>——特种作业人员须持有与作业相应的、合格的特种作业证，特种设备操作人员需持有效的特种设备操作员证；</w:t>
      </w:r>
    </w:p>
    <w:p w14:paraId="1257740D">
      <w:pPr>
        <w:snapToGrid w:val="0"/>
        <w:spacing w:line="460" w:lineRule="exact"/>
        <w:ind w:firstLine="480" w:firstLineChars="200"/>
        <w:rPr>
          <w:rFonts w:ascii="宋体" w:hAnsi="宋体" w:cs="宋体"/>
          <w:sz w:val="24"/>
        </w:rPr>
      </w:pPr>
      <w:r>
        <w:rPr>
          <w:rFonts w:hint="eastAsia" w:ascii="宋体" w:hAnsi="宋体" w:cs="宋体"/>
          <w:sz w:val="24"/>
        </w:rPr>
        <w:t>——现场存在交叉作业时，应服从甲方协调、指挥。</w:t>
      </w:r>
    </w:p>
    <w:p w14:paraId="00667B4D">
      <w:pPr>
        <w:snapToGrid w:val="0"/>
        <w:spacing w:line="460" w:lineRule="exact"/>
        <w:ind w:firstLine="540" w:firstLineChars="225"/>
        <w:rPr>
          <w:rFonts w:ascii="宋体" w:hAnsi="宋体" w:cs="宋体"/>
          <w:sz w:val="24"/>
        </w:rPr>
      </w:pPr>
      <w:r>
        <w:rPr>
          <w:rFonts w:hint="eastAsia" w:ascii="宋体" w:hAnsi="宋体" w:cs="宋体"/>
          <w:sz w:val="24"/>
        </w:rPr>
        <w:t>——施工过程中，存在重大变更（方案、工具、人员等）或重大隐患、事故征兆以及事故的情况，应及时、如实报告甲方。</w:t>
      </w:r>
    </w:p>
    <w:p w14:paraId="05A031D8">
      <w:pPr>
        <w:spacing w:line="460" w:lineRule="exact"/>
        <w:ind w:firstLine="480" w:firstLineChars="200"/>
        <w:jc w:val="left"/>
        <w:rPr>
          <w:rFonts w:ascii="宋体" w:hAnsi="宋体" w:cs="宋体"/>
          <w:sz w:val="24"/>
        </w:rPr>
      </w:pPr>
      <w:r>
        <w:rPr>
          <w:rFonts w:hint="eastAsia" w:ascii="宋体" w:hAnsi="宋体" w:cs="宋体"/>
          <w:sz w:val="24"/>
        </w:rPr>
        <w:t>——涉及危大工程的，根据《危险性较大的分部分项工程安全管理规定》及甲方相关制度标准，组织编制危大工程专项施工方案。</w:t>
      </w:r>
    </w:p>
    <w:p w14:paraId="6A7F72BF">
      <w:pPr>
        <w:spacing w:line="460" w:lineRule="exact"/>
        <w:ind w:firstLine="480" w:firstLineChars="200"/>
        <w:jc w:val="left"/>
        <w:rPr>
          <w:rFonts w:ascii="宋体" w:hAnsi="宋体" w:cs="宋体"/>
          <w:sz w:val="24"/>
        </w:rPr>
      </w:pPr>
      <w:r>
        <w:rPr>
          <w:rFonts w:hint="eastAsia" w:ascii="宋体" w:hAnsi="宋体" w:cs="宋体"/>
          <w:sz w:val="24"/>
        </w:rPr>
        <w:t>——作业过程中违反国家有关法律法规造成损失的，承担相应责任，若因此给甲方造成损失或处罚的，承担经济损失。</w:t>
      </w:r>
    </w:p>
    <w:p w14:paraId="27F76772">
      <w:pPr>
        <w:snapToGrid w:val="0"/>
        <w:spacing w:line="460" w:lineRule="exact"/>
        <w:ind w:firstLine="480" w:firstLineChars="200"/>
        <w:rPr>
          <w:rFonts w:ascii="宋体" w:hAnsi="宋体" w:cs="宋体"/>
          <w:sz w:val="24"/>
        </w:rPr>
      </w:pPr>
      <w:r>
        <w:rPr>
          <w:rFonts w:hint="eastAsia" w:ascii="宋体" w:hAnsi="宋体" w:cs="宋体"/>
          <w:sz w:val="24"/>
        </w:rPr>
        <w:t>——作业过程中严禁使用国家明令禁止使用或耗能大、对环境造成较大破坏的设备设施，运输车辆需符合排放标准要求，作业现场需做好防扬撒措施，规范处置作业过程中产生的固废、危废。</w:t>
      </w:r>
    </w:p>
    <w:p w14:paraId="0C3805E8">
      <w:pPr>
        <w:snapToGrid w:val="0"/>
        <w:spacing w:line="460" w:lineRule="exact"/>
        <w:rPr>
          <w:rFonts w:ascii="宋体" w:hAnsi="宋体" w:cs="宋体"/>
          <w:sz w:val="24"/>
        </w:rPr>
      </w:pPr>
      <w:r>
        <w:rPr>
          <w:rFonts w:hint="eastAsia" w:ascii="宋体" w:hAnsi="宋体" w:cs="宋体"/>
          <w:sz w:val="24"/>
        </w:rPr>
        <w:t>2.2.3作业后管理要求</w:t>
      </w:r>
    </w:p>
    <w:p w14:paraId="24748F4B">
      <w:pPr>
        <w:snapToGrid w:val="0"/>
        <w:spacing w:line="460" w:lineRule="exact"/>
        <w:ind w:firstLine="480" w:firstLineChars="200"/>
        <w:rPr>
          <w:rFonts w:ascii="宋体" w:hAnsi="宋体" w:cs="宋体"/>
          <w:sz w:val="24"/>
        </w:rPr>
      </w:pPr>
      <w:r>
        <w:rPr>
          <w:rFonts w:hint="eastAsia" w:ascii="宋体" w:hAnsi="宋体" w:cs="宋体"/>
          <w:sz w:val="24"/>
        </w:rPr>
        <w:t>对甲方提供的技术资料保密，并提供真实有效的竣工验收资料。</w:t>
      </w:r>
    </w:p>
    <w:p w14:paraId="1B0615CA">
      <w:pPr>
        <w:snapToGrid w:val="0"/>
        <w:spacing w:line="460" w:lineRule="exact"/>
        <w:ind w:firstLine="480" w:firstLineChars="200"/>
        <w:rPr>
          <w:rFonts w:ascii="宋体" w:hAnsi="宋体" w:cs="宋体"/>
          <w:sz w:val="24"/>
        </w:rPr>
      </w:pPr>
      <w:r>
        <w:rPr>
          <w:rFonts w:hint="eastAsia" w:ascii="宋体" w:hAnsi="宋体" w:cs="宋体"/>
          <w:sz w:val="24"/>
        </w:rPr>
        <w:t>——对甲方提供的技术资料的保密性负责；</w:t>
      </w:r>
    </w:p>
    <w:p w14:paraId="5B7667F1">
      <w:pPr>
        <w:snapToGrid w:val="0"/>
        <w:spacing w:line="460" w:lineRule="exact"/>
        <w:ind w:firstLine="480" w:firstLineChars="200"/>
        <w:rPr>
          <w:rFonts w:ascii="宋体" w:hAnsi="宋体" w:cs="宋体"/>
          <w:sz w:val="24"/>
        </w:rPr>
      </w:pPr>
      <w:r>
        <w:rPr>
          <w:rFonts w:hint="eastAsia" w:ascii="宋体" w:hAnsi="宋体" w:cs="宋体"/>
          <w:sz w:val="24"/>
        </w:rPr>
        <w:t>——对提交竣工验收相关资料的真实性负责。</w:t>
      </w:r>
    </w:p>
    <w:p w14:paraId="1988F474">
      <w:pPr>
        <w:snapToGrid w:val="0"/>
        <w:spacing w:line="460" w:lineRule="exact"/>
        <w:rPr>
          <w:rFonts w:ascii="宋体" w:hAnsi="宋体" w:cs="宋体"/>
          <w:sz w:val="24"/>
        </w:rPr>
      </w:pPr>
      <w:r>
        <w:rPr>
          <w:rFonts w:hint="eastAsia" w:ascii="宋体" w:hAnsi="宋体" w:cs="宋体"/>
          <w:sz w:val="24"/>
        </w:rPr>
        <w:t>2.3 权利</w:t>
      </w:r>
    </w:p>
    <w:p w14:paraId="6F7631BC">
      <w:pPr>
        <w:spacing w:line="460" w:lineRule="exact"/>
        <w:jc w:val="left"/>
        <w:rPr>
          <w:rFonts w:ascii="宋体" w:hAnsi="宋体" w:cs="宋体"/>
          <w:sz w:val="24"/>
        </w:rPr>
      </w:pPr>
      <w:r>
        <w:rPr>
          <w:rFonts w:hint="eastAsia" w:ascii="宋体" w:hAnsi="宋体" w:cs="宋体"/>
          <w:sz w:val="24"/>
        </w:rPr>
        <w:t>2.3.1 有权拒绝甲方的违章指挥、强令冒险作业要求。</w:t>
      </w:r>
      <w:bookmarkEnd w:id="59"/>
      <w:bookmarkEnd w:id="60"/>
      <w:bookmarkEnd w:id="61"/>
      <w:bookmarkEnd w:id="62"/>
      <w:bookmarkEnd w:id="63"/>
      <w:bookmarkEnd w:id="64"/>
      <w:bookmarkEnd w:id="65"/>
      <w:bookmarkEnd w:id="66"/>
      <w:bookmarkEnd w:id="67"/>
      <w:bookmarkEnd w:id="68"/>
      <w:bookmarkEnd w:id="69"/>
    </w:p>
    <w:p w14:paraId="6AD5B5DB">
      <w:pPr>
        <w:spacing w:line="460" w:lineRule="exact"/>
        <w:jc w:val="left"/>
        <w:rPr>
          <w:rFonts w:ascii="宋体" w:hAnsi="宋体" w:cs="宋体"/>
          <w:b/>
          <w:bCs/>
          <w:sz w:val="24"/>
        </w:rPr>
      </w:pPr>
      <w:bookmarkStart w:id="70" w:name="_Toc451698741"/>
      <w:bookmarkStart w:id="71" w:name="_Toc442133372"/>
      <w:bookmarkStart w:id="72" w:name="_Toc396037055"/>
      <w:bookmarkStart w:id="73" w:name="_Toc442016143"/>
      <w:bookmarkStart w:id="74" w:name="_Toc434694364"/>
      <w:bookmarkStart w:id="75" w:name="_Toc389985360"/>
      <w:bookmarkStart w:id="76" w:name="_Toc381911467"/>
      <w:bookmarkStart w:id="77" w:name="_Toc383301028"/>
      <w:bookmarkStart w:id="78" w:name="_Toc396036411"/>
      <w:bookmarkStart w:id="79" w:name="_Toc442022102"/>
      <w:bookmarkStart w:id="80" w:name="_Toc384944718"/>
      <w:r>
        <w:rPr>
          <w:rFonts w:hint="eastAsia" w:ascii="宋体" w:hAnsi="宋体" w:cs="宋体"/>
          <w:b/>
          <w:bCs/>
          <w:sz w:val="24"/>
        </w:rPr>
        <w:t>3安全投入和资金保障</w:t>
      </w:r>
      <w:bookmarkEnd w:id="70"/>
      <w:bookmarkEnd w:id="71"/>
      <w:bookmarkEnd w:id="72"/>
      <w:bookmarkEnd w:id="73"/>
      <w:bookmarkEnd w:id="74"/>
      <w:bookmarkEnd w:id="75"/>
      <w:bookmarkEnd w:id="76"/>
      <w:bookmarkEnd w:id="77"/>
      <w:bookmarkEnd w:id="78"/>
      <w:bookmarkEnd w:id="79"/>
      <w:bookmarkEnd w:id="80"/>
    </w:p>
    <w:p w14:paraId="422FC5C6">
      <w:pPr>
        <w:spacing w:line="460" w:lineRule="exact"/>
        <w:jc w:val="left"/>
        <w:rPr>
          <w:rFonts w:ascii="宋体" w:hAnsi="宋体" w:cs="宋体"/>
          <w:sz w:val="24"/>
        </w:rPr>
      </w:pPr>
      <w:r>
        <w:rPr>
          <w:rFonts w:hint="eastAsia" w:ascii="宋体" w:hAnsi="宋体" w:cs="宋体"/>
          <w:sz w:val="24"/>
        </w:rPr>
        <w:t>3.1甲方是项目安全投入的责任主体，负责完善和改进项目安全生产条件的资金保障，向乙方提供保障施工作业所需的安全投入，已包含在甲方支付给乙方的合同款中。</w:t>
      </w:r>
    </w:p>
    <w:p w14:paraId="7300FA48">
      <w:pPr>
        <w:spacing w:line="460" w:lineRule="exact"/>
        <w:ind w:left="720" w:hanging="720" w:hangingChars="300"/>
        <w:jc w:val="left"/>
        <w:rPr>
          <w:rFonts w:hint="eastAsia" w:ascii="宋体" w:hAnsi="宋体" w:cs="宋体"/>
          <w:bCs/>
          <w:sz w:val="24"/>
          <w:u w:val="single"/>
          <w:lang w:val="en-US" w:eastAsia="zh-CN"/>
        </w:rPr>
      </w:pPr>
      <w:r>
        <w:rPr>
          <w:rFonts w:hint="eastAsia" w:ascii="宋体" w:hAnsi="宋体" w:cs="宋体"/>
          <w:sz w:val="24"/>
        </w:rPr>
        <w:t>3.2乙方应在合同签订</w:t>
      </w:r>
      <w:r>
        <w:rPr>
          <w:rFonts w:hint="eastAsia" w:ascii="宋体" w:hAnsi="宋体" w:cs="宋体"/>
          <w:sz w:val="24"/>
          <w:lang w:val="en-US" w:eastAsia="zh-CN"/>
        </w:rPr>
        <w:t>签</w:t>
      </w:r>
      <w:r>
        <w:rPr>
          <w:rFonts w:hint="eastAsia" w:ascii="宋体" w:hAnsi="宋体" w:cs="宋体"/>
          <w:sz w:val="24"/>
        </w:rPr>
        <w:t>的</w:t>
      </w:r>
      <w:r>
        <w:rPr>
          <w:rFonts w:hint="eastAsia" w:ascii="宋体" w:hAnsi="宋体" w:cs="宋体"/>
          <w:sz w:val="24"/>
          <w:lang w:val="en-US" w:eastAsia="zh-CN"/>
        </w:rPr>
        <w:t>3</w:t>
      </w:r>
      <w:r>
        <w:rPr>
          <w:rFonts w:hint="eastAsia" w:ascii="宋体" w:hAnsi="宋体" w:cs="宋体"/>
          <w:sz w:val="24"/>
        </w:rPr>
        <w:t>日内向甲方支付不得低于合同总金额的【5】%的风险抵押金</w:t>
      </w:r>
      <w:r>
        <w:rPr>
          <w:rFonts w:hint="eastAsia" w:ascii="宋体" w:hAnsi="宋体" w:cs="宋体"/>
          <w:bCs/>
          <w:sz w:val="24"/>
          <w:u w:val="single"/>
          <w:lang w:val="en-US" w:eastAsia="zh-CN"/>
        </w:rPr>
        <w:t xml:space="preserve">   </w:t>
      </w:r>
    </w:p>
    <w:p w14:paraId="2641F849">
      <w:pPr>
        <w:spacing w:line="460" w:lineRule="exact"/>
        <w:ind w:left="720" w:hanging="720" w:hangingChars="300"/>
        <w:jc w:val="left"/>
        <w:rPr>
          <w:rFonts w:hint="eastAsia" w:ascii="宋体" w:hAnsi="宋体" w:cs="宋体"/>
          <w:sz w:val="24"/>
        </w:rPr>
      </w:pPr>
      <w:r>
        <w:rPr>
          <w:rFonts w:hint="eastAsia" w:ascii="宋体" w:hAnsi="宋体" w:cs="宋体"/>
          <w:bCs/>
          <w:sz w:val="24"/>
        </w:rPr>
        <w:t>元（大写：</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元</w:t>
      </w:r>
      <w:r>
        <w:rPr>
          <w:rFonts w:hint="eastAsia" w:ascii="宋体" w:hAnsi="宋体" w:cs="宋体"/>
          <w:bCs/>
          <w:sz w:val="24"/>
          <w:lang w:val="en-US" w:eastAsia="zh-CN"/>
        </w:rPr>
        <w:t>整</w:t>
      </w:r>
      <w:r>
        <w:rPr>
          <w:rFonts w:hint="eastAsia" w:ascii="宋体" w:hAnsi="宋体" w:cs="宋体"/>
          <w:bCs/>
          <w:sz w:val="24"/>
        </w:rPr>
        <w:t xml:space="preserve">） </w:t>
      </w:r>
      <w:r>
        <w:rPr>
          <w:rFonts w:hint="eastAsia" w:ascii="宋体" w:hAnsi="宋体" w:cs="宋体"/>
          <w:sz w:val="24"/>
        </w:rPr>
        <w:t>（乙方缴纳的项目合同履约保证金可同时用作风险抵押金），作为</w:t>
      </w:r>
    </w:p>
    <w:p w14:paraId="3DF695BE">
      <w:pPr>
        <w:spacing w:line="460" w:lineRule="exact"/>
        <w:ind w:left="720" w:hanging="720" w:hangingChars="300"/>
        <w:jc w:val="left"/>
        <w:rPr>
          <w:rFonts w:hint="eastAsia" w:ascii="宋体" w:hAnsi="宋体" w:cs="宋体"/>
          <w:bCs/>
          <w:sz w:val="24"/>
        </w:rPr>
      </w:pPr>
      <w:r>
        <w:rPr>
          <w:rFonts w:hint="eastAsia" w:ascii="宋体" w:hAnsi="宋体" w:cs="宋体"/>
          <w:sz w:val="24"/>
        </w:rPr>
        <w:t>安全、环保风险抵押金使用。</w:t>
      </w:r>
      <w:r>
        <w:rPr>
          <w:rFonts w:hint="eastAsia" w:ascii="宋体" w:hAnsi="宋体" w:cs="宋体"/>
          <w:bCs/>
          <w:sz w:val="24"/>
        </w:rPr>
        <w:t>用于甲方对乙方的安全管理。当乙方发生未履新安全管理责任</w:t>
      </w:r>
    </w:p>
    <w:p w14:paraId="333D567B">
      <w:pPr>
        <w:spacing w:line="460" w:lineRule="exact"/>
        <w:ind w:left="720" w:hanging="720" w:hangingChars="300"/>
        <w:jc w:val="left"/>
        <w:rPr>
          <w:rFonts w:ascii="宋体" w:hAnsi="宋体" w:cs="宋体"/>
          <w:bCs/>
          <w:sz w:val="24"/>
        </w:rPr>
      </w:pPr>
      <w:r>
        <w:rPr>
          <w:rFonts w:hint="eastAsia" w:ascii="宋体" w:hAnsi="宋体" w:cs="宋体"/>
          <w:bCs/>
          <w:sz w:val="24"/>
        </w:rPr>
        <w:t>或者造成安全事故时，甲方可以根据协议扣除部分或全部安全管理风险押金。</w:t>
      </w:r>
    </w:p>
    <w:p w14:paraId="705FB609">
      <w:pPr>
        <w:spacing w:line="460" w:lineRule="exact"/>
        <w:jc w:val="left"/>
        <w:rPr>
          <w:rFonts w:ascii="宋体" w:hAnsi="宋体" w:cs="宋体"/>
          <w:bCs/>
          <w:sz w:val="24"/>
        </w:rPr>
      </w:pPr>
      <w:r>
        <w:rPr>
          <w:rFonts w:hint="eastAsia" w:ascii="宋体" w:hAnsi="宋体" w:cs="宋体"/>
          <w:bCs/>
          <w:sz w:val="24"/>
        </w:rPr>
        <w:t>3.3乙方须</w:t>
      </w:r>
      <w:r>
        <w:rPr>
          <w:rFonts w:hint="eastAsia" w:ascii="宋体" w:hAnsi="宋体" w:cs="宋体"/>
          <w:sz w:val="24"/>
        </w:rPr>
        <w:t>和参与施工人员签订符合《民法典》要求的用工合同或劳务合同，</w:t>
      </w:r>
      <w:r>
        <w:rPr>
          <w:rFonts w:hint="eastAsia" w:ascii="宋体" w:hAnsi="宋体" w:cs="宋体"/>
          <w:bCs/>
          <w:sz w:val="24"/>
        </w:rPr>
        <w:t xml:space="preserve">为施工人员购买工伤保险或购买赔付额度不低于【 </w:t>
      </w:r>
      <w:r>
        <w:rPr>
          <w:rFonts w:ascii="宋体" w:hAnsi="宋体" w:cs="宋体"/>
          <w:bCs/>
          <w:sz w:val="24"/>
        </w:rPr>
        <w:t>105</w:t>
      </w:r>
      <w:r>
        <w:rPr>
          <w:rFonts w:hint="eastAsia" w:ascii="宋体" w:hAnsi="宋体" w:cs="宋体"/>
          <w:bCs/>
          <w:sz w:val="24"/>
        </w:rPr>
        <w:t>】万元（</w:t>
      </w:r>
      <w:r>
        <w:rPr>
          <w:rFonts w:hint="eastAsia" w:ascii="宋体" w:hAnsi="宋体" w:cs="宋体"/>
          <w:kern w:val="0"/>
          <w:sz w:val="24"/>
          <w:lang w:val="zh-CN"/>
        </w:rPr>
        <w:t>保额赔付不低于</w:t>
      </w:r>
      <w:r>
        <w:rPr>
          <w:rFonts w:hint="eastAsia" w:ascii="宋体" w:hAnsi="宋体" w:cs="宋体"/>
          <w:kern w:val="0"/>
          <w:sz w:val="24"/>
        </w:rPr>
        <w:t>上一年度国家一次性工亡补助金标准为上一年度全国城镇居民人均可支配收入的20倍</w:t>
      </w:r>
      <w:r>
        <w:rPr>
          <w:rFonts w:hint="eastAsia" w:ascii="宋体" w:hAnsi="宋体" w:cs="宋体"/>
          <w:bCs/>
          <w:sz w:val="24"/>
        </w:rPr>
        <w:t>）的意外伤害险或雇主责任险和</w:t>
      </w:r>
      <w:r>
        <w:rPr>
          <w:rFonts w:hint="eastAsia" w:ascii="宋体" w:hAnsi="宋体" w:cs="宋体"/>
          <w:bCs/>
          <w:sz w:val="24"/>
          <w:lang w:val="en-US" w:eastAsia="zh-CN"/>
        </w:rPr>
        <w:t>2</w:t>
      </w:r>
      <w:r>
        <w:rPr>
          <w:rFonts w:hint="eastAsia" w:ascii="宋体" w:hAnsi="宋体" w:cs="宋体"/>
          <w:bCs/>
          <w:sz w:val="24"/>
        </w:rPr>
        <w:t>0万元的医疗保险。</w:t>
      </w:r>
    </w:p>
    <w:p w14:paraId="1EAE72AC">
      <w:pPr>
        <w:spacing w:line="460" w:lineRule="exact"/>
        <w:jc w:val="left"/>
        <w:rPr>
          <w:rFonts w:ascii="宋体" w:hAnsi="宋体" w:cs="宋体"/>
          <w:bCs/>
          <w:sz w:val="24"/>
        </w:rPr>
      </w:pPr>
      <w:r>
        <w:rPr>
          <w:rFonts w:hint="eastAsia" w:ascii="宋体" w:hAnsi="宋体" w:cs="宋体"/>
          <w:sz w:val="24"/>
        </w:rPr>
        <w:t>3.4</w:t>
      </w:r>
      <w:r>
        <w:rPr>
          <w:rFonts w:hint="eastAsia" w:ascii="宋体" w:hAnsi="宋体" w:cs="宋体"/>
          <w:bCs/>
          <w:sz w:val="24"/>
        </w:rPr>
        <w:t>乙方应当按照相关法律、法规、规章和标准的有关规定和本协议，保证安全生产投入落实到位、专款专用，不断完善和改进项目现场安全生产条件。</w:t>
      </w:r>
      <w:r>
        <w:rPr>
          <w:rFonts w:hint="eastAsia" w:ascii="宋体" w:hAnsi="宋体" w:cs="宋体"/>
          <w:sz w:val="24"/>
        </w:rPr>
        <w:t>甲方监督乙方将各项安全投入落实到位，乙方不落实的由甲方先期垫付。</w:t>
      </w:r>
    </w:p>
    <w:p w14:paraId="76DF55E2">
      <w:pPr>
        <w:spacing w:line="460" w:lineRule="exact"/>
        <w:jc w:val="left"/>
        <w:rPr>
          <w:rFonts w:ascii="宋体" w:hAnsi="宋体" w:cs="宋体"/>
          <w:b/>
          <w:bCs/>
          <w:sz w:val="24"/>
        </w:rPr>
      </w:pPr>
      <w:bookmarkStart w:id="81" w:name="_Toc396037056"/>
      <w:bookmarkStart w:id="82" w:name="_Toc442022103"/>
      <w:bookmarkStart w:id="83" w:name="_Toc396036412"/>
      <w:bookmarkStart w:id="84" w:name="_Toc384944719"/>
      <w:bookmarkStart w:id="85" w:name="_Toc434694365"/>
      <w:bookmarkStart w:id="86" w:name="_Toc381911468"/>
      <w:bookmarkStart w:id="87" w:name="_Toc383301029"/>
      <w:bookmarkStart w:id="88" w:name="_Toc451698742"/>
      <w:bookmarkStart w:id="89" w:name="_Toc442133373"/>
      <w:bookmarkStart w:id="90" w:name="_Toc389985361"/>
      <w:bookmarkStart w:id="91" w:name="_Toc442016144"/>
      <w:r>
        <w:rPr>
          <w:rFonts w:hint="eastAsia" w:ascii="宋体" w:hAnsi="宋体" w:cs="宋体"/>
          <w:b/>
          <w:bCs/>
          <w:sz w:val="24"/>
        </w:rPr>
        <w:t>4安全设施和施工条件</w:t>
      </w:r>
      <w:bookmarkEnd w:id="81"/>
      <w:bookmarkEnd w:id="82"/>
      <w:bookmarkEnd w:id="83"/>
      <w:bookmarkEnd w:id="84"/>
      <w:bookmarkEnd w:id="85"/>
      <w:bookmarkEnd w:id="86"/>
      <w:bookmarkEnd w:id="87"/>
      <w:bookmarkEnd w:id="88"/>
      <w:bookmarkEnd w:id="89"/>
      <w:bookmarkEnd w:id="90"/>
      <w:bookmarkEnd w:id="91"/>
    </w:p>
    <w:p w14:paraId="61B9FC92">
      <w:pPr>
        <w:spacing w:line="460" w:lineRule="exact"/>
        <w:jc w:val="left"/>
        <w:rPr>
          <w:rFonts w:ascii="宋体" w:hAnsi="宋体" w:cs="宋体"/>
          <w:sz w:val="24"/>
        </w:rPr>
      </w:pPr>
      <w:r>
        <w:rPr>
          <w:rFonts w:hint="eastAsia" w:ascii="宋体" w:hAnsi="宋体" w:cs="宋体"/>
          <w:sz w:val="24"/>
        </w:rPr>
        <w:t xml:space="preserve">4.1甲方应当保证提供给外包项目有关的生产系统安全设施正常运行，保证外包项目具备法律、法规、规章和标准规定的安全生产条件。 </w:t>
      </w:r>
    </w:p>
    <w:p w14:paraId="661D8D8A">
      <w:pPr>
        <w:spacing w:line="460" w:lineRule="exact"/>
        <w:jc w:val="left"/>
        <w:rPr>
          <w:rFonts w:ascii="宋体" w:hAnsi="宋体" w:cs="宋体"/>
          <w:sz w:val="24"/>
        </w:rPr>
      </w:pPr>
      <w:r>
        <w:rPr>
          <w:rFonts w:hint="eastAsia" w:ascii="宋体" w:hAnsi="宋体" w:cs="宋体"/>
          <w:sz w:val="24"/>
        </w:rPr>
        <w:t>4.2甲方应当为乙方提供安全生产所必要的施工作业条件。除不可抗力外，甲方未向乙方提供安全生产所必要的施工作业条件，由此给乙方造成有关生产进度、经济等方面损失的，由甲方承担责任。</w:t>
      </w:r>
    </w:p>
    <w:p w14:paraId="5246CFEE">
      <w:pPr>
        <w:spacing w:line="460" w:lineRule="exact"/>
        <w:jc w:val="left"/>
        <w:rPr>
          <w:rFonts w:ascii="宋体" w:hAnsi="宋体" w:cs="宋体"/>
          <w:sz w:val="24"/>
        </w:rPr>
      </w:pPr>
      <w:r>
        <w:rPr>
          <w:rFonts w:hint="eastAsia" w:ascii="宋体" w:hAnsi="宋体" w:cs="宋体"/>
          <w:sz w:val="24"/>
        </w:rPr>
        <w:t>4.3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14:paraId="7DC93826">
      <w:pPr>
        <w:spacing w:line="460" w:lineRule="exact"/>
        <w:ind w:firstLine="480" w:firstLineChars="200"/>
        <w:jc w:val="left"/>
        <w:rPr>
          <w:rFonts w:ascii="宋体" w:hAnsi="宋体" w:cs="宋体"/>
          <w:sz w:val="24"/>
        </w:rPr>
      </w:pPr>
      <w:r>
        <w:rPr>
          <w:rFonts w:hint="eastAsia" w:ascii="宋体" w:hAnsi="宋体" w:cs="宋体"/>
          <w:bCs/>
          <w:sz w:val="24"/>
        </w:rPr>
        <w:t>甲方</w:t>
      </w:r>
      <w:r>
        <w:rPr>
          <w:rFonts w:hint="eastAsia" w:ascii="宋体" w:hAnsi="宋体" w:cs="宋体"/>
          <w:sz w:val="24"/>
        </w:rPr>
        <w:t>提供乙方图纸资料的日期(包括图纸的绘制时间)、名称和数量清单，技术交底的时间、负责人、参加人员等记录资料，应当在本协议的附件1(《技术交底记录文件》)中予以明确。</w:t>
      </w:r>
    </w:p>
    <w:p w14:paraId="3291CF15">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4.4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14:paraId="6F34CC2C">
      <w:pPr>
        <w:shd w:val="clear" w:color="auto" w:fill="FFFFFF"/>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注意：</w:t>
      </w:r>
      <w:r>
        <w:rPr>
          <w:rFonts w:hint="eastAsia" w:ascii="宋体" w:hAnsi="宋体" w:cs="宋体"/>
          <w:spacing w:val="6"/>
          <w:kern w:val="0"/>
          <w:sz w:val="24"/>
        </w:rPr>
        <w:t>不得安排未经上岗前职业健康检查的人员从事接触职业病危害的作业，不得安排有职业禁忌的人员从事其所禁忌的作业。</w:t>
      </w:r>
    </w:p>
    <w:p w14:paraId="4FA668F1">
      <w:pPr>
        <w:spacing w:line="460" w:lineRule="exact"/>
        <w:jc w:val="left"/>
        <w:rPr>
          <w:rFonts w:ascii="宋体" w:hAnsi="宋体" w:cs="宋体"/>
          <w:bCs/>
          <w:sz w:val="24"/>
        </w:rPr>
      </w:pPr>
      <w:r>
        <w:rPr>
          <w:rFonts w:hint="eastAsia" w:ascii="宋体" w:hAnsi="宋体" w:cs="宋体"/>
          <w:sz w:val="24"/>
        </w:rPr>
        <w:t>4.5乙方应当明确其项目施工人员和设备设施的情况</w:t>
      </w:r>
      <w:r>
        <w:rPr>
          <w:rFonts w:hint="eastAsia" w:ascii="宋体" w:hAnsi="宋体" w:cs="宋体"/>
          <w:bCs/>
          <w:sz w:val="24"/>
        </w:rPr>
        <w:t>，具体内容如下：</w:t>
      </w:r>
    </w:p>
    <w:p w14:paraId="28A3D632">
      <w:pPr>
        <w:spacing w:line="460" w:lineRule="exact"/>
        <w:jc w:val="left"/>
        <w:rPr>
          <w:rFonts w:ascii="宋体" w:hAnsi="宋体" w:cs="宋体"/>
          <w:bCs/>
          <w:sz w:val="24"/>
        </w:rPr>
      </w:pPr>
      <w:r>
        <w:rPr>
          <w:rFonts w:hint="eastAsia" w:ascii="宋体" w:hAnsi="宋体" w:cs="宋体"/>
          <w:bCs/>
          <w:sz w:val="24"/>
        </w:rPr>
        <w:t>4.5.1安全管理人员、项目技术人员和特种作业人员的姓名、性别、年龄、文化程度、所在岗位和资格证书。</w:t>
      </w:r>
      <w:bookmarkStart w:id="92" w:name="_Hlk132662916"/>
    </w:p>
    <w:bookmarkEnd w:id="92"/>
    <w:p w14:paraId="342E18F2">
      <w:pPr>
        <w:spacing w:line="460" w:lineRule="exact"/>
        <w:jc w:val="left"/>
        <w:rPr>
          <w:rFonts w:ascii="宋体" w:hAnsi="宋体" w:cs="宋体"/>
          <w:bCs/>
          <w:sz w:val="24"/>
        </w:rPr>
      </w:pPr>
      <w:r>
        <w:rPr>
          <w:rFonts w:hint="eastAsia" w:ascii="宋体" w:hAnsi="宋体" w:cs="宋体"/>
          <w:bCs/>
          <w:sz w:val="24"/>
        </w:rPr>
        <w:t>4.5.2其他从业人员的姓名、身份证号、性别、年龄、文化程度。</w:t>
      </w:r>
    </w:p>
    <w:p w14:paraId="54A5FECD">
      <w:pPr>
        <w:spacing w:line="460" w:lineRule="exact"/>
        <w:jc w:val="left"/>
        <w:rPr>
          <w:rFonts w:ascii="宋体" w:hAnsi="宋体" w:cs="宋体"/>
          <w:bCs/>
          <w:sz w:val="24"/>
        </w:rPr>
      </w:pPr>
      <w:r>
        <w:rPr>
          <w:rFonts w:hint="eastAsia" w:ascii="宋体" w:hAnsi="宋体" w:cs="宋体"/>
          <w:bCs/>
          <w:sz w:val="24"/>
        </w:rPr>
        <w:t>4.5.3主要设备设施的名称、型号规格、数量、安装位置等情况。</w:t>
      </w:r>
    </w:p>
    <w:p w14:paraId="3DCAA41C">
      <w:pPr>
        <w:spacing w:line="460" w:lineRule="exact"/>
        <w:ind w:firstLine="480" w:firstLineChars="200"/>
        <w:jc w:val="left"/>
        <w:rPr>
          <w:rFonts w:ascii="宋体" w:hAnsi="宋体" w:cs="宋体"/>
          <w:bCs/>
          <w:sz w:val="24"/>
        </w:rPr>
      </w:pPr>
      <w:r>
        <w:rPr>
          <w:rFonts w:hint="eastAsia" w:ascii="宋体" w:hAnsi="宋体" w:cs="宋体"/>
          <w:bCs/>
          <w:sz w:val="24"/>
        </w:rPr>
        <w:t>乙方应当将上述情况在本协议附件2(《有关人员和设备设施证明文件》)中列明。</w:t>
      </w:r>
    </w:p>
    <w:p w14:paraId="32205D2E">
      <w:pPr>
        <w:spacing w:line="460" w:lineRule="exact"/>
        <w:jc w:val="left"/>
        <w:rPr>
          <w:rFonts w:ascii="宋体" w:hAnsi="宋体" w:cs="宋体"/>
          <w:sz w:val="24"/>
        </w:rPr>
      </w:pPr>
      <w:r>
        <w:rPr>
          <w:rFonts w:hint="eastAsia" w:ascii="宋体" w:hAnsi="宋体" w:cs="宋体"/>
          <w:sz w:val="24"/>
        </w:rPr>
        <w:t>4.6涉及吊装作业、高处作业、临时用电、动火作业、有限空间等危险作业执行许可制度，作业前必须进行审核、审批，针对作业项目制定安全技术措施并组织落实。</w:t>
      </w:r>
    </w:p>
    <w:p w14:paraId="51E288AF">
      <w:pPr>
        <w:spacing w:line="460" w:lineRule="exact"/>
        <w:rPr>
          <w:rFonts w:ascii="宋体" w:hAnsi="宋体" w:cs="宋体"/>
          <w:sz w:val="24"/>
        </w:rPr>
      </w:pPr>
      <w:r>
        <w:rPr>
          <w:rFonts w:hint="eastAsia" w:ascii="宋体" w:hAnsi="宋体" w:cs="宋体"/>
          <w:sz w:val="24"/>
        </w:rPr>
        <w:t>4.6.1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14:paraId="609A6ED9">
      <w:pPr>
        <w:shd w:val="clear" w:color="auto" w:fill="FFFFFF"/>
        <w:snapToGrid w:val="0"/>
        <w:spacing w:line="460" w:lineRule="exact"/>
        <w:rPr>
          <w:rFonts w:ascii="宋体" w:hAnsi="宋体" w:cs="宋体"/>
          <w:kern w:val="0"/>
          <w:sz w:val="24"/>
        </w:rPr>
      </w:pPr>
      <w:r>
        <w:rPr>
          <w:rFonts w:hint="eastAsia" w:ascii="宋体" w:hAnsi="宋体" w:cs="宋体"/>
          <w:kern w:val="0"/>
          <w:sz w:val="24"/>
        </w:rPr>
        <w:t>4.6.2从事吊装作业禁止用手扶吊件，如有需要必须使用专用工具（如绳、专用工具等）；</w:t>
      </w:r>
    </w:p>
    <w:p w14:paraId="2C5F6B71">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4.6.3从事高处作业、临边作业必须佩戴安全带并挂好，没有条件要创造条件。搭设的脚手架必须符合规范等安全要求，原则上禁止使用竹、木头等易断材质作为搭设材料，脚手架上的踏板必须铺满并固定好；</w:t>
      </w:r>
    </w:p>
    <w:p w14:paraId="568619E3">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4.6.4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14:paraId="0FCCB11F">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4.6.5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14:paraId="104EDB52">
      <w:pPr>
        <w:shd w:val="clear" w:color="auto" w:fill="FFFFFF"/>
        <w:snapToGrid w:val="0"/>
        <w:spacing w:line="460" w:lineRule="exact"/>
        <w:rPr>
          <w:rFonts w:ascii="宋体" w:hAnsi="宋体" w:cs="宋体"/>
          <w:kern w:val="0"/>
          <w:sz w:val="24"/>
        </w:rPr>
      </w:pPr>
      <w:r>
        <w:rPr>
          <w:rFonts w:hint="eastAsia" w:ascii="宋体" w:hAnsi="宋体" w:cs="宋体"/>
          <w:kern w:val="0"/>
          <w:sz w:val="24"/>
        </w:rPr>
        <w:t>4.7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34F6BBAF">
      <w:pPr>
        <w:shd w:val="clear" w:color="auto" w:fill="FFFFFF"/>
        <w:snapToGrid w:val="0"/>
        <w:spacing w:line="460" w:lineRule="exact"/>
        <w:rPr>
          <w:rFonts w:ascii="宋体" w:hAnsi="宋体" w:cs="宋体"/>
          <w:kern w:val="0"/>
          <w:sz w:val="24"/>
        </w:rPr>
      </w:pPr>
      <w:r>
        <w:rPr>
          <w:rFonts w:hint="eastAsia" w:ascii="宋体" w:hAnsi="宋体" w:cs="宋体"/>
          <w:kern w:val="0"/>
          <w:sz w:val="24"/>
        </w:rPr>
        <w:t>4.8统一配发符合国家或行业标准的劳动防护用品（如反光背心、安全帽、双钩安全带、安全绳、手套、防护眼镜、墨镜、劳保鞋、防护面罩、口罩、护耳器等），并监督正确佩戴、使用；</w:t>
      </w:r>
    </w:p>
    <w:p w14:paraId="52017F96">
      <w:pPr>
        <w:shd w:val="clear" w:color="auto" w:fill="FFFFFF"/>
        <w:snapToGrid w:val="0"/>
        <w:spacing w:line="460" w:lineRule="exact"/>
        <w:rPr>
          <w:rFonts w:ascii="宋体" w:hAnsi="宋体" w:cs="宋体"/>
          <w:kern w:val="0"/>
          <w:sz w:val="24"/>
        </w:rPr>
      </w:pPr>
      <w:r>
        <w:rPr>
          <w:rFonts w:hint="eastAsia" w:ascii="宋体" w:hAnsi="宋体" w:cs="宋体"/>
          <w:kern w:val="0"/>
          <w:sz w:val="24"/>
        </w:rPr>
        <w:t xml:space="preserve">4.9乙方携带的工具、设备设施必须符合国家法律法规、规范等安全要求，坚持“线不着地，齿不外露，转必有罩，险必有栏”的标准。（如砂轮机、切割机必须有可靠的防护罩和接地等措施； </w:t>
      </w:r>
    </w:p>
    <w:p w14:paraId="071D1413">
      <w:pPr>
        <w:shd w:val="clear" w:color="auto" w:fill="FFFFFF"/>
        <w:snapToGrid w:val="0"/>
        <w:spacing w:line="460" w:lineRule="exact"/>
        <w:rPr>
          <w:rFonts w:ascii="宋体" w:hAnsi="宋体" w:cs="宋体"/>
          <w:kern w:val="0"/>
          <w:sz w:val="24"/>
        </w:rPr>
      </w:pPr>
      <w:r>
        <w:rPr>
          <w:rFonts w:hint="eastAsia" w:ascii="宋体" w:hAnsi="宋体" w:cs="宋体"/>
          <w:kern w:val="0"/>
          <w:sz w:val="24"/>
        </w:rPr>
        <w:t>4.10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w:t>
      </w:r>
      <w:r>
        <w:rPr>
          <w:rFonts w:hint="eastAsia" w:ascii="宋体" w:hAnsi="宋体" w:cs="宋体"/>
          <w:spacing w:val="6"/>
          <w:kern w:val="0"/>
          <w:sz w:val="24"/>
        </w:rPr>
        <w:t>由乙方采取必要措施后方可变动拆除。</w:t>
      </w:r>
      <w:r>
        <w:rPr>
          <w:rFonts w:hint="eastAsia" w:ascii="宋体" w:hAnsi="宋体" w:cs="宋体"/>
          <w:kern w:val="0"/>
          <w:sz w:val="24"/>
        </w:rPr>
        <w:t>并且做可靠的临时防护。工作完毕，及时恢复安全装置（设施）。</w:t>
      </w:r>
      <w:r>
        <w:rPr>
          <w:rFonts w:hint="eastAsia" w:ascii="宋体" w:hAnsi="宋体" w:cs="宋体"/>
          <w:spacing w:val="6"/>
          <w:kern w:val="0"/>
          <w:sz w:val="24"/>
        </w:rPr>
        <w:t>乙方擅自变动拆除所造成的后果，均由乙方自行负责，承担后果。</w:t>
      </w:r>
    </w:p>
    <w:p w14:paraId="7FBA823A">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4.11乙方施工（安装）区域的施工（安装）设备、临时用电设施、脚手架、出入通道口、楼梯口、危险有害气体或液体存放处等危险部位，应设置明显的安全警示标志、围栏，危险警示标志、围栏符合国家标准。</w:t>
      </w:r>
    </w:p>
    <w:p w14:paraId="0D673E9C">
      <w:pPr>
        <w:shd w:val="clear" w:color="auto" w:fill="FFFFFF"/>
        <w:snapToGrid w:val="0"/>
        <w:spacing w:line="460" w:lineRule="exact"/>
        <w:rPr>
          <w:rFonts w:ascii="宋体" w:hAnsi="宋体" w:cs="宋体"/>
          <w:kern w:val="0"/>
          <w:sz w:val="24"/>
        </w:rPr>
      </w:pPr>
      <w:r>
        <w:rPr>
          <w:rFonts w:hint="eastAsia" w:ascii="宋体" w:hAnsi="宋体" w:cs="宋体"/>
          <w:kern w:val="0"/>
          <w:sz w:val="24"/>
        </w:rPr>
        <w:t>4.12凡未经确认的线路、管道、容器一律视为有电、有压力、正在运行。不得挪用或者擅自拆除、停用消防设施、器材，不得埋压圈占、遮挡消防栓、不得占用防火间距，不得占用、堵塞、封闭疏散通道、安全出口与消防车通道。</w:t>
      </w:r>
    </w:p>
    <w:p w14:paraId="297862DB">
      <w:pPr>
        <w:shd w:val="clear" w:color="auto" w:fill="FFFFFF"/>
        <w:snapToGrid w:val="0"/>
        <w:spacing w:line="460" w:lineRule="exact"/>
        <w:rPr>
          <w:rFonts w:ascii="宋体" w:hAnsi="宋体" w:cs="宋体"/>
          <w:kern w:val="0"/>
          <w:sz w:val="24"/>
        </w:rPr>
      </w:pPr>
      <w:r>
        <w:rPr>
          <w:rFonts w:hint="eastAsia" w:ascii="宋体" w:hAnsi="宋体" w:cs="宋体"/>
          <w:kern w:val="0"/>
          <w:sz w:val="24"/>
        </w:rPr>
        <w:t>4.13乙方对作业区域现场在作业开始前已有或毗邻建（构）筑物、设备、设施、地下管线（网）或特殊作业环境可能造成损害的，须采取相应的安全防护措施，并承担损坏赔偿责任。</w:t>
      </w:r>
    </w:p>
    <w:p w14:paraId="6E34174A">
      <w:pPr>
        <w:spacing w:line="460" w:lineRule="exact"/>
        <w:rPr>
          <w:rFonts w:ascii="宋体" w:hAnsi="宋体" w:cs="宋体"/>
          <w:sz w:val="24"/>
        </w:rPr>
      </w:pPr>
      <w:r>
        <w:rPr>
          <w:rFonts w:hint="eastAsia" w:ascii="宋体" w:hAnsi="宋体" w:cs="宋体"/>
          <w:sz w:val="24"/>
        </w:rPr>
        <w:t>4.14各种机动车辆不准在生产区/库区停放、维修和加油。生产区/库区全天候禁止电瓶车进入库区充电。进入生产区/库区车辆禁止携带任何与消防防火有关的危险物品。</w:t>
      </w:r>
    </w:p>
    <w:p w14:paraId="260D3650">
      <w:pPr>
        <w:shd w:val="clear" w:color="auto" w:fill="FFFFFF"/>
        <w:snapToGrid w:val="0"/>
        <w:spacing w:line="460" w:lineRule="exact"/>
        <w:rPr>
          <w:rFonts w:ascii="宋体" w:hAnsi="宋体" w:cs="宋体"/>
          <w:kern w:val="0"/>
          <w:sz w:val="24"/>
        </w:rPr>
      </w:pPr>
      <w:r>
        <w:rPr>
          <w:rFonts w:hint="eastAsia" w:ascii="宋体" w:hAnsi="宋体" w:cs="宋体"/>
          <w:kern w:val="0"/>
          <w:sz w:val="24"/>
        </w:rPr>
        <w:t>4.15要按规定的路线进出，不得擅自进入与作业无关的区域。工程、运输车辆必须按照甲方要求配置爆闪灯、前后录像仪、倒车语音提示、前后影像、倒车雷达、示宽灯、车辆左右和后侧张贴反光条等。</w:t>
      </w:r>
    </w:p>
    <w:p w14:paraId="1DF67D94">
      <w:pPr>
        <w:shd w:val="clear" w:color="auto" w:fill="FFFFFF"/>
        <w:snapToGrid w:val="0"/>
        <w:spacing w:line="460" w:lineRule="exact"/>
        <w:rPr>
          <w:rFonts w:ascii="宋体" w:hAnsi="宋体" w:cs="宋体"/>
          <w:kern w:val="0"/>
          <w:sz w:val="24"/>
        </w:rPr>
      </w:pPr>
      <w:r>
        <w:rPr>
          <w:rFonts w:hint="eastAsia" w:ascii="宋体" w:hAnsi="宋体" w:cs="宋体"/>
          <w:kern w:val="0"/>
          <w:sz w:val="24"/>
        </w:rPr>
        <w:t>4.16施工前，为施工人员办理好生物信息，便于门禁管理，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14:paraId="2CAD53DE">
      <w:pPr>
        <w:shd w:val="clear" w:color="auto" w:fill="FFFFFF"/>
        <w:snapToGrid w:val="0"/>
        <w:spacing w:line="460" w:lineRule="exact"/>
        <w:rPr>
          <w:rFonts w:ascii="宋体" w:hAnsi="宋体" w:cs="宋体"/>
          <w:kern w:val="0"/>
          <w:sz w:val="24"/>
        </w:rPr>
      </w:pPr>
      <w:r>
        <w:rPr>
          <w:rFonts w:hint="eastAsia" w:ascii="宋体" w:hAnsi="宋体" w:cs="宋体"/>
          <w:kern w:val="0"/>
          <w:sz w:val="24"/>
        </w:rPr>
        <w:t>4.17作业现场暂时停工和完成当日作业后，乙方须做好现场安全防护工作。做到人走场地清，确保安全文明作业。</w:t>
      </w:r>
    </w:p>
    <w:p w14:paraId="75B67ED4">
      <w:pPr>
        <w:spacing w:line="460" w:lineRule="exact"/>
        <w:rPr>
          <w:rFonts w:ascii="宋体" w:hAnsi="宋体" w:cs="宋体"/>
          <w:b/>
          <w:bCs/>
          <w:sz w:val="24"/>
        </w:rPr>
      </w:pPr>
      <w:bookmarkStart w:id="93" w:name="_Toc396037057"/>
      <w:bookmarkStart w:id="94" w:name="_Toc381911469"/>
      <w:bookmarkStart w:id="95" w:name="_Toc434694366"/>
      <w:bookmarkStart w:id="96" w:name="_Toc442022104"/>
      <w:bookmarkStart w:id="97" w:name="_Toc451698743"/>
      <w:bookmarkStart w:id="98" w:name="_Toc384944720"/>
      <w:bookmarkStart w:id="99" w:name="_Toc442016145"/>
      <w:bookmarkStart w:id="100" w:name="_Toc396036413"/>
      <w:bookmarkStart w:id="101" w:name="_Toc383301030"/>
      <w:bookmarkStart w:id="102" w:name="_Toc442133374"/>
      <w:bookmarkStart w:id="103" w:name="_Toc389985362"/>
      <w:bookmarkStart w:id="104" w:name="_Hlk132406554"/>
      <w:r>
        <w:rPr>
          <w:rFonts w:hint="eastAsia" w:ascii="宋体" w:hAnsi="宋体" w:cs="宋体"/>
          <w:b/>
          <w:bCs/>
          <w:sz w:val="24"/>
        </w:rPr>
        <w:t>5隐患排查与治理</w:t>
      </w:r>
      <w:bookmarkEnd w:id="93"/>
      <w:bookmarkEnd w:id="94"/>
      <w:bookmarkEnd w:id="95"/>
      <w:bookmarkEnd w:id="96"/>
      <w:bookmarkEnd w:id="97"/>
      <w:bookmarkEnd w:id="98"/>
      <w:bookmarkEnd w:id="99"/>
      <w:bookmarkEnd w:id="100"/>
      <w:bookmarkEnd w:id="101"/>
      <w:bookmarkEnd w:id="102"/>
      <w:bookmarkEnd w:id="103"/>
    </w:p>
    <w:p w14:paraId="3107221B">
      <w:pPr>
        <w:spacing w:line="460" w:lineRule="exact"/>
        <w:rPr>
          <w:rFonts w:ascii="宋体" w:hAnsi="宋体" w:cs="宋体"/>
          <w:sz w:val="24"/>
        </w:rPr>
      </w:pPr>
      <w:r>
        <w:rPr>
          <w:rFonts w:hint="eastAsia" w:ascii="宋体" w:hAnsi="宋体" w:cs="宋体"/>
          <w:sz w:val="24"/>
        </w:rPr>
        <w:t>5.1甲方应当建立健全事故隐患排查治理和建档、监控等项制度，对项目现场进行隐患排查并督促乙方整改，定期对隐患排查治理情况进行统计分析与报告。</w:t>
      </w:r>
    </w:p>
    <w:p w14:paraId="7B5D344E">
      <w:pPr>
        <w:spacing w:line="460" w:lineRule="exact"/>
        <w:rPr>
          <w:rFonts w:ascii="宋体" w:hAnsi="宋体" w:cs="宋体"/>
          <w:kern w:val="0"/>
          <w:sz w:val="24"/>
        </w:rPr>
      </w:pPr>
      <w:r>
        <w:rPr>
          <w:rFonts w:hint="eastAsia" w:ascii="宋体" w:hAnsi="宋体" w:cs="宋体"/>
          <w:kern w:val="0"/>
          <w:sz w:val="24"/>
        </w:rPr>
        <w:t>5.2乙方应组织相关单位及外包单位对其所从事的作业活动开展危险源辨识工作。</w:t>
      </w:r>
    </w:p>
    <w:p w14:paraId="3F11B5BE">
      <w:pPr>
        <w:spacing w:line="460" w:lineRule="exact"/>
        <w:rPr>
          <w:rFonts w:ascii="宋体" w:hAnsi="宋体" w:cs="宋体"/>
          <w:sz w:val="24"/>
        </w:rPr>
      </w:pPr>
      <w:r>
        <w:rPr>
          <w:rFonts w:hint="eastAsia" w:ascii="宋体" w:hAnsi="宋体" w:cs="宋体"/>
          <w:sz w:val="24"/>
        </w:rPr>
        <w:t>5.3乙方应当定期排查并及时治理项目作业范围内的事故隐患（包括甲方人员排查及要求整改的事故隐患），建立台账，做好相关记录，并及时向甲方报告。</w:t>
      </w:r>
    </w:p>
    <w:p w14:paraId="21BE7CDB">
      <w:pPr>
        <w:shd w:val="clear" w:color="auto" w:fill="FFFFFF"/>
        <w:snapToGrid w:val="0"/>
        <w:spacing w:line="460" w:lineRule="exact"/>
        <w:rPr>
          <w:rFonts w:ascii="宋体" w:hAnsi="宋体" w:cs="宋体"/>
          <w:kern w:val="0"/>
          <w:sz w:val="24"/>
        </w:rPr>
      </w:pPr>
      <w:r>
        <w:rPr>
          <w:rFonts w:hint="eastAsia" w:ascii="宋体" w:hAnsi="宋体" w:cs="宋体"/>
          <w:kern w:val="0"/>
          <w:sz w:val="24"/>
        </w:rPr>
        <w:t>5.4乙方在项目作业范围内发现重大事故隐患后不能立即治理的，应当采取必要的防范措施，并及时书面报告甲方协商解决，消除事故隐患。</w:t>
      </w:r>
    </w:p>
    <w:p w14:paraId="5D6E67DE">
      <w:pPr>
        <w:spacing w:line="460" w:lineRule="exact"/>
        <w:jc w:val="left"/>
        <w:rPr>
          <w:rFonts w:ascii="宋体" w:hAnsi="宋体" w:cs="宋体"/>
          <w:b/>
          <w:bCs/>
          <w:sz w:val="24"/>
        </w:rPr>
      </w:pPr>
      <w:bookmarkStart w:id="105" w:name="_Toc434694367"/>
      <w:bookmarkStart w:id="106" w:name="_Toc442016146"/>
      <w:bookmarkStart w:id="107" w:name="_Toc383301031"/>
      <w:bookmarkStart w:id="108" w:name="_Toc442022105"/>
      <w:bookmarkStart w:id="109" w:name="_Toc384944721"/>
      <w:bookmarkStart w:id="110" w:name="_Toc389985363"/>
      <w:bookmarkStart w:id="111" w:name="_Toc451698744"/>
      <w:bookmarkStart w:id="112" w:name="_Toc396037058"/>
      <w:bookmarkStart w:id="113" w:name="_Toc442133375"/>
      <w:bookmarkStart w:id="114" w:name="_Toc396036414"/>
      <w:bookmarkStart w:id="115" w:name="_Toc381911470"/>
      <w:r>
        <w:rPr>
          <w:rFonts w:hint="eastAsia" w:ascii="宋体" w:hAnsi="宋体" w:cs="宋体"/>
          <w:b/>
          <w:bCs/>
          <w:sz w:val="24"/>
        </w:rPr>
        <w:t>6安全教育与培训</w:t>
      </w:r>
      <w:bookmarkEnd w:id="105"/>
      <w:bookmarkEnd w:id="106"/>
      <w:bookmarkEnd w:id="107"/>
      <w:bookmarkEnd w:id="108"/>
      <w:bookmarkEnd w:id="109"/>
      <w:bookmarkEnd w:id="110"/>
      <w:bookmarkEnd w:id="111"/>
      <w:bookmarkEnd w:id="112"/>
      <w:bookmarkEnd w:id="113"/>
      <w:bookmarkEnd w:id="114"/>
      <w:bookmarkEnd w:id="115"/>
    </w:p>
    <w:p w14:paraId="79850D8B">
      <w:pPr>
        <w:spacing w:line="460" w:lineRule="exact"/>
        <w:jc w:val="left"/>
        <w:rPr>
          <w:rFonts w:ascii="宋体" w:hAnsi="宋体" w:cs="宋体"/>
          <w:sz w:val="24"/>
        </w:rPr>
      </w:pPr>
      <w:r>
        <w:rPr>
          <w:rFonts w:hint="eastAsia" w:ascii="宋体" w:hAnsi="宋体" w:cs="宋体"/>
          <w:sz w:val="24"/>
        </w:rPr>
        <w:t>6.1甲方应当对乙方的安全教育与培训工作进行指导。</w:t>
      </w:r>
    </w:p>
    <w:p w14:paraId="05C1C6C9">
      <w:pPr>
        <w:spacing w:line="460" w:lineRule="exact"/>
        <w:jc w:val="left"/>
        <w:rPr>
          <w:rFonts w:ascii="宋体" w:hAnsi="宋体" w:cs="宋体"/>
          <w:sz w:val="24"/>
        </w:rPr>
      </w:pPr>
      <w:r>
        <w:rPr>
          <w:rFonts w:hint="eastAsia" w:ascii="宋体" w:hAnsi="宋体" w:cs="宋体"/>
          <w:sz w:val="24"/>
        </w:rPr>
        <w:t>6.2甲方应当监督检查乙方开展员工安全教育培训工作情况。</w:t>
      </w:r>
    </w:p>
    <w:p w14:paraId="523E1F2F">
      <w:pPr>
        <w:spacing w:line="460" w:lineRule="exact"/>
        <w:jc w:val="left"/>
        <w:rPr>
          <w:rFonts w:ascii="宋体" w:hAnsi="宋体" w:cs="宋体"/>
          <w:sz w:val="24"/>
        </w:rPr>
      </w:pPr>
      <w:r>
        <w:rPr>
          <w:rFonts w:hint="eastAsia" w:ascii="宋体" w:hAnsi="宋体" w:cs="宋体"/>
          <w:sz w:val="24"/>
        </w:rPr>
        <w:t>6.3乙方应当制定本单位的安全教育培训工作计划。在作业项目开工前必须对参加作业人员进行安全教育培训和考试，保证从业人员掌握必需的安全生产知识、</w:t>
      </w:r>
      <w:r>
        <w:rPr>
          <w:rFonts w:hint="eastAsia" w:ascii="宋体" w:hAnsi="宋体" w:cs="宋体"/>
          <w:spacing w:val="6"/>
          <w:sz w:val="24"/>
        </w:rPr>
        <w:t>提高安全生产技能</w:t>
      </w:r>
      <w:r>
        <w:rPr>
          <w:rFonts w:hint="eastAsia" w:ascii="宋体" w:hAnsi="宋体" w:cs="宋体"/>
          <w:sz w:val="24"/>
        </w:rPr>
        <w:t>和应急逃生知识</w:t>
      </w:r>
      <w:r>
        <w:rPr>
          <w:rFonts w:hint="eastAsia" w:ascii="宋体" w:hAnsi="宋体" w:cs="宋体"/>
          <w:spacing w:val="6"/>
          <w:sz w:val="24"/>
        </w:rPr>
        <w:t>，同时对本单位员工开展“三级”安全教育</w:t>
      </w:r>
      <w:r>
        <w:rPr>
          <w:rFonts w:hint="eastAsia" w:ascii="宋体" w:hAnsi="宋体" w:cs="宋体"/>
          <w:sz w:val="24"/>
        </w:rPr>
        <w:t>。</w:t>
      </w:r>
    </w:p>
    <w:p w14:paraId="542B995E">
      <w:pPr>
        <w:spacing w:line="460" w:lineRule="exact"/>
        <w:jc w:val="left"/>
        <w:rPr>
          <w:rFonts w:ascii="宋体" w:hAnsi="宋体" w:cs="宋体"/>
          <w:sz w:val="24"/>
        </w:rPr>
      </w:pPr>
      <w:r>
        <w:rPr>
          <w:rFonts w:hint="eastAsia" w:ascii="宋体" w:hAnsi="宋体" w:cs="宋体"/>
          <w:sz w:val="24"/>
        </w:rPr>
        <w:t>6.4乙方应当按照相关法律、法规、规章和标准对本单位从业人员进行安全教育培训，保证从业人员掌握必需的安全生产知识、操作技能和应急逃生知识。</w:t>
      </w:r>
    </w:p>
    <w:p w14:paraId="2788F3B0">
      <w:pPr>
        <w:spacing w:line="460" w:lineRule="exact"/>
        <w:jc w:val="left"/>
        <w:rPr>
          <w:rFonts w:ascii="宋体" w:hAnsi="宋体" w:cs="宋体"/>
          <w:sz w:val="24"/>
        </w:rPr>
      </w:pPr>
      <w:r>
        <w:rPr>
          <w:rFonts w:hint="eastAsia" w:ascii="宋体" w:hAnsi="宋体" w:cs="宋体"/>
          <w:sz w:val="24"/>
        </w:rPr>
        <w:t>6.5乙方应加强作业现场应急管理，完善应急预案，配备现场作业所需的应急资源，并加强培训和演练。</w:t>
      </w:r>
    </w:p>
    <w:p w14:paraId="069F065A">
      <w:pPr>
        <w:spacing w:line="460" w:lineRule="exact"/>
        <w:jc w:val="left"/>
        <w:rPr>
          <w:rFonts w:ascii="宋体" w:hAnsi="宋体" w:cs="宋体"/>
          <w:b/>
          <w:bCs/>
          <w:sz w:val="24"/>
        </w:rPr>
      </w:pPr>
      <w:bookmarkStart w:id="116" w:name="_Toc442133376"/>
      <w:bookmarkStart w:id="117" w:name="_Toc384944722"/>
      <w:bookmarkStart w:id="118" w:name="_Toc451698745"/>
      <w:bookmarkStart w:id="119" w:name="_Toc389985364"/>
      <w:bookmarkStart w:id="120" w:name="_Toc381911471"/>
      <w:bookmarkStart w:id="121" w:name="_Toc383301032"/>
      <w:bookmarkStart w:id="122" w:name="_Toc442016147"/>
      <w:bookmarkStart w:id="123" w:name="_Toc396036415"/>
      <w:bookmarkStart w:id="124" w:name="_Toc396037059"/>
      <w:bookmarkStart w:id="125" w:name="_Toc442022106"/>
      <w:bookmarkStart w:id="126" w:name="_Toc434694368"/>
      <w:r>
        <w:rPr>
          <w:rFonts w:hint="eastAsia" w:ascii="宋体" w:hAnsi="宋体" w:cs="宋体"/>
          <w:b/>
          <w:bCs/>
          <w:sz w:val="24"/>
        </w:rPr>
        <w:t>7事故应急救援</w:t>
      </w:r>
      <w:bookmarkEnd w:id="116"/>
      <w:bookmarkEnd w:id="117"/>
      <w:bookmarkEnd w:id="118"/>
      <w:bookmarkEnd w:id="119"/>
      <w:bookmarkEnd w:id="120"/>
      <w:bookmarkEnd w:id="121"/>
      <w:bookmarkEnd w:id="122"/>
      <w:bookmarkEnd w:id="123"/>
      <w:bookmarkEnd w:id="124"/>
      <w:bookmarkEnd w:id="125"/>
      <w:bookmarkEnd w:id="126"/>
    </w:p>
    <w:p w14:paraId="38C1C38C">
      <w:pPr>
        <w:spacing w:line="460" w:lineRule="exact"/>
        <w:jc w:val="left"/>
        <w:rPr>
          <w:rFonts w:ascii="宋体" w:hAnsi="宋体" w:cs="宋体"/>
          <w:b/>
          <w:sz w:val="24"/>
        </w:rPr>
      </w:pPr>
      <w:r>
        <w:rPr>
          <w:rFonts w:hint="eastAsia" w:ascii="宋体" w:hAnsi="宋体" w:cs="宋体"/>
          <w:b/>
          <w:sz w:val="24"/>
        </w:rPr>
        <w:t>7.1应急准备。</w:t>
      </w:r>
    </w:p>
    <w:p w14:paraId="4F1EE8CD">
      <w:pPr>
        <w:spacing w:line="460" w:lineRule="exact"/>
        <w:rPr>
          <w:rFonts w:ascii="宋体" w:hAnsi="宋体" w:cs="宋体"/>
          <w:sz w:val="24"/>
        </w:rPr>
      </w:pPr>
      <w:r>
        <w:rPr>
          <w:rFonts w:hint="eastAsia" w:ascii="宋体" w:hAnsi="宋体" w:cs="宋体"/>
          <w:sz w:val="24"/>
        </w:rPr>
        <w:t>7.1.1甲方应当按照国家有关规定建立应急救援组织或者与其他应急救援组织签订救援协议，编制本单位事故应急预案，并定期组织演练。</w:t>
      </w:r>
    </w:p>
    <w:p w14:paraId="6A75A6A3">
      <w:pPr>
        <w:spacing w:line="460" w:lineRule="exact"/>
        <w:rPr>
          <w:rFonts w:ascii="宋体" w:hAnsi="宋体" w:cs="宋体"/>
          <w:sz w:val="24"/>
        </w:rPr>
      </w:pPr>
      <w:r>
        <w:rPr>
          <w:rFonts w:hint="eastAsia" w:ascii="宋体" w:hAnsi="宋体" w:cs="宋体"/>
          <w:sz w:val="24"/>
        </w:rPr>
        <w:t>7.1.2</w:t>
      </w:r>
      <w:r>
        <w:rPr>
          <w:rFonts w:hint="eastAsia" w:ascii="宋体" w:hAnsi="宋体" w:cs="宋体"/>
          <w:spacing w:val="6"/>
          <w:sz w:val="24"/>
        </w:rPr>
        <w:t>甲方负责向乙方如实告知根据甲方能力所知的作业场所和岗位存在的危险因素，要求乙方制订防范措施以及事故应急预案。</w:t>
      </w:r>
    </w:p>
    <w:p w14:paraId="3427C315">
      <w:pPr>
        <w:spacing w:line="460" w:lineRule="exact"/>
        <w:jc w:val="left"/>
        <w:rPr>
          <w:rFonts w:ascii="宋体" w:hAnsi="宋体" w:cs="宋体"/>
          <w:sz w:val="24"/>
        </w:rPr>
      </w:pPr>
      <w:r>
        <w:rPr>
          <w:rFonts w:hint="eastAsia" w:ascii="宋体" w:hAnsi="宋体" w:cs="宋体"/>
          <w:sz w:val="24"/>
        </w:rPr>
        <w:t>7.1.3甲方配置的应急救援设备设施和器材包括：</w:t>
      </w:r>
      <w:r>
        <w:rPr>
          <w:rFonts w:hint="eastAsia" w:ascii="宋体" w:hAnsi="宋体" w:cs="宋体"/>
          <w:b/>
          <w:bCs/>
          <w:sz w:val="24"/>
          <w:u w:val="single"/>
        </w:rPr>
        <w:t xml:space="preserve"> 项目现场及附近车间的消防器材、正压式空气呼吸器、防毒面具、担架、应急通风机、四合一气体检测仪、应急药箱、救援绳</w:t>
      </w:r>
      <w:r>
        <w:rPr>
          <w:rFonts w:hint="eastAsia" w:ascii="宋体" w:hAnsi="宋体" w:cs="宋体"/>
          <w:sz w:val="24"/>
          <w:u w:val="single"/>
        </w:rPr>
        <w:t>等</w:t>
      </w:r>
      <w:r>
        <w:rPr>
          <w:rFonts w:hint="eastAsia" w:ascii="宋体" w:hAnsi="宋体" w:cs="宋体"/>
          <w:sz w:val="24"/>
        </w:rPr>
        <w:t>。</w:t>
      </w:r>
    </w:p>
    <w:p w14:paraId="4B4BAEF5">
      <w:pPr>
        <w:spacing w:line="460" w:lineRule="exact"/>
        <w:jc w:val="left"/>
        <w:rPr>
          <w:rFonts w:ascii="宋体" w:hAnsi="宋体" w:cs="宋体"/>
          <w:sz w:val="24"/>
        </w:rPr>
      </w:pPr>
      <w:r>
        <w:rPr>
          <w:rFonts w:hint="eastAsia" w:ascii="宋体" w:hAnsi="宋体" w:cs="宋体"/>
          <w:sz w:val="24"/>
        </w:rPr>
        <w:t>7.1.4乙方应当编制与项目相适应的应急预案或者应急处置预案，并与甲方的相关预案接口,并定期组织演练或者参加甲方组织的演练。</w:t>
      </w:r>
    </w:p>
    <w:p w14:paraId="020F6530">
      <w:pPr>
        <w:spacing w:line="460" w:lineRule="exact"/>
        <w:jc w:val="left"/>
        <w:rPr>
          <w:rFonts w:ascii="宋体" w:hAnsi="宋体" w:cs="宋体"/>
          <w:sz w:val="24"/>
        </w:rPr>
      </w:pPr>
      <w:r>
        <w:rPr>
          <w:rFonts w:hint="eastAsia" w:ascii="宋体" w:hAnsi="宋体" w:cs="宋体"/>
          <w:sz w:val="24"/>
        </w:rPr>
        <w:t>7.1.5乙方配置的应急救援设备设施和器材包括：</w:t>
      </w:r>
      <w:r>
        <w:rPr>
          <w:rFonts w:hint="eastAsia" w:ascii="宋体" w:hAnsi="宋体" w:cs="宋体"/>
          <w:sz w:val="24"/>
          <w:u w:val="single"/>
        </w:rPr>
        <w:t xml:space="preserve">    应急药箱     </w:t>
      </w:r>
      <w:r>
        <w:rPr>
          <w:rFonts w:hint="eastAsia" w:ascii="宋体" w:hAnsi="宋体" w:cs="宋体"/>
          <w:sz w:val="24"/>
        </w:rPr>
        <w:t>。</w:t>
      </w:r>
    </w:p>
    <w:p w14:paraId="5DD97FB2">
      <w:pPr>
        <w:spacing w:line="460" w:lineRule="exact"/>
        <w:jc w:val="left"/>
        <w:rPr>
          <w:rFonts w:ascii="宋体" w:hAnsi="宋体" w:cs="宋体"/>
          <w:b/>
          <w:sz w:val="24"/>
        </w:rPr>
      </w:pPr>
      <w:r>
        <w:rPr>
          <w:rFonts w:hint="eastAsia" w:ascii="宋体" w:hAnsi="宋体" w:cs="宋体"/>
          <w:b/>
          <w:sz w:val="24"/>
        </w:rPr>
        <w:t>7.2事故报告。</w:t>
      </w:r>
    </w:p>
    <w:p w14:paraId="1BD5B5F9">
      <w:pPr>
        <w:spacing w:line="460" w:lineRule="exact"/>
        <w:jc w:val="left"/>
        <w:rPr>
          <w:rFonts w:ascii="宋体" w:hAnsi="宋体" w:cs="宋体"/>
          <w:color w:val="FF0000"/>
          <w:spacing w:val="6"/>
          <w:kern w:val="0"/>
          <w:sz w:val="24"/>
        </w:rPr>
      </w:pPr>
      <w:r>
        <w:rPr>
          <w:rFonts w:hint="eastAsia" w:ascii="宋体" w:hAnsi="宋体" w:cs="宋体"/>
          <w:color w:val="FF0000"/>
          <w:sz w:val="24"/>
        </w:rPr>
        <w:t>7.2.1项目施工发生事故后，</w:t>
      </w:r>
      <w:r>
        <w:rPr>
          <w:rFonts w:hint="eastAsia" w:ascii="宋体" w:hAnsi="宋体" w:cs="宋体"/>
          <w:color w:val="FF0000"/>
          <w:spacing w:val="6"/>
          <w:kern w:val="0"/>
          <w:sz w:val="24"/>
        </w:rPr>
        <w:t>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14:paraId="007AA95C">
      <w:pPr>
        <w:shd w:val="clear" w:color="auto" w:fill="FFFFFF"/>
        <w:snapToGrid w:val="0"/>
        <w:spacing w:line="276" w:lineRule="auto"/>
        <w:jc w:val="left"/>
        <w:rPr>
          <w:rFonts w:ascii="宋体" w:hAnsi="宋体" w:cs="宋体"/>
          <w:b/>
          <w:bCs/>
          <w:color w:val="FF0000"/>
          <w:kern w:val="0"/>
          <w:sz w:val="24"/>
        </w:rPr>
      </w:pPr>
      <w:r>
        <w:rPr>
          <w:rFonts w:hint="eastAsia" w:ascii="宋体" w:hAnsi="宋体" w:cs="宋体"/>
          <w:color w:val="FF0000"/>
          <w:spacing w:val="6"/>
          <w:kern w:val="0"/>
          <w:sz w:val="24"/>
        </w:rPr>
        <w:t>7.2.2</w:t>
      </w:r>
      <w:r>
        <w:rPr>
          <w:rFonts w:hint="eastAsia" w:ascii="宋体" w:hAnsi="宋体" w:cs="宋体"/>
          <w:b/>
          <w:bCs/>
          <w:color w:val="FF0000"/>
          <w:kern w:val="0"/>
          <w:sz w:val="24"/>
        </w:rPr>
        <w:t>应急联系方式：</w:t>
      </w:r>
    </w:p>
    <w:p w14:paraId="4AC706F6">
      <w:pPr>
        <w:shd w:val="clear" w:color="auto" w:fill="FFFFFF"/>
        <w:snapToGrid w:val="0"/>
        <w:spacing w:line="276" w:lineRule="auto"/>
        <w:ind w:firstLine="480" w:firstLineChars="200"/>
        <w:jc w:val="left"/>
        <w:rPr>
          <w:rFonts w:ascii="宋体" w:hAnsi="宋体" w:cs="宋体"/>
          <w:color w:val="FF0000"/>
          <w:kern w:val="0"/>
          <w:sz w:val="24"/>
        </w:rPr>
      </w:pPr>
      <w:r>
        <w:rPr>
          <w:rFonts w:hint="eastAsia" w:ascii="宋体" w:hAnsi="宋体" w:cs="宋体"/>
          <w:color w:val="FF0000"/>
          <w:kern w:val="0"/>
          <w:sz w:val="24"/>
        </w:rPr>
        <w:t xml:space="preserve">作业现场负责人：           电话：  </w:t>
      </w:r>
    </w:p>
    <w:p w14:paraId="1A860A96">
      <w:pPr>
        <w:spacing w:line="460" w:lineRule="exact"/>
        <w:jc w:val="left"/>
        <w:rPr>
          <w:rFonts w:ascii="宋体" w:hAnsi="宋体" w:cs="宋体"/>
          <w:color w:val="FF0000"/>
          <w:sz w:val="24"/>
        </w:rPr>
      </w:pPr>
      <w:r>
        <w:rPr>
          <w:rFonts w:hint="eastAsia" w:ascii="宋体" w:hAnsi="宋体" w:cs="宋体"/>
          <w:color w:val="FF0000"/>
          <w:sz w:val="24"/>
        </w:rPr>
        <w:t xml:space="preserve">    甲方安全环保部负责人：郑国庆      电话：13435296779 </w:t>
      </w:r>
    </w:p>
    <w:p w14:paraId="18DF0A7D">
      <w:pPr>
        <w:spacing w:line="460" w:lineRule="exact"/>
        <w:jc w:val="left"/>
        <w:rPr>
          <w:rFonts w:ascii="宋体" w:hAnsi="宋体" w:cs="宋体"/>
          <w:b/>
          <w:sz w:val="24"/>
        </w:rPr>
      </w:pPr>
      <w:r>
        <w:rPr>
          <w:rFonts w:hint="eastAsia" w:ascii="宋体" w:hAnsi="宋体" w:cs="宋体"/>
          <w:b/>
          <w:sz w:val="24"/>
        </w:rPr>
        <w:t>7.3事故救援。</w:t>
      </w:r>
    </w:p>
    <w:p w14:paraId="32C96F4D">
      <w:pPr>
        <w:spacing w:line="460" w:lineRule="exact"/>
        <w:jc w:val="left"/>
        <w:rPr>
          <w:rFonts w:ascii="宋体" w:hAnsi="宋体" w:cs="宋体"/>
          <w:sz w:val="24"/>
        </w:rPr>
      </w:pPr>
      <w:r>
        <w:rPr>
          <w:rFonts w:hint="eastAsia" w:ascii="宋体" w:hAnsi="宋体" w:cs="宋体"/>
          <w:sz w:val="24"/>
        </w:rPr>
        <w:t>7.3.1项目施工发生事故后，乙方应当按照专项应急预案或者应急处置方案立即开展事故救援。保护好事故现场。</w:t>
      </w:r>
    </w:p>
    <w:p w14:paraId="44B5D3BC">
      <w:pPr>
        <w:spacing w:line="460" w:lineRule="exact"/>
        <w:jc w:val="left"/>
        <w:rPr>
          <w:rFonts w:ascii="宋体" w:hAnsi="宋体" w:cs="宋体"/>
          <w:sz w:val="24"/>
        </w:rPr>
      </w:pPr>
      <w:r>
        <w:rPr>
          <w:rFonts w:hint="eastAsia" w:ascii="宋体" w:hAnsi="宋体" w:cs="宋体"/>
          <w:sz w:val="24"/>
        </w:rPr>
        <w:t>7.3.2项目施工发生事故后，甲方应当按照应急预案要求，立即开展应急救援，负责指挥、协调事故救援工作，充分调动甲乙双方的应急资源。</w:t>
      </w:r>
    </w:p>
    <w:p w14:paraId="5FB8D4F2">
      <w:pPr>
        <w:spacing w:line="460" w:lineRule="exact"/>
        <w:jc w:val="left"/>
        <w:rPr>
          <w:rFonts w:ascii="宋体" w:hAnsi="宋体" w:cs="宋体"/>
          <w:b/>
          <w:sz w:val="24"/>
        </w:rPr>
      </w:pPr>
      <w:r>
        <w:rPr>
          <w:rFonts w:hint="eastAsia" w:ascii="宋体" w:hAnsi="宋体" w:cs="宋体"/>
          <w:b/>
          <w:sz w:val="24"/>
        </w:rPr>
        <w:t>7.4事故处理。</w:t>
      </w:r>
    </w:p>
    <w:p w14:paraId="77BD1994">
      <w:pPr>
        <w:spacing w:line="460" w:lineRule="exact"/>
        <w:jc w:val="left"/>
        <w:rPr>
          <w:rFonts w:ascii="宋体" w:hAnsi="宋体" w:cs="宋体"/>
          <w:sz w:val="24"/>
        </w:rPr>
      </w:pPr>
      <w:r>
        <w:rPr>
          <w:rFonts w:hint="eastAsia" w:ascii="宋体" w:hAnsi="宋体" w:cs="宋体"/>
          <w:sz w:val="24"/>
        </w:rPr>
        <w:t>7.4.1在发生安全事故后应积极配合甲方组织开展的对事故的相关调查。</w:t>
      </w:r>
    </w:p>
    <w:p w14:paraId="5F4B7A37">
      <w:pPr>
        <w:spacing w:line="460" w:lineRule="exact"/>
        <w:jc w:val="left"/>
        <w:rPr>
          <w:rFonts w:ascii="宋体" w:hAnsi="宋体" w:cs="宋体"/>
          <w:sz w:val="24"/>
        </w:rPr>
      </w:pPr>
      <w:r>
        <w:rPr>
          <w:rFonts w:hint="eastAsia" w:ascii="宋体" w:hAnsi="宋体" w:cs="宋体"/>
          <w:sz w:val="24"/>
        </w:rPr>
        <w:t>7.4.2事故调查结案后，甲乙双方根据事故调查处理结论承担各自相应责任。</w:t>
      </w:r>
    </w:p>
    <w:p w14:paraId="79269EAE">
      <w:pPr>
        <w:spacing w:line="460" w:lineRule="exact"/>
        <w:jc w:val="left"/>
        <w:rPr>
          <w:rFonts w:ascii="宋体" w:hAnsi="宋体" w:cs="宋体"/>
          <w:sz w:val="24"/>
        </w:rPr>
      </w:pPr>
      <w:r>
        <w:rPr>
          <w:rFonts w:hint="eastAsia" w:ascii="宋体" w:hAnsi="宋体" w:cs="宋体"/>
          <w:sz w:val="24"/>
        </w:rPr>
        <w:t>7.4.3甲方应当承担的经济处罚不得转嫁或者变相转嫁给乙方。</w:t>
      </w:r>
    </w:p>
    <w:p w14:paraId="11542B78">
      <w:pPr>
        <w:spacing w:line="460" w:lineRule="exact"/>
        <w:jc w:val="left"/>
        <w:rPr>
          <w:rFonts w:ascii="宋体" w:hAnsi="宋体" w:cs="宋体"/>
          <w:sz w:val="24"/>
        </w:rPr>
      </w:pPr>
      <w:r>
        <w:rPr>
          <w:rFonts w:hint="eastAsia" w:ascii="宋体" w:hAnsi="宋体" w:cs="宋体"/>
          <w:sz w:val="24"/>
        </w:rPr>
        <w:t>7.4.46乙方对发生安全事故坚持“四不放过”原则的指导思想，不隐瞒、谎报，并在员工中开展事故分析、教育，防止同类事故的再次发生。</w:t>
      </w:r>
    </w:p>
    <w:p w14:paraId="63DBE7D3">
      <w:pPr>
        <w:spacing w:line="460" w:lineRule="exact"/>
        <w:jc w:val="left"/>
        <w:rPr>
          <w:rFonts w:ascii="宋体" w:hAnsi="宋体" w:cs="宋体"/>
          <w:sz w:val="24"/>
        </w:rPr>
      </w:pPr>
      <w:r>
        <w:rPr>
          <w:rFonts w:hint="eastAsia" w:ascii="宋体" w:hAnsi="宋体" w:cs="宋体"/>
          <w:b/>
          <w:sz w:val="24"/>
        </w:rPr>
        <w:t>8信息沟通：</w:t>
      </w:r>
      <w:r>
        <w:rPr>
          <w:rFonts w:hint="eastAsia" w:ascii="宋体" w:hAnsi="宋体" w:cs="宋体"/>
          <w:sz w:val="24"/>
        </w:rPr>
        <w:t>甲乙双方按照  1次/（月、周）召开安全沟通会议，其他安全环保重大事项应立即报告甲方或备案。</w:t>
      </w:r>
    </w:p>
    <w:p w14:paraId="72E15944">
      <w:pPr>
        <w:spacing w:line="460" w:lineRule="exact"/>
        <w:jc w:val="left"/>
        <w:rPr>
          <w:rFonts w:ascii="宋体" w:hAnsi="宋体" w:cs="宋体"/>
          <w:b/>
          <w:bCs/>
          <w:sz w:val="24"/>
        </w:rPr>
      </w:pPr>
      <w:bookmarkStart w:id="127" w:name="_Toc451698746"/>
      <w:bookmarkStart w:id="128" w:name="_Toc396037060"/>
      <w:bookmarkStart w:id="129" w:name="_Toc442022107"/>
      <w:bookmarkStart w:id="130" w:name="_Toc442133377"/>
      <w:bookmarkStart w:id="131" w:name="_Toc442016148"/>
      <w:bookmarkStart w:id="132" w:name="_Toc381911472"/>
      <w:bookmarkStart w:id="133" w:name="_Toc389985365"/>
      <w:bookmarkStart w:id="134" w:name="_Toc384944723"/>
      <w:bookmarkStart w:id="135" w:name="_Toc383301033"/>
      <w:bookmarkStart w:id="136" w:name="_Toc434694369"/>
      <w:bookmarkStart w:id="137" w:name="_Toc396036416"/>
      <w:r>
        <w:rPr>
          <w:rFonts w:hint="eastAsia" w:ascii="宋体" w:hAnsi="宋体" w:cs="宋体"/>
          <w:b/>
          <w:bCs/>
          <w:sz w:val="24"/>
        </w:rPr>
        <w:t>9安全检查与考评</w:t>
      </w:r>
      <w:bookmarkEnd w:id="127"/>
      <w:bookmarkEnd w:id="128"/>
      <w:bookmarkEnd w:id="129"/>
      <w:bookmarkEnd w:id="130"/>
      <w:bookmarkEnd w:id="131"/>
      <w:bookmarkEnd w:id="132"/>
      <w:bookmarkEnd w:id="133"/>
      <w:bookmarkEnd w:id="134"/>
      <w:bookmarkEnd w:id="135"/>
      <w:bookmarkEnd w:id="136"/>
      <w:bookmarkEnd w:id="137"/>
    </w:p>
    <w:p w14:paraId="0C5E27D2">
      <w:pPr>
        <w:spacing w:line="460" w:lineRule="exact"/>
        <w:rPr>
          <w:rFonts w:ascii="宋体" w:hAnsi="宋体" w:cs="宋体"/>
          <w:sz w:val="24"/>
        </w:rPr>
      </w:pPr>
      <w:r>
        <w:rPr>
          <w:rFonts w:hint="eastAsia" w:ascii="宋体" w:hAnsi="宋体" w:cs="宋体"/>
          <w:sz w:val="24"/>
        </w:rPr>
        <w:t>9.1甲方应建立项目施工的安全生产考核机制，制定考核办法，对乙方进行安全生产考核。</w:t>
      </w:r>
    </w:p>
    <w:p w14:paraId="673B0BD4">
      <w:pPr>
        <w:spacing w:line="460" w:lineRule="exact"/>
        <w:rPr>
          <w:rFonts w:ascii="宋体" w:hAnsi="宋体" w:cs="宋体"/>
          <w:sz w:val="24"/>
        </w:rPr>
      </w:pPr>
      <w:r>
        <w:rPr>
          <w:rFonts w:hint="eastAsia" w:ascii="宋体" w:hAnsi="宋体" w:cs="宋体"/>
          <w:sz w:val="24"/>
        </w:rPr>
        <w:t>9.2甲方应当加强项目监督检查工作，发现乙方违反法律、法规、规章和标准的</w:t>
      </w:r>
      <w:r>
        <w:rPr>
          <w:rFonts w:hint="eastAsia" w:ascii="宋体" w:hAnsi="宋体" w:cs="宋体"/>
          <w:spacing w:val="6"/>
          <w:sz w:val="24"/>
        </w:rPr>
        <w:t>违章违纪</w:t>
      </w:r>
      <w:r>
        <w:rPr>
          <w:rFonts w:hint="eastAsia" w:ascii="宋体" w:hAnsi="宋体" w:cs="宋体"/>
          <w:sz w:val="24"/>
        </w:rPr>
        <w:t>行为，</w:t>
      </w:r>
      <w:r>
        <w:rPr>
          <w:rFonts w:hint="eastAsia" w:ascii="宋体" w:hAnsi="宋体" w:cs="宋体"/>
          <w:spacing w:val="6"/>
          <w:sz w:val="24"/>
        </w:rPr>
        <w:t>及时进行教育，</w:t>
      </w:r>
      <w:r>
        <w:rPr>
          <w:rFonts w:hint="eastAsia" w:ascii="宋体" w:hAnsi="宋体" w:cs="宋体"/>
          <w:sz w:val="24"/>
        </w:rPr>
        <w:t>有权纠正和考核，</w:t>
      </w:r>
      <w:r>
        <w:rPr>
          <w:rFonts w:hint="eastAsia" w:ascii="宋体" w:hAnsi="宋体" w:cs="宋体"/>
          <w:spacing w:val="6"/>
          <w:sz w:val="24"/>
        </w:rPr>
        <w:t>对不听劝告、</w:t>
      </w:r>
      <w:r>
        <w:rPr>
          <w:rFonts w:hint="eastAsia" w:ascii="宋体" w:hAnsi="宋体" w:cs="宋体"/>
          <w:sz w:val="24"/>
        </w:rPr>
        <w:t>直至清退出场。</w:t>
      </w:r>
    </w:p>
    <w:p w14:paraId="7801A71B">
      <w:pPr>
        <w:spacing w:line="460" w:lineRule="exact"/>
        <w:rPr>
          <w:rFonts w:ascii="宋体" w:hAnsi="宋体" w:cs="宋体"/>
          <w:bCs/>
          <w:sz w:val="24"/>
        </w:rPr>
      </w:pPr>
      <w:r>
        <w:rPr>
          <w:rFonts w:hint="eastAsia" w:ascii="宋体" w:hAnsi="宋体" w:cs="宋体"/>
          <w:bCs/>
          <w:sz w:val="24"/>
        </w:rPr>
        <w:t>9.3甲方审查乙方相应的作业资格证书、作业方案和外包商、作业现场的设备、设施、建（构）筑物和人员作业安全状况等。</w:t>
      </w:r>
    </w:p>
    <w:p w14:paraId="3A0A2750">
      <w:pPr>
        <w:spacing w:line="460" w:lineRule="exact"/>
        <w:rPr>
          <w:rFonts w:ascii="宋体" w:hAnsi="宋体" w:cs="宋体"/>
          <w:spacing w:val="6"/>
          <w:sz w:val="24"/>
        </w:rPr>
      </w:pPr>
      <w:r>
        <w:rPr>
          <w:rFonts w:hint="eastAsia" w:ascii="宋体" w:hAnsi="宋体" w:cs="宋体"/>
          <w:bCs/>
          <w:sz w:val="24"/>
        </w:rPr>
        <w:t>9.4</w:t>
      </w:r>
      <w:r>
        <w:rPr>
          <w:rFonts w:hint="eastAsia" w:ascii="宋体" w:hAnsi="宋体" w:cs="宋体"/>
          <w:spacing w:val="6"/>
          <w:sz w:val="24"/>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05D2A684">
      <w:pPr>
        <w:spacing w:line="460" w:lineRule="exact"/>
        <w:rPr>
          <w:rFonts w:ascii="宋体" w:hAnsi="宋体" w:cs="宋体"/>
          <w:bCs/>
          <w:sz w:val="24"/>
        </w:rPr>
      </w:pPr>
      <w:r>
        <w:rPr>
          <w:rFonts w:hint="eastAsia" w:ascii="宋体" w:hAnsi="宋体" w:cs="宋体"/>
          <w:spacing w:val="6"/>
          <w:sz w:val="24"/>
        </w:rPr>
        <w:t>9.5</w:t>
      </w:r>
      <w:r>
        <w:rPr>
          <w:rFonts w:hint="eastAsia" w:ascii="宋体" w:hAnsi="宋体" w:cs="宋体"/>
          <w:bCs/>
          <w:sz w:val="24"/>
        </w:rPr>
        <w:t>乙方负责项目范围内的作业安全</w:t>
      </w:r>
      <w:r>
        <w:rPr>
          <w:rFonts w:hint="eastAsia" w:ascii="宋体" w:hAnsi="宋体" w:cs="宋体"/>
          <w:bCs/>
          <w:color w:val="FF0000"/>
          <w:sz w:val="24"/>
        </w:rPr>
        <w:t>（消防）</w:t>
      </w:r>
      <w:r>
        <w:rPr>
          <w:rFonts w:hint="eastAsia" w:ascii="宋体" w:hAnsi="宋体" w:cs="宋体"/>
          <w:bCs/>
          <w:sz w:val="24"/>
        </w:rPr>
        <w:t>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14:paraId="0EECEE7C">
      <w:pPr>
        <w:spacing w:line="460" w:lineRule="exact"/>
        <w:jc w:val="left"/>
        <w:rPr>
          <w:rFonts w:ascii="宋体" w:hAnsi="宋体" w:cs="宋体"/>
          <w:bCs/>
          <w:sz w:val="24"/>
        </w:rPr>
      </w:pPr>
      <w:r>
        <w:rPr>
          <w:rFonts w:hint="eastAsia" w:ascii="宋体" w:hAnsi="宋体" w:cs="宋体"/>
          <w:bCs/>
          <w:sz w:val="24"/>
        </w:rPr>
        <w:t>9.6乙方应当接受甲方的监督管理，遵守甲方的有关规章制度的要求。同时，乙方有权拒绝甲方违章指挥和强令冒险作业。</w:t>
      </w:r>
    </w:p>
    <w:p w14:paraId="109FEC64">
      <w:pPr>
        <w:spacing w:line="460" w:lineRule="exact"/>
        <w:jc w:val="left"/>
        <w:rPr>
          <w:rFonts w:ascii="宋体" w:hAnsi="宋体" w:cs="宋体"/>
          <w:bCs/>
          <w:sz w:val="24"/>
        </w:rPr>
      </w:pPr>
      <w:r>
        <w:rPr>
          <w:rFonts w:hint="eastAsia" w:ascii="宋体" w:hAnsi="宋体" w:cs="宋体"/>
          <w:bCs/>
          <w:sz w:val="24"/>
        </w:rPr>
        <w:t>9.7乙方应当向甲方提供安全生产考核所需资料，接受甲方的考核与奖惩。</w:t>
      </w:r>
      <w:bookmarkEnd w:id="104"/>
    </w:p>
    <w:p w14:paraId="2519F5BE">
      <w:pPr>
        <w:spacing w:line="460" w:lineRule="exact"/>
        <w:jc w:val="left"/>
        <w:rPr>
          <w:rFonts w:ascii="宋体" w:hAnsi="宋体" w:cs="宋体"/>
          <w:b/>
          <w:bCs/>
          <w:sz w:val="24"/>
        </w:rPr>
      </w:pPr>
      <w:r>
        <w:rPr>
          <w:rFonts w:hint="eastAsia" w:ascii="宋体" w:hAnsi="宋体" w:cs="宋体"/>
          <w:b/>
          <w:bCs/>
          <w:sz w:val="24"/>
        </w:rPr>
        <w:t>10风险抵押金考核</w:t>
      </w:r>
    </w:p>
    <w:p w14:paraId="2A6F7238">
      <w:pPr>
        <w:shd w:val="clear" w:color="auto" w:fill="FFFFFF"/>
        <w:snapToGrid w:val="0"/>
        <w:spacing w:line="460" w:lineRule="exact"/>
        <w:rPr>
          <w:rFonts w:ascii="宋体" w:hAnsi="宋体" w:cs="宋体"/>
          <w:kern w:val="0"/>
          <w:sz w:val="24"/>
        </w:rPr>
      </w:pPr>
      <w:r>
        <w:rPr>
          <w:rFonts w:hint="eastAsia" w:ascii="宋体" w:hAnsi="宋体" w:cs="宋体"/>
          <w:bCs/>
          <w:sz w:val="24"/>
        </w:rPr>
        <w:t>10.1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138" w:name="_Hlk132701874"/>
      <w:r>
        <w:rPr>
          <w:rFonts w:hint="eastAsia" w:ascii="宋体" w:hAnsi="宋体" w:cs="宋体"/>
          <w:bCs/>
          <w:sz w:val="24"/>
        </w:rPr>
        <w:t>承包商与工程项目管理安全</w:t>
      </w:r>
      <w:bookmarkEnd w:id="138"/>
      <w:r>
        <w:rPr>
          <w:rFonts w:hint="eastAsia" w:ascii="宋体" w:hAnsi="宋体" w:cs="宋体"/>
          <w:bCs/>
          <w:sz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6FA5C3C8">
      <w:pPr>
        <w:shd w:val="clear" w:color="auto" w:fill="FFFFFF"/>
        <w:snapToGrid w:val="0"/>
        <w:spacing w:line="460" w:lineRule="exact"/>
        <w:ind w:firstLine="480" w:firstLineChars="200"/>
        <w:jc w:val="left"/>
        <w:rPr>
          <w:rFonts w:ascii="宋体" w:hAnsi="宋体" w:cs="宋体"/>
          <w:bCs/>
          <w:sz w:val="24"/>
        </w:rPr>
      </w:pPr>
      <w:r>
        <w:rPr>
          <w:rFonts w:hint="eastAsia" w:ascii="宋体" w:hAnsi="宋体" w:cs="宋体"/>
          <w:kern w:val="0"/>
          <w:sz w:val="24"/>
        </w:rPr>
        <w:t>乙方发生事故罚款时，履约保证金不足，可从合同金额中扣除。</w:t>
      </w:r>
    </w:p>
    <w:p w14:paraId="045220DB">
      <w:pPr>
        <w:spacing w:line="460" w:lineRule="exact"/>
        <w:rPr>
          <w:rFonts w:ascii="宋体" w:hAnsi="宋体" w:cs="宋体"/>
          <w:sz w:val="24"/>
        </w:rPr>
      </w:pPr>
      <w:r>
        <w:rPr>
          <w:rFonts w:hint="eastAsia" w:ascii="宋体" w:hAnsi="宋体" w:cs="宋体"/>
          <w:sz w:val="24"/>
        </w:rPr>
        <w:t>10.2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678E6B2D">
      <w:pPr>
        <w:spacing w:line="460" w:lineRule="exact"/>
        <w:jc w:val="left"/>
        <w:rPr>
          <w:rFonts w:ascii="宋体" w:hAnsi="宋体" w:cs="宋体"/>
          <w:bCs/>
          <w:sz w:val="24"/>
        </w:rPr>
      </w:pPr>
      <w:r>
        <w:rPr>
          <w:rFonts w:hint="eastAsia" w:ascii="宋体" w:hAnsi="宋体" w:cs="宋体"/>
          <w:sz w:val="24"/>
        </w:rPr>
        <w:t>10.3乙方作业过程中违反国家有关法律法规，受到行政、经济、刑事处罚的，由乙方自行承担责任。</w:t>
      </w:r>
    </w:p>
    <w:p w14:paraId="0930B78B">
      <w:pPr>
        <w:spacing w:line="460" w:lineRule="exact"/>
        <w:rPr>
          <w:rFonts w:ascii="宋体" w:hAnsi="宋体" w:cs="宋体"/>
          <w:sz w:val="24"/>
        </w:rPr>
      </w:pPr>
      <w:r>
        <w:rPr>
          <w:rFonts w:hint="eastAsia" w:ascii="宋体" w:hAnsi="宋体" w:cs="宋体"/>
          <w:sz w:val="24"/>
        </w:rPr>
        <w:t>10.4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14:paraId="211E2CE5">
      <w:pPr>
        <w:spacing w:line="460" w:lineRule="exact"/>
        <w:rPr>
          <w:rFonts w:ascii="宋体" w:hAnsi="宋体" w:cs="宋体"/>
          <w:sz w:val="24"/>
        </w:rPr>
      </w:pPr>
      <w:r>
        <w:rPr>
          <w:rFonts w:hint="eastAsia" w:ascii="宋体" w:hAnsi="宋体" w:cs="宋体"/>
          <w:sz w:val="24"/>
        </w:rPr>
        <w:t>10.5依据《甘蔗糖部质量安全环保绩效考核办法》相关要求，对承包商安全管理进行量化记点考核、违章处罚和“黑名单”制，考核标准：违反禁令扣2点/次、严重违章扣1.5点/次、一般违章扣1点/次，累计达到15点时，甘蔗糖部对相关公司和相关方发出预警。扣点20点的相关方解除承包合同，列入安全黑名单</w:t>
      </w:r>
      <w:bookmarkStart w:id="139" w:name="_Hlk151135068"/>
      <w:r>
        <w:rPr>
          <w:rFonts w:hint="eastAsia" w:ascii="宋体" w:hAnsi="宋体" w:cs="宋体"/>
          <w:sz w:val="24"/>
        </w:rPr>
        <w:t>(其他条件按照《承包商管理办法》8.4款)</w:t>
      </w:r>
      <w:bookmarkEnd w:id="139"/>
      <w:r>
        <w:rPr>
          <w:rFonts w:hint="eastAsia" w:ascii="宋体" w:hAnsi="宋体" w:cs="宋体"/>
          <w:sz w:val="24"/>
        </w:rPr>
        <w:t>，报生产技术部拉黑，从中粮糖业承包商库中进行除名。</w:t>
      </w:r>
    </w:p>
    <w:p w14:paraId="7CE7A22C">
      <w:pPr>
        <w:spacing w:line="460" w:lineRule="exact"/>
        <w:jc w:val="left"/>
        <w:rPr>
          <w:rFonts w:ascii="宋体" w:hAnsi="宋体" w:cs="宋体"/>
          <w:b/>
          <w:bCs/>
          <w:sz w:val="24"/>
        </w:rPr>
      </w:pPr>
      <w:bookmarkStart w:id="140" w:name="_Toc383301034"/>
      <w:bookmarkStart w:id="141" w:name="_Toc389985366"/>
      <w:bookmarkStart w:id="142" w:name="_Toc442016149"/>
      <w:bookmarkStart w:id="143" w:name="_Toc381911473"/>
      <w:bookmarkStart w:id="144" w:name="_Toc396037061"/>
      <w:bookmarkStart w:id="145" w:name="_Toc451698747"/>
      <w:bookmarkStart w:id="146" w:name="_Toc434694370"/>
      <w:bookmarkStart w:id="147" w:name="_Toc396036417"/>
      <w:bookmarkStart w:id="148" w:name="_Toc442022108"/>
      <w:bookmarkStart w:id="149" w:name="_Toc442133378"/>
      <w:bookmarkStart w:id="150" w:name="_Toc384944724"/>
      <w:r>
        <w:rPr>
          <w:rFonts w:hint="eastAsia" w:ascii="宋体" w:hAnsi="宋体" w:cs="宋体"/>
          <w:b/>
          <w:bCs/>
          <w:sz w:val="24"/>
        </w:rPr>
        <w:t>11违约责任</w:t>
      </w:r>
      <w:bookmarkEnd w:id="140"/>
      <w:bookmarkEnd w:id="141"/>
      <w:bookmarkEnd w:id="142"/>
      <w:bookmarkEnd w:id="143"/>
      <w:bookmarkEnd w:id="144"/>
      <w:bookmarkEnd w:id="145"/>
      <w:bookmarkEnd w:id="146"/>
      <w:bookmarkEnd w:id="147"/>
      <w:bookmarkEnd w:id="148"/>
      <w:bookmarkEnd w:id="149"/>
      <w:bookmarkEnd w:id="150"/>
    </w:p>
    <w:p w14:paraId="6B7A4E1E">
      <w:pPr>
        <w:spacing w:line="460" w:lineRule="exact"/>
        <w:jc w:val="left"/>
        <w:rPr>
          <w:rFonts w:ascii="宋体" w:hAnsi="宋体" w:cs="宋体"/>
          <w:bCs/>
          <w:sz w:val="24"/>
        </w:rPr>
      </w:pPr>
      <w:r>
        <w:rPr>
          <w:rFonts w:hint="eastAsia" w:ascii="宋体" w:hAnsi="宋体" w:cs="宋体"/>
          <w:sz w:val="24"/>
        </w:rPr>
        <w:t>11.1甲乙双方遵守</w:t>
      </w:r>
      <w:r>
        <w:rPr>
          <w:rFonts w:hint="eastAsia" w:ascii="宋体" w:hAnsi="宋体" w:cs="宋体"/>
          <w:bCs/>
          <w:sz w:val="24"/>
        </w:rPr>
        <w:t>法律、法规、规章规定的义务，</w:t>
      </w:r>
      <w:r>
        <w:rPr>
          <w:rFonts w:hint="eastAsia" w:ascii="宋体" w:hAnsi="宋体" w:cs="宋体"/>
          <w:sz w:val="24"/>
        </w:rPr>
        <w:t>并享有相应的</w:t>
      </w:r>
      <w:r>
        <w:rPr>
          <w:rFonts w:hint="eastAsia" w:ascii="宋体" w:hAnsi="宋体" w:cs="宋体"/>
          <w:bCs/>
          <w:sz w:val="24"/>
        </w:rPr>
        <w:t>权利。</w:t>
      </w:r>
    </w:p>
    <w:p w14:paraId="33F38A7A">
      <w:pPr>
        <w:spacing w:line="460" w:lineRule="exact"/>
        <w:jc w:val="left"/>
        <w:rPr>
          <w:rFonts w:ascii="宋体" w:hAnsi="宋体" w:cs="宋体"/>
          <w:b/>
          <w:sz w:val="24"/>
        </w:rPr>
      </w:pPr>
      <w:r>
        <w:rPr>
          <w:rFonts w:hint="eastAsia" w:ascii="宋体" w:hAnsi="宋体" w:cs="宋体"/>
          <w:b/>
          <w:bCs/>
          <w:sz w:val="24"/>
        </w:rPr>
        <w:t>11.1.1</w:t>
      </w:r>
      <w:r>
        <w:rPr>
          <w:rFonts w:hint="eastAsia" w:ascii="宋体" w:hAnsi="宋体" w:cs="宋体"/>
          <w:b/>
          <w:sz w:val="24"/>
        </w:rPr>
        <w:t>甲方违约</w:t>
      </w:r>
    </w:p>
    <w:p w14:paraId="45D6EAAC">
      <w:pPr>
        <w:spacing w:line="460" w:lineRule="exact"/>
        <w:ind w:firstLine="480" w:firstLineChars="200"/>
        <w:jc w:val="left"/>
        <w:rPr>
          <w:rFonts w:ascii="宋体" w:hAnsi="宋体" w:cs="宋体"/>
          <w:sz w:val="24"/>
        </w:rPr>
      </w:pPr>
      <w:r>
        <w:rPr>
          <w:rFonts w:hint="eastAsia" w:ascii="宋体" w:hAnsi="宋体" w:cs="宋体"/>
          <w:sz w:val="24"/>
        </w:rPr>
        <w:t>当发生下列情况之一的，甲方承担违约责任，依法赔偿给乙方造成的经济损失；因违约造成生产安全事故的，按照相关法律、法规、规章的规定，甲方依法承担相应责任：</w:t>
      </w:r>
    </w:p>
    <w:p w14:paraId="22CCA2C0">
      <w:pPr>
        <w:spacing w:line="460" w:lineRule="exact"/>
        <w:ind w:firstLine="480" w:firstLineChars="200"/>
        <w:jc w:val="left"/>
        <w:rPr>
          <w:rFonts w:ascii="宋体" w:hAnsi="宋体" w:cs="宋体"/>
          <w:sz w:val="24"/>
        </w:rPr>
      </w:pPr>
      <w:r>
        <w:rPr>
          <w:rFonts w:hint="eastAsia" w:ascii="宋体" w:hAnsi="宋体" w:cs="宋体"/>
          <w:sz w:val="24"/>
        </w:rPr>
        <w:t>——甲方擅自压缩项目合同约定的工期，违章指挥或者强令乙方及其从业人员冒险作业的；</w:t>
      </w:r>
    </w:p>
    <w:p w14:paraId="3286E0C9">
      <w:pPr>
        <w:spacing w:line="460" w:lineRule="exact"/>
        <w:ind w:firstLine="480" w:firstLineChars="200"/>
        <w:jc w:val="left"/>
        <w:rPr>
          <w:rFonts w:ascii="宋体" w:hAnsi="宋体" w:cs="宋体"/>
          <w:sz w:val="24"/>
        </w:rPr>
      </w:pPr>
      <w:r>
        <w:rPr>
          <w:rFonts w:hint="eastAsia" w:ascii="宋体" w:hAnsi="宋体" w:cs="宋体"/>
          <w:sz w:val="24"/>
        </w:rPr>
        <w:t>——甲方未提供项目施工作业所必要的图纸资料，未向乙方进行技术交底的；</w:t>
      </w:r>
    </w:p>
    <w:p w14:paraId="38F5208C">
      <w:pPr>
        <w:spacing w:line="460" w:lineRule="exact"/>
        <w:ind w:firstLine="480" w:firstLineChars="200"/>
        <w:jc w:val="left"/>
        <w:rPr>
          <w:rFonts w:ascii="宋体" w:hAnsi="宋体" w:cs="宋体"/>
          <w:sz w:val="24"/>
        </w:rPr>
      </w:pPr>
      <w:r>
        <w:rPr>
          <w:rFonts w:hint="eastAsia" w:ascii="宋体" w:hAnsi="宋体" w:cs="宋体"/>
          <w:sz w:val="24"/>
        </w:rPr>
        <w:t>——甲方不能提供合法的外包项目的；</w:t>
      </w:r>
    </w:p>
    <w:p w14:paraId="5C5139BF">
      <w:pPr>
        <w:spacing w:line="460" w:lineRule="exact"/>
        <w:ind w:firstLine="480" w:firstLineChars="200"/>
        <w:jc w:val="left"/>
        <w:rPr>
          <w:rFonts w:ascii="宋体" w:hAnsi="宋体" w:cs="宋体"/>
          <w:sz w:val="24"/>
        </w:rPr>
      </w:pPr>
      <w:r>
        <w:rPr>
          <w:rFonts w:hint="eastAsia" w:ascii="宋体" w:hAnsi="宋体" w:cs="宋体"/>
          <w:sz w:val="24"/>
        </w:rPr>
        <w:t>——甲方不能保证与外包项目有关的生产系统安全设施正常运行的；</w:t>
      </w:r>
    </w:p>
    <w:p w14:paraId="418273B7">
      <w:pPr>
        <w:spacing w:line="460" w:lineRule="exact"/>
        <w:ind w:firstLine="480" w:firstLineChars="200"/>
        <w:jc w:val="left"/>
        <w:rPr>
          <w:rFonts w:ascii="宋体" w:hAnsi="宋体" w:cs="宋体"/>
          <w:sz w:val="24"/>
        </w:rPr>
      </w:pPr>
      <w:r>
        <w:rPr>
          <w:rFonts w:hint="eastAsia" w:ascii="宋体" w:hAnsi="宋体" w:cs="宋体"/>
          <w:sz w:val="24"/>
        </w:rPr>
        <w:t>——甲方违反项目设计安排乙方施工作业的；</w:t>
      </w:r>
    </w:p>
    <w:p w14:paraId="00B69A47">
      <w:pPr>
        <w:spacing w:line="460" w:lineRule="exact"/>
        <w:ind w:firstLine="480" w:firstLineChars="200"/>
        <w:jc w:val="left"/>
        <w:rPr>
          <w:rFonts w:ascii="宋体" w:hAnsi="宋体" w:cs="宋体"/>
          <w:sz w:val="24"/>
        </w:rPr>
      </w:pPr>
      <w:r>
        <w:rPr>
          <w:rFonts w:hint="eastAsia" w:ascii="宋体" w:hAnsi="宋体" w:cs="宋体"/>
          <w:sz w:val="24"/>
        </w:rPr>
        <w:t>——甲方未按照合同或者协议约定支付应当由甲方承担的项目安全生产费用的；</w:t>
      </w:r>
    </w:p>
    <w:p w14:paraId="34A9CC39">
      <w:pPr>
        <w:spacing w:line="460" w:lineRule="exact"/>
        <w:ind w:firstLine="480" w:firstLineChars="200"/>
        <w:jc w:val="left"/>
        <w:rPr>
          <w:rFonts w:ascii="宋体" w:hAnsi="宋体" w:cs="宋体"/>
          <w:sz w:val="24"/>
        </w:rPr>
      </w:pPr>
      <w:r>
        <w:rPr>
          <w:rFonts w:hint="eastAsia" w:ascii="宋体" w:hAnsi="宋体" w:cs="宋体"/>
          <w:sz w:val="24"/>
        </w:rPr>
        <w:t>——发生事故后，甲方未及时组织开展应急救援工作的；</w:t>
      </w:r>
    </w:p>
    <w:p w14:paraId="63B27F99">
      <w:pPr>
        <w:spacing w:line="460" w:lineRule="exact"/>
        <w:ind w:firstLine="480" w:firstLineChars="200"/>
        <w:jc w:val="left"/>
        <w:rPr>
          <w:rFonts w:ascii="宋体" w:hAnsi="宋体" w:cs="宋体"/>
          <w:sz w:val="24"/>
        </w:rPr>
      </w:pPr>
      <w:r>
        <w:rPr>
          <w:rFonts w:hint="eastAsia" w:ascii="宋体" w:hAnsi="宋体" w:cs="宋体"/>
          <w:sz w:val="24"/>
        </w:rPr>
        <w:t>——甲方不履行协议义务或不按协议约定履行义务的其他情况。</w:t>
      </w:r>
    </w:p>
    <w:p w14:paraId="1D868494">
      <w:pPr>
        <w:spacing w:line="460" w:lineRule="exact"/>
        <w:jc w:val="left"/>
        <w:rPr>
          <w:rFonts w:ascii="宋体" w:hAnsi="宋体" w:cs="宋体"/>
          <w:b/>
          <w:sz w:val="24"/>
        </w:rPr>
      </w:pPr>
      <w:r>
        <w:rPr>
          <w:rFonts w:hint="eastAsia" w:ascii="宋体" w:hAnsi="宋体" w:cs="宋体"/>
          <w:b/>
          <w:sz w:val="24"/>
        </w:rPr>
        <w:t>11.1.2乙方违约</w:t>
      </w:r>
    </w:p>
    <w:p w14:paraId="632331F4">
      <w:pPr>
        <w:spacing w:line="460" w:lineRule="exact"/>
        <w:ind w:firstLine="480" w:firstLineChars="200"/>
        <w:jc w:val="left"/>
        <w:rPr>
          <w:rFonts w:ascii="宋体" w:hAnsi="宋体" w:cs="宋体"/>
          <w:sz w:val="24"/>
        </w:rPr>
      </w:pPr>
      <w:r>
        <w:rPr>
          <w:rFonts w:hint="eastAsia" w:ascii="宋体" w:hAnsi="宋体" w:cs="宋体"/>
          <w:sz w:val="24"/>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14:paraId="4A891148">
      <w:pPr>
        <w:spacing w:line="460" w:lineRule="exact"/>
        <w:ind w:firstLine="480" w:firstLineChars="200"/>
        <w:jc w:val="left"/>
        <w:rPr>
          <w:rFonts w:ascii="宋体" w:hAnsi="宋体" w:cs="宋体"/>
          <w:sz w:val="24"/>
        </w:rPr>
      </w:pPr>
      <w:r>
        <w:rPr>
          <w:rFonts w:hint="eastAsia" w:ascii="宋体" w:hAnsi="宋体" w:cs="宋体"/>
          <w:sz w:val="24"/>
        </w:rPr>
        <w:t>——乙方未按照合同或者协议约定将甲方提供的安全生产费用落实到位、专款专用的；</w:t>
      </w:r>
    </w:p>
    <w:p w14:paraId="6F9B3BE7">
      <w:pPr>
        <w:spacing w:line="460" w:lineRule="exact"/>
        <w:ind w:firstLine="480" w:firstLineChars="200"/>
        <w:jc w:val="left"/>
        <w:rPr>
          <w:rFonts w:ascii="宋体" w:hAnsi="宋体" w:cs="宋体"/>
          <w:sz w:val="24"/>
        </w:rPr>
      </w:pPr>
      <w:r>
        <w:rPr>
          <w:rFonts w:hint="eastAsia" w:ascii="宋体" w:hAnsi="宋体" w:cs="宋体"/>
          <w:sz w:val="24"/>
        </w:rPr>
        <w:t>——乙方不能保证与承揽项目规模相匹配的施工资质、技术人员、特种作业人员和设备设施的；</w:t>
      </w:r>
    </w:p>
    <w:p w14:paraId="7584B563">
      <w:pPr>
        <w:spacing w:line="460" w:lineRule="exact"/>
        <w:ind w:firstLine="480" w:firstLineChars="200"/>
        <w:jc w:val="left"/>
        <w:rPr>
          <w:rFonts w:ascii="宋体" w:hAnsi="宋体" w:cs="宋体"/>
          <w:sz w:val="24"/>
        </w:rPr>
      </w:pPr>
      <w:r>
        <w:rPr>
          <w:rFonts w:hint="eastAsia" w:ascii="宋体" w:hAnsi="宋体" w:cs="宋体"/>
          <w:sz w:val="24"/>
        </w:rPr>
        <w:t>——乙方有关资质、证照已过期的，或者安排证件已过期的各类应持证人员上岗作业的；</w:t>
      </w:r>
    </w:p>
    <w:p w14:paraId="1D2071B7">
      <w:pPr>
        <w:spacing w:line="460" w:lineRule="exact"/>
        <w:ind w:firstLine="480" w:firstLineChars="200"/>
        <w:jc w:val="left"/>
        <w:rPr>
          <w:rFonts w:ascii="宋体" w:hAnsi="宋体" w:cs="宋体"/>
          <w:sz w:val="24"/>
        </w:rPr>
      </w:pPr>
      <w:r>
        <w:rPr>
          <w:rFonts w:hint="eastAsia" w:ascii="宋体" w:hAnsi="宋体" w:cs="宋体"/>
          <w:sz w:val="24"/>
        </w:rPr>
        <w:t>——乙方人员违章指挥或者违章作业的；</w:t>
      </w:r>
    </w:p>
    <w:p w14:paraId="07994C41">
      <w:pPr>
        <w:spacing w:line="460" w:lineRule="exact"/>
        <w:ind w:firstLine="480" w:firstLineChars="200"/>
        <w:jc w:val="left"/>
        <w:rPr>
          <w:rFonts w:ascii="宋体" w:hAnsi="宋体" w:cs="宋体"/>
          <w:sz w:val="24"/>
        </w:rPr>
      </w:pPr>
      <w:r>
        <w:rPr>
          <w:rFonts w:hint="eastAsia" w:ascii="宋体" w:hAnsi="宋体" w:cs="宋体"/>
          <w:sz w:val="24"/>
        </w:rPr>
        <w:t>——乙方现场安全管理不到位的；</w:t>
      </w:r>
    </w:p>
    <w:p w14:paraId="61AFB782">
      <w:pPr>
        <w:spacing w:line="460" w:lineRule="exact"/>
        <w:ind w:firstLine="480" w:firstLineChars="200"/>
        <w:jc w:val="left"/>
        <w:rPr>
          <w:rFonts w:ascii="宋体" w:hAnsi="宋体" w:cs="宋体"/>
          <w:sz w:val="24"/>
        </w:rPr>
      </w:pPr>
      <w:r>
        <w:rPr>
          <w:rFonts w:hint="eastAsia" w:ascii="宋体" w:hAnsi="宋体" w:cs="宋体"/>
          <w:sz w:val="24"/>
        </w:rPr>
        <w:t>——发生事故后，乙方未及时开展应急救援工作的；</w:t>
      </w:r>
    </w:p>
    <w:p w14:paraId="17892C57">
      <w:pPr>
        <w:spacing w:line="460" w:lineRule="exact"/>
        <w:ind w:firstLine="480" w:firstLineChars="200"/>
        <w:jc w:val="left"/>
        <w:rPr>
          <w:rFonts w:ascii="宋体" w:hAnsi="宋体" w:cs="宋体"/>
          <w:sz w:val="24"/>
        </w:rPr>
      </w:pPr>
      <w:r>
        <w:rPr>
          <w:rFonts w:hint="eastAsia" w:ascii="宋体" w:hAnsi="宋体" w:cs="宋体"/>
          <w:sz w:val="24"/>
        </w:rPr>
        <w:t>——乙方不履行协议义务或者未按协议约定履行义务的其他情况。</w:t>
      </w:r>
    </w:p>
    <w:p w14:paraId="0D870C09">
      <w:pPr>
        <w:spacing w:line="460" w:lineRule="exact"/>
        <w:jc w:val="left"/>
        <w:rPr>
          <w:rFonts w:ascii="宋体" w:hAnsi="宋体" w:cs="宋体"/>
          <w:b/>
          <w:bCs/>
          <w:sz w:val="24"/>
        </w:rPr>
      </w:pPr>
      <w:bookmarkStart w:id="151" w:name="_Toc442133379"/>
      <w:bookmarkStart w:id="152" w:name="_Toc451698748"/>
      <w:bookmarkStart w:id="153" w:name="_Toc442016150"/>
      <w:bookmarkStart w:id="154" w:name="_Toc389985367"/>
      <w:bookmarkStart w:id="155" w:name="_Toc434694371"/>
      <w:bookmarkStart w:id="156" w:name="_Toc383301035"/>
      <w:bookmarkStart w:id="157" w:name="_Toc442022109"/>
      <w:bookmarkStart w:id="158" w:name="_Toc396036418"/>
      <w:bookmarkStart w:id="159" w:name="_Toc384944725"/>
      <w:bookmarkStart w:id="160" w:name="_Toc396037062"/>
      <w:bookmarkStart w:id="161" w:name="_Toc381911474"/>
      <w:r>
        <w:rPr>
          <w:rFonts w:hint="eastAsia" w:ascii="宋体" w:hAnsi="宋体" w:cs="宋体"/>
          <w:b/>
          <w:bCs/>
          <w:sz w:val="24"/>
        </w:rPr>
        <w:t>12补充条款</w:t>
      </w:r>
      <w:bookmarkEnd w:id="151"/>
      <w:bookmarkEnd w:id="152"/>
      <w:bookmarkEnd w:id="153"/>
      <w:bookmarkEnd w:id="154"/>
      <w:bookmarkEnd w:id="155"/>
      <w:bookmarkEnd w:id="156"/>
      <w:bookmarkEnd w:id="157"/>
      <w:bookmarkEnd w:id="158"/>
      <w:bookmarkEnd w:id="159"/>
      <w:bookmarkEnd w:id="160"/>
      <w:bookmarkEnd w:id="161"/>
    </w:p>
    <w:p w14:paraId="78250126">
      <w:pPr>
        <w:spacing w:line="460" w:lineRule="exact"/>
        <w:ind w:firstLine="480" w:firstLineChars="200"/>
        <w:jc w:val="left"/>
        <w:rPr>
          <w:rFonts w:ascii="宋体" w:hAnsi="宋体" w:cs="宋体"/>
          <w:sz w:val="24"/>
        </w:rPr>
      </w:pPr>
      <w:r>
        <w:rPr>
          <w:rFonts w:hint="eastAsia" w:ascii="宋体" w:hAnsi="宋体" w:cs="宋体"/>
          <w:sz w:val="24"/>
        </w:rPr>
        <w:t xml:space="preserve">甲乙双方在遵守有关法律、法规、规章和标准的前提下，结合项目施工实际，经协商一致后，可对以上条款内容进行补充但不得相悖，补充条款与本协议其他条款具有同等法律效力。 </w:t>
      </w:r>
    </w:p>
    <w:p w14:paraId="40A11054">
      <w:pPr>
        <w:spacing w:line="460" w:lineRule="exact"/>
        <w:jc w:val="left"/>
        <w:rPr>
          <w:rFonts w:ascii="宋体" w:hAnsi="宋体" w:cs="宋体"/>
          <w:b/>
          <w:bCs/>
          <w:sz w:val="24"/>
        </w:rPr>
      </w:pPr>
      <w:bookmarkStart w:id="162" w:name="_Toc389985368"/>
      <w:bookmarkStart w:id="163" w:name="_Toc442133380"/>
      <w:bookmarkStart w:id="164" w:name="_Toc396037063"/>
      <w:bookmarkStart w:id="165" w:name="_Toc434694372"/>
      <w:bookmarkStart w:id="166" w:name="_Toc451698749"/>
      <w:bookmarkStart w:id="167" w:name="_Toc442022110"/>
      <w:bookmarkStart w:id="168" w:name="_Toc442016151"/>
      <w:bookmarkStart w:id="169" w:name="_Toc381911475"/>
      <w:bookmarkStart w:id="170" w:name="_Toc384944726"/>
      <w:bookmarkStart w:id="171" w:name="_Toc396036419"/>
      <w:bookmarkStart w:id="172" w:name="_Toc383301036"/>
      <w:r>
        <w:rPr>
          <w:rFonts w:hint="eastAsia" w:ascii="宋体" w:hAnsi="宋体" w:cs="宋体"/>
          <w:b/>
          <w:bCs/>
          <w:sz w:val="24"/>
        </w:rPr>
        <w:t>13协议生效</w:t>
      </w:r>
      <w:bookmarkEnd w:id="162"/>
      <w:bookmarkEnd w:id="163"/>
      <w:bookmarkEnd w:id="164"/>
      <w:bookmarkEnd w:id="165"/>
      <w:bookmarkEnd w:id="166"/>
      <w:bookmarkEnd w:id="167"/>
      <w:bookmarkEnd w:id="168"/>
      <w:bookmarkEnd w:id="169"/>
      <w:bookmarkEnd w:id="170"/>
      <w:bookmarkEnd w:id="171"/>
      <w:bookmarkEnd w:id="172"/>
    </w:p>
    <w:p w14:paraId="2AB4EBBF">
      <w:pPr>
        <w:snapToGrid w:val="0"/>
        <w:spacing w:line="460" w:lineRule="exact"/>
        <w:ind w:firstLine="511" w:firstLineChars="213"/>
        <w:rPr>
          <w:rFonts w:ascii="宋体" w:hAnsi="宋体" w:cs="宋体"/>
          <w:sz w:val="24"/>
        </w:rPr>
      </w:pPr>
      <w:r>
        <w:rPr>
          <w:rFonts w:hint="eastAsia" w:ascii="宋体" w:hAnsi="宋体" w:cs="宋体"/>
          <w:sz w:val="24"/>
        </w:rPr>
        <w:t>本协议与合同具有同等效力。本协议一式两份，甲、乙双方各持一份，双方盖章后生效，具有同等的法律效力。</w:t>
      </w:r>
    </w:p>
    <w:p w14:paraId="481B8E10">
      <w:pPr>
        <w:autoSpaceDE w:val="0"/>
        <w:autoSpaceDN w:val="0"/>
        <w:spacing w:line="460" w:lineRule="exact"/>
        <w:jc w:val="left"/>
        <w:rPr>
          <w:rFonts w:ascii="宋体" w:hAnsi="宋体" w:cs="宋体"/>
          <w:kern w:val="0"/>
          <w:sz w:val="24"/>
          <w:lang w:val="zh-CN" w:bidi="zh-CN"/>
        </w:rPr>
      </w:pPr>
    </w:p>
    <w:p w14:paraId="23D34FB2">
      <w:pPr>
        <w:autoSpaceDE w:val="0"/>
        <w:autoSpaceDN w:val="0"/>
        <w:spacing w:line="460" w:lineRule="exact"/>
        <w:jc w:val="right"/>
        <w:rPr>
          <w:rFonts w:hint="eastAsia" w:ascii="宋体" w:hAnsi="宋体" w:cs="宋体"/>
          <w:kern w:val="0"/>
          <w:sz w:val="24"/>
          <w:lang w:val="zh-CN" w:bidi="zh-CN"/>
        </w:rPr>
      </w:pPr>
    </w:p>
    <w:p w14:paraId="673456DE">
      <w:pPr>
        <w:autoSpaceDE w:val="0"/>
        <w:autoSpaceDN w:val="0"/>
        <w:spacing w:line="460" w:lineRule="exact"/>
        <w:jc w:val="both"/>
        <w:rPr>
          <w:rFonts w:ascii="宋体" w:hAnsi="宋体" w:cs="宋体"/>
          <w:kern w:val="0"/>
          <w:sz w:val="24"/>
          <w:lang w:val="zh-CN" w:bidi="zh-CN"/>
        </w:rPr>
      </w:pPr>
      <w:r>
        <w:rPr>
          <w:rFonts w:hint="eastAsia" w:ascii="宋体" w:hAnsi="宋体" w:cs="宋体"/>
          <w:kern w:val="0"/>
          <w:sz w:val="24"/>
          <w:lang w:val="zh-CN" w:bidi="zh-CN"/>
        </w:rPr>
        <w:t>甲方(盖章)：</w:t>
      </w:r>
      <w:r>
        <w:rPr>
          <w:rFonts w:hint="eastAsia" w:ascii="宋体" w:hAnsi="宋体" w:cs="宋体"/>
          <w:kern w:val="0"/>
          <w:sz w:val="24"/>
          <w:lang w:bidi="zh-CN"/>
        </w:rPr>
        <w:t>英德市粤北糖业有限公司</w:t>
      </w:r>
      <w:r>
        <w:rPr>
          <w:rFonts w:hint="eastAsia" w:ascii="宋体" w:hAnsi="宋体" w:cs="宋体"/>
          <w:kern w:val="0"/>
          <w:sz w:val="24"/>
          <w:lang w:val="zh-CN" w:bidi="zh-CN"/>
        </w:rPr>
        <w:t xml:space="preserve">   </w:t>
      </w:r>
      <w:r>
        <w:rPr>
          <w:rFonts w:hint="eastAsia" w:ascii="宋体" w:hAnsi="宋体" w:cs="宋体"/>
          <w:kern w:val="0"/>
          <w:sz w:val="24"/>
          <w:lang w:val="en-US" w:bidi="zh-CN"/>
        </w:rPr>
        <w:t xml:space="preserve">  </w:t>
      </w:r>
      <w:r>
        <w:rPr>
          <w:rFonts w:hint="eastAsia" w:ascii="宋体" w:hAnsi="宋体" w:cs="宋体"/>
          <w:kern w:val="0"/>
          <w:sz w:val="24"/>
          <w:lang w:val="zh-CN" w:bidi="zh-CN"/>
        </w:rPr>
        <w:t>乙方(盖章)：</w:t>
      </w:r>
    </w:p>
    <w:p w14:paraId="250F9968">
      <w:pPr>
        <w:autoSpaceDE w:val="0"/>
        <w:autoSpaceDN w:val="0"/>
        <w:spacing w:line="460" w:lineRule="exact"/>
        <w:jc w:val="left"/>
        <w:rPr>
          <w:rFonts w:ascii="宋体" w:hAnsi="宋体" w:cs="宋体"/>
          <w:kern w:val="0"/>
          <w:sz w:val="24"/>
          <w:lang w:val="zh-CN" w:bidi="zh-CN"/>
        </w:rPr>
      </w:pPr>
      <w:r>
        <w:rPr>
          <w:rFonts w:hint="eastAsia" w:ascii="宋体" w:hAnsi="宋体" w:cs="宋体"/>
          <w:kern w:val="0"/>
          <w:sz w:val="24"/>
          <w:lang w:val="zh-CN" w:bidi="zh-CN"/>
        </w:rPr>
        <w:t>企业负责人(签字)：</w:t>
      </w:r>
      <w:r>
        <w:rPr>
          <w:rFonts w:hint="eastAsia" w:ascii="宋体" w:hAnsi="宋体" w:cs="宋体"/>
          <w:kern w:val="0"/>
          <w:sz w:val="24"/>
          <w:lang w:bidi="zh-CN"/>
        </w:rPr>
        <w:t>冯磊</w:t>
      </w:r>
      <w:r>
        <w:rPr>
          <w:rFonts w:hint="eastAsia" w:ascii="宋体" w:hAnsi="宋体" w:cs="宋体"/>
          <w:kern w:val="0"/>
          <w:sz w:val="24"/>
          <w:lang w:val="zh-CN" w:bidi="zh-CN"/>
        </w:rPr>
        <w:t xml:space="preserve">                 企业负责人(签字)：</w:t>
      </w:r>
    </w:p>
    <w:p w14:paraId="66330FE8">
      <w:pPr>
        <w:autoSpaceDE w:val="0"/>
        <w:autoSpaceDN w:val="0"/>
        <w:spacing w:line="460" w:lineRule="exact"/>
        <w:jc w:val="left"/>
        <w:rPr>
          <w:rFonts w:ascii="宋体" w:hAnsi="宋体" w:cs="宋体"/>
          <w:kern w:val="0"/>
          <w:sz w:val="24"/>
          <w:lang w:val="zh-CN" w:bidi="zh-CN"/>
        </w:rPr>
      </w:pPr>
      <w:r>
        <w:rPr>
          <w:rFonts w:hint="eastAsia" w:ascii="宋体" w:hAnsi="宋体" w:cs="宋体"/>
          <w:kern w:val="0"/>
          <w:sz w:val="24"/>
          <w:lang w:val="en-US" w:bidi="zh-CN"/>
        </w:rPr>
        <w:t>盖章</w:t>
      </w:r>
      <w:r>
        <w:rPr>
          <w:rFonts w:hint="eastAsia" w:ascii="宋体" w:hAnsi="宋体" w:cs="宋体"/>
          <w:kern w:val="0"/>
          <w:sz w:val="24"/>
          <w:lang w:val="zh-CN" w:bidi="zh-CN"/>
        </w:rPr>
        <w:t xml:space="preserve">：                  </w:t>
      </w:r>
      <w:r>
        <w:rPr>
          <w:rFonts w:hint="eastAsia" w:ascii="宋体" w:hAnsi="宋体" w:cs="宋体"/>
          <w:kern w:val="0"/>
          <w:sz w:val="24"/>
          <w:lang w:val="en-US" w:bidi="zh-CN"/>
        </w:rPr>
        <w:t xml:space="preserve">               </w:t>
      </w:r>
      <w:r>
        <w:rPr>
          <w:rFonts w:hint="eastAsia" w:ascii="宋体" w:hAnsi="宋体" w:cs="宋体"/>
          <w:kern w:val="0"/>
          <w:sz w:val="24"/>
          <w:lang w:val="zh-CN" w:bidi="zh-CN"/>
        </w:rPr>
        <w:t xml:space="preserve"> 或委托代理人(签字)：</w:t>
      </w:r>
    </w:p>
    <w:p w14:paraId="7B36C859">
      <w:pPr>
        <w:autoSpaceDE w:val="0"/>
        <w:autoSpaceDN w:val="0"/>
        <w:spacing w:line="460" w:lineRule="exact"/>
        <w:jc w:val="left"/>
        <w:rPr>
          <w:rFonts w:ascii="宋体" w:hAnsi="宋体" w:cs="宋体"/>
          <w:kern w:val="0"/>
          <w:sz w:val="24"/>
          <w:lang w:val="zh-CN" w:bidi="zh-CN"/>
        </w:rPr>
      </w:pPr>
      <w:r>
        <w:rPr>
          <w:rFonts w:hint="eastAsia" w:ascii="宋体" w:hAnsi="宋体" w:cs="宋体"/>
          <w:kern w:val="0"/>
          <w:sz w:val="24"/>
          <w:lang w:val="zh-CN" w:bidi="zh-CN"/>
        </w:rPr>
        <w:t>联系电话：</w:t>
      </w:r>
      <w:r>
        <w:rPr>
          <w:rFonts w:hint="eastAsia" w:ascii="宋体" w:hAnsi="宋体" w:cs="宋体"/>
          <w:kern w:val="0"/>
          <w:sz w:val="24"/>
          <w:lang w:bidi="zh-CN"/>
        </w:rPr>
        <w:t>0763-2855187</w:t>
      </w:r>
      <w:r>
        <w:rPr>
          <w:rFonts w:hint="eastAsia" w:ascii="宋体" w:hAnsi="宋体" w:cs="宋体"/>
          <w:kern w:val="0"/>
          <w:sz w:val="24"/>
          <w:lang w:val="zh-CN" w:bidi="zh-CN"/>
        </w:rPr>
        <w:t xml:space="preserve">            </w:t>
      </w:r>
      <w:r>
        <w:rPr>
          <w:rFonts w:hint="eastAsia" w:ascii="宋体" w:hAnsi="宋体" w:cs="宋体"/>
          <w:kern w:val="0"/>
          <w:sz w:val="24"/>
          <w:lang w:val="en-US" w:bidi="zh-CN"/>
        </w:rPr>
        <w:t xml:space="preserve">     </w:t>
      </w:r>
      <w:r>
        <w:rPr>
          <w:rFonts w:hint="eastAsia" w:ascii="宋体" w:hAnsi="宋体" w:cs="宋体"/>
          <w:kern w:val="0"/>
          <w:sz w:val="24"/>
          <w:lang w:val="zh-CN" w:bidi="zh-CN"/>
        </w:rPr>
        <w:t>联系电话：</w:t>
      </w:r>
      <w:r>
        <w:rPr>
          <w:rFonts w:hint="eastAsia" w:ascii="宋体" w:hAnsi="宋体" w:cs="宋体"/>
          <w:kern w:val="0"/>
          <w:sz w:val="24"/>
          <w:lang w:val="en-US" w:bidi="zh-CN"/>
        </w:rPr>
        <w:t xml:space="preserve"> </w:t>
      </w:r>
    </w:p>
    <w:p w14:paraId="32929A2B">
      <w:pPr>
        <w:autoSpaceDE w:val="0"/>
        <w:autoSpaceDN w:val="0"/>
        <w:spacing w:line="460" w:lineRule="exact"/>
        <w:jc w:val="left"/>
        <w:rPr>
          <w:rFonts w:ascii="宋体" w:hAnsi="宋体" w:cs="宋体"/>
          <w:kern w:val="0"/>
          <w:sz w:val="24"/>
          <w:lang w:val="zh-CN" w:bidi="zh-CN"/>
        </w:rPr>
      </w:pPr>
      <w:r>
        <w:rPr>
          <w:rFonts w:hint="eastAsia" w:ascii="宋体" w:hAnsi="宋体" w:cs="宋体"/>
          <w:kern w:val="0"/>
          <w:sz w:val="24"/>
          <w:lang w:val="zh-CN" w:bidi="zh-CN"/>
        </w:rPr>
        <w:t>日期：</w:t>
      </w:r>
      <w:r>
        <w:rPr>
          <w:rFonts w:hint="eastAsia" w:ascii="宋体" w:hAnsi="宋体" w:cs="宋体"/>
          <w:kern w:val="0"/>
          <w:sz w:val="24"/>
          <w:lang w:val="en-US" w:bidi="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 日  </w:t>
      </w:r>
      <w:r>
        <w:rPr>
          <w:rFonts w:hint="eastAsia" w:ascii="宋体" w:hAnsi="宋体" w:cs="宋体"/>
          <w:kern w:val="0"/>
          <w:sz w:val="24"/>
          <w:lang w:val="zh-CN" w:bidi="zh-CN"/>
        </w:rPr>
        <w:t xml:space="preserve">                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  </w:t>
      </w:r>
    </w:p>
    <w:p w14:paraId="2949C27B"/>
    <w:p w14:paraId="685E8A5B">
      <w:pPr>
        <w:keepNext/>
        <w:spacing w:line="500" w:lineRule="exact"/>
        <w:jc w:val="left"/>
        <w:rPr>
          <w:rFonts w:hint="eastAsia" w:hAnsi="宋体" w:eastAsia="宋体"/>
          <w:sz w:val="24"/>
          <w:lang w:val="en-US" w:eastAsia="zh-CN"/>
        </w:rPr>
      </w:pPr>
      <w:r>
        <w:rPr>
          <w:rFonts w:hint="eastAsia" w:hAnsi="宋体"/>
          <w:sz w:val="24"/>
        </w:rPr>
        <w:t>附件</w:t>
      </w:r>
      <w:r>
        <w:rPr>
          <w:rFonts w:hint="eastAsia" w:hAnsi="宋体"/>
          <w:sz w:val="24"/>
          <w:lang w:val="en-US" w:eastAsia="zh-CN"/>
        </w:rPr>
        <w:t>二</w:t>
      </w:r>
    </w:p>
    <w:p w14:paraId="3A20E0BC">
      <w:pPr>
        <w:keepNext/>
        <w:spacing w:line="500" w:lineRule="exact"/>
        <w:jc w:val="center"/>
        <w:rPr>
          <w:rFonts w:hAnsi="宋体"/>
          <w:sz w:val="28"/>
          <w:szCs w:val="28"/>
        </w:rPr>
      </w:pPr>
      <w:r>
        <w:rPr>
          <w:rFonts w:hint="eastAsia" w:hAnsi="宋体"/>
          <w:sz w:val="28"/>
          <w:szCs w:val="28"/>
        </w:rPr>
        <w:t>环保协议书</w:t>
      </w:r>
    </w:p>
    <w:p w14:paraId="0D76FE53">
      <w:pPr>
        <w:keepNext/>
        <w:keepLines/>
        <w:spacing w:line="400" w:lineRule="exact"/>
        <w:ind w:firstLine="480" w:firstLineChars="200"/>
        <w:jc w:val="left"/>
        <w:rPr>
          <w:rFonts w:ascii="宋体" w:hAnsi="宋体"/>
          <w:sz w:val="24"/>
        </w:rPr>
      </w:pPr>
      <w:r>
        <w:rPr>
          <w:rFonts w:hint="eastAsia" w:ascii="宋体" w:hAnsi="宋体"/>
          <w:sz w:val="24"/>
        </w:rPr>
        <w:t>甲方：（发包/定作方）：英德市粤北糖业有限公司</w:t>
      </w:r>
    </w:p>
    <w:p w14:paraId="387B2D99">
      <w:pPr>
        <w:keepNext/>
        <w:keepLines/>
        <w:spacing w:line="400" w:lineRule="exact"/>
        <w:ind w:firstLine="480" w:firstLineChars="200"/>
        <w:jc w:val="left"/>
        <w:outlineLvl w:val="3"/>
        <w:rPr>
          <w:rFonts w:hint="eastAsia" w:ascii="宋体" w:hAnsi="宋体" w:eastAsia="宋体"/>
          <w:sz w:val="24"/>
          <w:lang w:eastAsia="zh-CN"/>
        </w:rPr>
      </w:pPr>
      <w:r>
        <w:rPr>
          <w:rFonts w:hint="eastAsia" w:ascii="宋体" w:hAnsi="宋体"/>
          <w:sz w:val="24"/>
        </w:rPr>
        <w:t>乙方：（承包/承揽方）：</w:t>
      </w:r>
      <w:r>
        <w:rPr>
          <w:rFonts w:hint="eastAsia" w:ascii="宋体" w:hAnsi="宋体"/>
          <w:sz w:val="24"/>
          <w:lang w:val="zh-CN"/>
        </w:rPr>
        <w:t xml:space="preserve"> </w:t>
      </w:r>
      <w:r>
        <w:rPr>
          <w:rFonts w:hint="eastAsia" w:ascii="宋体" w:hAnsi="宋体"/>
          <w:sz w:val="24"/>
          <w:lang w:val="en-US" w:eastAsia="zh-CN"/>
        </w:rPr>
        <w:t xml:space="preserve"> </w:t>
      </w:r>
    </w:p>
    <w:p w14:paraId="061595E1">
      <w:pPr>
        <w:keepNext/>
        <w:keepLines/>
        <w:spacing w:line="400" w:lineRule="exact"/>
        <w:ind w:firstLine="480" w:firstLineChars="200"/>
        <w:jc w:val="left"/>
        <w:outlineLvl w:val="3"/>
        <w:rPr>
          <w:rFonts w:ascii="宋体" w:hAnsi="宋体"/>
          <w:sz w:val="24"/>
        </w:rPr>
      </w:pPr>
    </w:p>
    <w:p w14:paraId="07F22658">
      <w:pPr>
        <w:keepNext/>
        <w:keepLines/>
        <w:spacing w:line="400" w:lineRule="exact"/>
        <w:ind w:firstLine="480" w:firstLineChars="200"/>
        <w:jc w:val="left"/>
        <w:outlineLvl w:val="3"/>
        <w:rPr>
          <w:rFonts w:ascii="宋体" w:hAnsi="宋体"/>
          <w:sz w:val="24"/>
        </w:rPr>
      </w:pPr>
      <w:r>
        <w:rPr>
          <w:rFonts w:hint="eastAsia" w:ascii="宋体" w:hAnsi="宋体"/>
          <w:sz w:val="24"/>
        </w:rPr>
        <w:t>第一条 目的：为做好施工／服务现场环境保护工作，获得和保持良好的环境绩效，确保甲方环境管理体系的有效运行，经甲、乙双方协商，特签订以下施工环保协议。</w:t>
      </w:r>
    </w:p>
    <w:p w14:paraId="08ED7187">
      <w:pPr>
        <w:keepNext/>
        <w:keepLines/>
        <w:spacing w:line="400" w:lineRule="exact"/>
        <w:ind w:firstLine="480" w:firstLineChars="200"/>
        <w:jc w:val="left"/>
        <w:outlineLvl w:val="3"/>
        <w:rPr>
          <w:rFonts w:ascii="宋体" w:hAnsi="宋体"/>
          <w:sz w:val="24"/>
        </w:rPr>
      </w:pPr>
      <w:r>
        <w:rPr>
          <w:rFonts w:hint="eastAsia" w:ascii="宋体" w:hAnsi="宋体"/>
          <w:sz w:val="24"/>
        </w:rPr>
        <w:t xml:space="preserve">第二条 施工／服务项目： </w:t>
      </w:r>
    </w:p>
    <w:p w14:paraId="273AFC5B">
      <w:pPr>
        <w:keepNext/>
        <w:keepLines/>
        <w:spacing w:line="400" w:lineRule="exact"/>
        <w:ind w:firstLine="480" w:firstLineChars="200"/>
        <w:jc w:val="left"/>
        <w:outlineLvl w:val="3"/>
        <w:rPr>
          <w:rFonts w:ascii="宋体" w:hAnsi="宋体"/>
          <w:sz w:val="24"/>
          <w:u w:val="single"/>
        </w:rPr>
      </w:pPr>
      <w:r>
        <w:rPr>
          <w:rFonts w:hint="eastAsia" w:ascii="宋体" w:hAnsi="宋体"/>
          <w:sz w:val="24"/>
        </w:rPr>
        <w:t>第三条 施工／服务地点：</w:t>
      </w:r>
      <w:r>
        <w:rPr>
          <w:rFonts w:hint="eastAsia" w:ascii="宋体" w:hAnsi="宋体"/>
          <w:sz w:val="24"/>
          <w:u w:val="single"/>
        </w:rPr>
        <w:t xml:space="preserve"> 英德市粤北糖业有限公司（英德市浛洸镇西郊） </w:t>
      </w:r>
    </w:p>
    <w:p w14:paraId="2F5FE3FE">
      <w:pPr>
        <w:keepNext/>
        <w:keepLines/>
        <w:spacing w:line="400" w:lineRule="exact"/>
        <w:ind w:firstLine="480" w:firstLineChars="200"/>
        <w:jc w:val="left"/>
        <w:outlineLvl w:val="3"/>
        <w:rPr>
          <w:rFonts w:ascii="宋体" w:hAnsi="宋体"/>
          <w:sz w:val="24"/>
        </w:rPr>
      </w:pPr>
      <w:r>
        <w:rPr>
          <w:rFonts w:hint="eastAsia" w:ascii="宋体" w:hAnsi="宋体"/>
          <w:sz w:val="24"/>
        </w:rPr>
        <w:t>第四条 施工／服务时间：</w:t>
      </w:r>
      <w:r>
        <w:rPr>
          <w:rFonts w:hint="eastAsia" w:ascii="宋体" w:hAnsi="宋体"/>
          <w:sz w:val="24"/>
          <w:u w:val="single"/>
        </w:rPr>
        <w:t xml:space="preserve">合同签订日起至 </w:t>
      </w:r>
      <w:r>
        <w:rPr>
          <w:rFonts w:hint="eastAsia" w:ascii="宋体" w:hAnsi="宋体"/>
          <w:sz w:val="24"/>
          <w:u w:val="single"/>
          <w:lang w:val="en-US" w:eastAsia="zh-CN"/>
        </w:rPr>
        <w:t xml:space="preserve">  </w:t>
      </w:r>
      <w:r>
        <w:rPr>
          <w:rFonts w:hint="eastAsia" w:ascii="宋体" w:hAnsi="宋体"/>
          <w:sz w:val="24"/>
          <w:u w:val="single"/>
        </w:rPr>
        <w:t xml:space="preserve"> 年  </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r>
        <w:rPr>
          <w:rFonts w:hint="eastAsia" w:ascii="宋体" w:hAnsi="宋体"/>
          <w:sz w:val="24"/>
        </w:rPr>
        <w:t xml:space="preserve">。                                 </w:t>
      </w:r>
    </w:p>
    <w:p w14:paraId="258F4167">
      <w:pPr>
        <w:keepNext/>
        <w:keepLines/>
        <w:spacing w:line="400" w:lineRule="exact"/>
        <w:ind w:firstLine="480" w:firstLineChars="200"/>
        <w:jc w:val="left"/>
        <w:outlineLvl w:val="3"/>
        <w:rPr>
          <w:rFonts w:ascii="宋体" w:hAnsi="宋体"/>
          <w:sz w:val="24"/>
        </w:rPr>
      </w:pPr>
      <w:r>
        <w:rPr>
          <w:rFonts w:hint="eastAsia" w:ascii="宋体" w:hAnsi="宋体"/>
          <w:sz w:val="24"/>
        </w:rPr>
        <w:t>第五条 协议内容：</w:t>
      </w:r>
    </w:p>
    <w:p w14:paraId="290E1268">
      <w:pPr>
        <w:keepNext/>
        <w:keepLines/>
        <w:spacing w:line="400" w:lineRule="exact"/>
        <w:ind w:firstLine="480" w:firstLineChars="200"/>
        <w:jc w:val="left"/>
        <w:outlineLvl w:val="3"/>
        <w:rPr>
          <w:rFonts w:ascii="宋体" w:hAnsi="宋体"/>
          <w:sz w:val="24"/>
        </w:rPr>
      </w:pPr>
      <w:r>
        <w:rPr>
          <w:rFonts w:hint="eastAsia" w:ascii="宋体" w:hAnsi="宋体"/>
          <w:sz w:val="24"/>
        </w:rPr>
        <w:t>（一）本协议适宜于《中华人民共和国环境保护法》、《中华人民共和国水污染防治法》、《中华人民共和国环境噪声污染防治法》、《中华人民共和国固体废物污染环境防治法》等相关环保的法律、法规，甲、乙双方应共同遵守。</w:t>
      </w:r>
    </w:p>
    <w:p w14:paraId="779DAA89">
      <w:pPr>
        <w:keepNext/>
        <w:keepLines/>
        <w:spacing w:line="400" w:lineRule="exact"/>
        <w:ind w:firstLine="480" w:firstLineChars="200"/>
        <w:jc w:val="left"/>
        <w:outlineLvl w:val="3"/>
        <w:rPr>
          <w:rFonts w:ascii="宋体" w:hAnsi="宋体"/>
          <w:sz w:val="24"/>
        </w:rPr>
      </w:pPr>
      <w:r>
        <w:rPr>
          <w:rFonts w:hint="eastAsia" w:ascii="宋体" w:hAnsi="宋体"/>
          <w:sz w:val="24"/>
        </w:rPr>
        <w:t>（二）甲方环境管理方针是：严谨务实，顾客满意；遵纪守法，预防污染；秉持创新，追求卓越。</w:t>
      </w:r>
    </w:p>
    <w:p w14:paraId="721EB825">
      <w:pPr>
        <w:keepNext/>
        <w:keepLines/>
        <w:spacing w:line="400" w:lineRule="exact"/>
        <w:ind w:firstLine="480" w:firstLineChars="200"/>
        <w:jc w:val="left"/>
        <w:outlineLvl w:val="3"/>
        <w:rPr>
          <w:rFonts w:ascii="宋体" w:hAnsi="宋体"/>
          <w:sz w:val="24"/>
        </w:rPr>
      </w:pPr>
      <w:r>
        <w:rPr>
          <w:rFonts w:hint="eastAsia" w:ascii="宋体" w:hAnsi="宋体"/>
          <w:sz w:val="24"/>
        </w:rPr>
        <w:t>（三）乙方进入施工／服务现场作业，须遵守甲方环境管理体系相关文件规定的要求，并对在施工／服务现场作业的人员进行宣传。</w:t>
      </w:r>
    </w:p>
    <w:p w14:paraId="7C39EE03">
      <w:pPr>
        <w:keepNext/>
        <w:keepLines/>
        <w:spacing w:line="400" w:lineRule="exact"/>
        <w:ind w:firstLine="480" w:firstLineChars="200"/>
        <w:jc w:val="left"/>
        <w:outlineLvl w:val="3"/>
        <w:rPr>
          <w:rFonts w:ascii="宋体" w:hAnsi="宋体"/>
          <w:sz w:val="24"/>
        </w:rPr>
      </w:pPr>
      <w:r>
        <w:rPr>
          <w:rFonts w:hint="eastAsia" w:ascii="宋体" w:hAnsi="宋体"/>
          <w:sz w:val="24"/>
        </w:rPr>
        <w:t>（四）乙方施工／服务现场环境须遵循环境管理体系及法律法规有关作业场所的要求，场地功能划分及标识清楚，物资规范堆放和储存，保持现场的整洁有序。</w:t>
      </w:r>
    </w:p>
    <w:p w14:paraId="48AAF746">
      <w:pPr>
        <w:keepNext/>
        <w:keepLines/>
        <w:spacing w:line="400" w:lineRule="exact"/>
        <w:ind w:firstLine="480" w:firstLineChars="200"/>
        <w:jc w:val="left"/>
        <w:outlineLvl w:val="3"/>
        <w:rPr>
          <w:rFonts w:ascii="宋体" w:hAnsi="宋体"/>
          <w:sz w:val="24"/>
        </w:rPr>
      </w:pPr>
      <w:r>
        <w:rPr>
          <w:rFonts w:hint="eastAsia" w:ascii="宋体" w:hAnsi="宋体"/>
          <w:sz w:val="24"/>
        </w:rPr>
        <w:t>（五）乙方在现场作业的过程中，存在下列环境因素和作业时须要求现场工作人员，做好预防、排除、隔绝、控制及管理工作。</w:t>
      </w:r>
    </w:p>
    <w:p w14:paraId="2192BDB6">
      <w:pPr>
        <w:keepNext/>
        <w:keepLines/>
        <w:spacing w:line="400" w:lineRule="exact"/>
        <w:ind w:firstLine="480" w:firstLineChars="200"/>
        <w:jc w:val="left"/>
        <w:outlineLvl w:val="3"/>
        <w:rPr>
          <w:rFonts w:ascii="宋体" w:hAnsi="宋体"/>
          <w:sz w:val="24"/>
        </w:rPr>
      </w:pPr>
      <w:r>
        <w:rPr>
          <w:rFonts w:hint="eastAsia" w:ascii="宋体" w:hAnsi="宋体"/>
          <w:sz w:val="24"/>
        </w:rPr>
        <w:t>（六）环境因素有：施工废弃物如废焊渣、废管材、废焊条头、废包装材料、建筑垃圾；施工噪音及振动；火灾、爆炸；车辆扬尘或鸣笛等。</w:t>
      </w:r>
    </w:p>
    <w:p w14:paraId="6AFF9DBD">
      <w:pPr>
        <w:keepNext/>
        <w:keepLines/>
        <w:spacing w:line="400" w:lineRule="exact"/>
        <w:ind w:firstLine="480" w:firstLineChars="200"/>
        <w:jc w:val="left"/>
        <w:outlineLvl w:val="3"/>
        <w:rPr>
          <w:rFonts w:ascii="宋体" w:hAnsi="宋体"/>
          <w:sz w:val="24"/>
        </w:rPr>
      </w:pPr>
      <w:r>
        <w:rPr>
          <w:rFonts w:hint="eastAsia" w:ascii="宋体" w:hAnsi="宋体"/>
          <w:sz w:val="24"/>
        </w:rPr>
        <w:t>（七）对环境因素控制的要求：乙方施工过程中做好运输途中的溢漏防范措施，产生的固废必须分类并及时清理运走，生活垃圾不得随处乱扔并及时清理，保持现场环境清洁卫生。</w:t>
      </w:r>
    </w:p>
    <w:p w14:paraId="0EAB64FC">
      <w:pPr>
        <w:keepNext/>
        <w:keepLines/>
        <w:spacing w:line="400" w:lineRule="exact"/>
        <w:ind w:firstLine="480" w:firstLineChars="200"/>
        <w:jc w:val="left"/>
        <w:outlineLvl w:val="3"/>
        <w:rPr>
          <w:rFonts w:ascii="宋体" w:hAnsi="宋体"/>
          <w:sz w:val="24"/>
        </w:rPr>
      </w:pPr>
      <w:r>
        <w:rPr>
          <w:rFonts w:hint="eastAsia" w:ascii="宋体" w:hAnsi="宋体"/>
          <w:sz w:val="24"/>
        </w:rPr>
        <w:t>（八）对环境保护的控制要求：组织学习，传达到现场全体人员，提高安全及环保意识，不得破坏生态环境及污染环境，进场施工前要进行相应的培训。</w:t>
      </w:r>
    </w:p>
    <w:p w14:paraId="3B954162">
      <w:pPr>
        <w:keepNext/>
        <w:keepLines/>
        <w:spacing w:line="400" w:lineRule="exact"/>
        <w:ind w:firstLine="480" w:firstLineChars="200"/>
        <w:jc w:val="left"/>
        <w:outlineLvl w:val="3"/>
        <w:rPr>
          <w:rFonts w:ascii="宋体" w:hAnsi="宋体"/>
          <w:sz w:val="24"/>
        </w:rPr>
      </w:pPr>
      <w:r>
        <w:rPr>
          <w:rFonts w:hint="eastAsia" w:ascii="宋体" w:hAnsi="宋体"/>
          <w:sz w:val="24"/>
        </w:rPr>
        <w:t>（九）乙方缴纳的履约保证金同时作为安全、环保风险抵押金使用，乙方发生事故罚款时，履约保证金不足，可从合同金额中扣除。项目验收结束且确认乙方无违规、事故后，甲方无息返还乙方风险抵押金</w:t>
      </w:r>
      <w:r>
        <w:rPr>
          <w:rFonts w:ascii="宋体" w:hAnsi="宋体"/>
          <w:sz w:val="24"/>
        </w:rPr>
        <w:t>。若乙方发生</w:t>
      </w:r>
      <w:r>
        <w:rPr>
          <w:rFonts w:hint="eastAsia" w:ascii="宋体" w:hAnsi="宋体"/>
          <w:sz w:val="24"/>
        </w:rPr>
        <w:t>环保</w:t>
      </w:r>
      <w:r>
        <w:rPr>
          <w:rFonts w:ascii="宋体" w:hAnsi="宋体"/>
          <w:sz w:val="24"/>
        </w:rPr>
        <w:t>事故</w:t>
      </w:r>
      <w:r>
        <w:rPr>
          <w:rFonts w:hint="eastAsia" w:ascii="宋体" w:hAnsi="宋体"/>
          <w:sz w:val="24"/>
        </w:rPr>
        <w:t>或违规</w:t>
      </w:r>
      <w:r>
        <w:rPr>
          <w:rFonts w:ascii="宋体" w:hAnsi="宋体"/>
          <w:sz w:val="24"/>
        </w:rPr>
        <w:t>，甲方根据事故</w:t>
      </w:r>
      <w:r>
        <w:rPr>
          <w:rFonts w:hint="eastAsia" w:ascii="宋体" w:hAnsi="宋体"/>
          <w:sz w:val="24"/>
        </w:rPr>
        <w:t>或违规情况作如下考核：</w:t>
      </w:r>
    </w:p>
    <w:p w14:paraId="4D83195C">
      <w:pPr>
        <w:keepNext/>
        <w:keepLines/>
        <w:spacing w:line="400" w:lineRule="exact"/>
        <w:ind w:firstLine="480" w:firstLineChars="200"/>
        <w:jc w:val="left"/>
        <w:outlineLvl w:val="3"/>
        <w:rPr>
          <w:rFonts w:ascii="宋体" w:hAnsi="宋体"/>
          <w:sz w:val="24"/>
        </w:rPr>
      </w:pPr>
      <w:r>
        <w:rPr>
          <w:rFonts w:hint="eastAsia" w:ascii="宋体" w:hAnsi="宋体"/>
          <w:sz w:val="24"/>
        </w:rPr>
        <w:t>1.</w:t>
      </w:r>
      <w:r>
        <w:rPr>
          <w:rFonts w:ascii="宋体" w:hAnsi="宋体"/>
          <w:sz w:val="24"/>
        </w:rPr>
        <w:t xml:space="preserve"> 乙方违反甲方各项</w:t>
      </w:r>
      <w:r>
        <w:rPr>
          <w:rFonts w:hint="eastAsia" w:ascii="宋体" w:hAnsi="宋体"/>
          <w:sz w:val="24"/>
        </w:rPr>
        <w:t>环保</w:t>
      </w:r>
      <w:r>
        <w:rPr>
          <w:rFonts w:ascii="宋体" w:hAnsi="宋体"/>
          <w:sz w:val="24"/>
        </w:rPr>
        <w:t>管理</w:t>
      </w:r>
      <w:r>
        <w:rPr>
          <w:rFonts w:hint="eastAsia" w:ascii="宋体" w:hAnsi="宋体"/>
          <w:sz w:val="24"/>
        </w:rPr>
        <w:t>规定</w:t>
      </w:r>
      <w:r>
        <w:rPr>
          <w:rFonts w:ascii="宋体" w:hAnsi="宋体"/>
          <w:sz w:val="24"/>
        </w:rPr>
        <w:t>的</w:t>
      </w:r>
      <w:r>
        <w:rPr>
          <w:rFonts w:hint="eastAsia" w:ascii="宋体" w:hAnsi="宋体"/>
          <w:sz w:val="24"/>
        </w:rPr>
        <w:t>，</w:t>
      </w:r>
      <w:r>
        <w:rPr>
          <w:rFonts w:ascii="宋体" w:hAnsi="宋体"/>
          <w:sz w:val="24"/>
        </w:rPr>
        <w:t>第一次扣</w:t>
      </w:r>
      <w:r>
        <w:rPr>
          <w:rFonts w:hint="eastAsia" w:ascii="宋体" w:hAnsi="宋体"/>
          <w:sz w:val="24"/>
        </w:rPr>
        <w:t>200</w:t>
      </w:r>
      <w:r>
        <w:rPr>
          <w:rFonts w:ascii="宋体" w:hAnsi="宋体"/>
          <w:sz w:val="24"/>
        </w:rPr>
        <w:t>元</w:t>
      </w:r>
      <w:r>
        <w:rPr>
          <w:rFonts w:hint="eastAsia" w:ascii="宋体" w:hAnsi="宋体"/>
          <w:sz w:val="24"/>
        </w:rPr>
        <w:t>、</w:t>
      </w:r>
      <w:r>
        <w:rPr>
          <w:rFonts w:ascii="宋体" w:hAnsi="宋体"/>
          <w:sz w:val="24"/>
        </w:rPr>
        <w:t>第二次扣</w:t>
      </w:r>
      <w:r>
        <w:rPr>
          <w:rFonts w:hint="eastAsia" w:ascii="宋体" w:hAnsi="宋体"/>
          <w:sz w:val="24"/>
        </w:rPr>
        <w:t>5</w:t>
      </w:r>
      <w:r>
        <w:rPr>
          <w:rFonts w:ascii="宋体" w:hAnsi="宋体"/>
          <w:sz w:val="24"/>
        </w:rPr>
        <w:t>0</w:t>
      </w:r>
      <w:r>
        <w:rPr>
          <w:rFonts w:hint="eastAsia" w:ascii="宋体" w:hAnsi="宋体"/>
          <w:sz w:val="24"/>
        </w:rPr>
        <w:t>0元、</w:t>
      </w:r>
      <w:r>
        <w:rPr>
          <w:rFonts w:ascii="宋体" w:hAnsi="宋体"/>
          <w:sz w:val="24"/>
        </w:rPr>
        <w:t>第三次扣</w:t>
      </w:r>
      <w:r>
        <w:rPr>
          <w:rFonts w:hint="eastAsia" w:ascii="宋体" w:hAnsi="宋体"/>
          <w:sz w:val="24"/>
        </w:rPr>
        <w:t>1</w:t>
      </w:r>
      <w:r>
        <w:rPr>
          <w:rFonts w:ascii="宋体" w:hAnsi="宋体"/>
          <w:sz w:val="24"/>
        </w:rPr>
        <w:t>0</w:t>
      </w:r>
      <w:r>
        <w:rPr>
          <w:rFonts w:hint="eastAsia" w:ascii="宋体" w:hAnsi="宋体"/>
          <w:sz w:val="24"/>
        </w:rPr>
        <w:t>00</w:t>
      </w:r>
      <w:r>
        <w:rPr>
          <w:rFonts w:ascii="宋体" w:hAnsi="宋体"/>
          <w:sz w:val="24"/>
        </w:rPr>
        <w:t>元</w:t>
      </w:r>
      <w:r>
        <w:rPr>
          <w:rFonts w:hint="eastAsia" w:ascii="宋体" w:hAnsi="宋体"/>
          <w:sz w:val="24"/>
        </w:rPr>
        <w:t>。累计违规四次以上的，</w:t>
      </w:r>
      <w:r>
        <w:rPr>
          <w:rFonts w:ascii="宋体" w:hAnsi="宋体"/>
          <w:sz w:val="24"/>
        </w:rPr>
        <w:t>每次扣</w:t>
      </w:r>
      <w:r>
        <w:rPr>
          <w:rFonts w:hint="eastAsia" w:ascii="宋体" w:hAnsi="宋体"/>
          <w:sz w:val="24"/>
        </w:rPr>
        <w:t>2</w:t>
      </w:r>
      <w:r>
        <w:rPr>
          <w:rFonts w:ascii="宋体" w:hAnsi="宋体"/>
          <w:sz w:val="24"/>
        </w:rPr>
        <w:t>000元</w:t>
      </w:r>
      <w:r>
        <w:rPr>
          <w:rFonts w:hint="eastAsia" w:ascii="宋体" w:hAnsi="宋体"/>
          <w:sz w:val="24"/>
        </w:rPr>
        <w:t>，视情况作</w:t>
      </w:r>
      <w:r>
        <w:rPr>
          <w:rFonts w:ascii="宋体" w:hAnsi="宋体"/>
          <w:sz w:val="24"/>
        </w:rPr>
        <w:t>停工整顿处理</w:t>
      </w:r>
      <w:r>
        <w:rPr>
          <w:rFonts w:hint="eastAsia" w:ascii="宋体" w:hAnsi="宋体"/>
          <w:sz w:val="24"/>
        </w:rPr>
        <w:t>，</w:t>
      </w:r>
      <w:r>
        <w:rPr>
          <w:rFonts w:ascii="宋体" w:hAnsi="宋体"/>
          <w:sz w:val="24"/>
        </w:rPr>
        <w:t>停工所造成的损失由乙方负责</w:t>
      </w:r>
      <w:r>
        <w:rPr>
          <w:rFonts w:hint="eastAsia" w:ascii="宋体" w:hAnsi="宋体"/>
          <w:sz w:val="24"/>
        </w:rPr>
        <w:t>，扣款直接从合同款中扣除。</w:t>
      </w:r>
    </w:p>
    <w:p w14:paraId="6EBF6D46">
      <w:pPr>
        <w:keepNext/>
        <w:keepLines/>
        <w:spacing w:line="400" w:lineRule="exact"/>
        <w:ind w:firstLine="480" w:firstLineChars="200"/>
        <w:jc w:val="left"/>
        <w:outlineLvl w:val="3"/>
        <w:rPr>
          <w:rFonts w:ascii="宋体" w:hAnsi="宋体"/>
          <w:sz w:val="24"/>
        </w:rPr>
      </w:pPr>
      <w:r>
        <w:rPr>
          <w:rFonts w:hint="eastAsia" w:ascii="宋体" w:hAnsi="宋体"/>
          <w:sz w:val="24"/>
        </w:rPr>
        <w:t>2.</w:t>
      </w:r>
      <w:r>
        <w:rPr>
          <w:rFonts w:ascii="宋体" w:hAnsi="宋体"/>
          <w:sz w:val="24"/>
        </w:rPr>
        <w:t xml:space="preserve"> 若乙方施工现场发生责任</w:t>
      </w:r>
      <w:r>
        <w:rPr>
          <w:rFonts w:hint="eastAsia" w:ascii="宋体" w:hAnsi="宋体"/>
          <w:sz w:val="24"/>
        </w:rPr>
        <w:t>环保</w:t>
      </w:r>
      <w:r>
        <w:rPr>
          <w:rFonts w:ascii="宋体" w:hAnsi="宋体"/>
          <w:sz w:val="24"/>
        </w:rPr>
        <w:t>事故</w:t>
      </w:r>
      <w:r>
        <w:rPr>
          <w:rFonts w:hint="eastAsia" w:ascii="宋体" w:hAnsi="宋体"/>
          <w:sz w:val="24"/>
        </w:rPr>
        <w:t>导致当地居民上访或当地环保管理机构对我公司提出整改、整顿或处罚的</w:t>
      </w:r>
      <w:r>
        <w:rPr>
          <w:rFonts w:ascii="宋体" w:hAnsi="宋体"/>
          <w:sz w:val="24"/>
        </w:rPr>
        <w:t>，甲方扣罚该项目全部</w:t>
      </w:r>
      <w:r>
        <w:rPr>
          <w:rFonts w:hint="eastAsia" w:ascii="宋体" w:hAnsi="宋体"/>
          <w:sz w:val="24"/>
        </w:rPr>
        <w:t>环保</w:t>
      </w:r>
      <w:r>
        <w:rPr>
          <w:rFonts w:ascii="宋体" w:hAnsi="宋体"/>
          <w:sz w:val="24"/>
        </w:rPr>
        <w:t>风险抵押金</w:t>
      </w:r>
      <w:r>
        <w:rPr>
          <w:rFonts w:hint="eastAsia" w:ascii="宋体" w:hAnsi="宋体"/>
          <w:sz w:val="24"/>
        </w:rPr>
        <w:t>，如当地环保管理机构对我公司作出的处罚金额超过环保</w:t>
      </w:r>
      <w:r>
        <w:rPr>
          <w:rFonts w:ascii="宋体" w:hAnsi="宋体"/>
          <w:sz w:val="24"/>
        </w:rPr>
        <w:t>风险抵押金</w:t>
      </w:r>
      <w:r>
        <w:rPr>
          <w:rFonts w:hint="eastAsia" w:ascii="宋体" w:hAnsi="宋体"/>
          <w:sz w:val="24"/>
        </w:rPr>
        <w:t>的，超出部分甲方有权从合同款中扣除</w:t>
      </w:r>
      <w:r>
        <w:rPr>
          <w:rFonts w:ascii="宋体" w:hAnsi="宋体"/>
          <w:sz w:val="24"/>
        </w:rPr>
        <w:t>。</w:t>
      </w:r>
    </w:p>
    <w:p w14:paraId="448E0EA4">
      <w:pPr>
        <w:keepNext/>
        <w:keepLines/>
        <w:spacing w:line="400" w:lineRule="exact"/>
        <w:ind w:firstLine="480" w:firstLineChars="200"/>
        <w:jc w:val="left"/>
        <w:outlineLvl w:val="3"/>
        <w:rPr>
          <w:rFonts w:ascii="宋体" w:hAnsi="宋体"/>
          <w:sz w:val="24"/>
        </w:rPr>
      </w:pPr>
      <w:r>
        <w:rPr>
          <w:rFonts w:hint="eastAsia" w:ascii="宋体" w:hAnsi="宋体"/>
          <w:sz w:val="24"/>
        </w:rPr>
        <w:t>（十）对各项工作须做好环境保护工作的检查和监督工作，乙方必须遵守甲方有关环保的管理制度，如乙方违反，甲方有权按相关环保管理制度进行扣工程款处理。</w:t>
      </w:r>
    </w:p>
    <w:p w14:paraId="6FD647A7">
      <w:pPr>
        <w:keepNext/>
        <w:keepLines/>
        <w:spacing w:line="400" w:lineRule="exact"/>
        <w:ind w:firstLine="480" w:firstLineChars="200"/>
        <w:jc w:val="left"/>
        <w:outlineLvl w:val="3"/>
        <w:rPr>
          <w:rFonts w:ascii="宋体" w:hAnsi="宋体"/>
          <w:sz w:val="24"/>
        </w:rPr>
      </w:pPr>
      <w:r>
        <w:rPr>
          <w:rFonts w:hint="eastAsia" w:ascii="宋体" w:hAnsi="宋体"/>
          <w:sz w:val="24"/>
        </w:rPr>
        <w:t>（十一）本协议壹式贰份，甲乙双方各执壹份，自签订之日起执行（本协议传真签订有效）。</w:t>
      </w:r>
    </w:p>
    <w:p w14:paraId="26B4B14F">
      <w:pPr>
        <w:keepNext/>
        <w:keepLines/>
        <w:spacing w:line="400" w:lineRule="exact"/>
        <w:jc w:val="left"/>
        <w:outlineLvl w:val="3"/>
        <w:rPr>
          <w:rFonts w:ascii="宋体" w:hAnsi="宋体"/>
          <w:sz w:val="24"/>
        </w:rPr>
      </w:pPr>
    </w:p>
    <w:p w14:paraId="761BA75C">
      <w:pPr>
        <w:keepNext/>
        <w:keepLines/>
        <w:spacing w:line="400" w:lineRule="exact"/>
        <w:ind w:left="6720" w:hanging="6720" w:hangingChars="2800"/>
        <w:jc w:val="left"/>
        <w:outlineLvl w:val="3"/>
        <w:rPr>
          <w:rFonts w:ascii="宋体" w:hAnsi="宋体"/>
          <w:sz w:val="24"/>
        </w:rPr>
      </w:pPr>
      <w:r>
        <w:rPr>
          <w:rFonts w:hint="eastAsia" w:ascii="宋体" w:hAnsi="宋体"/>
          <w:sz w:val="24"/>
        </w:rPr>
        <w:t>甲方（公章） ：英德市粤北糖业有限公司    乙方（公章）：</w:t>
      </w:r>
      <w:r>
        <w:rPr>
          <w:rFonts w:hint="eastAsia" w:ascii="宋体" w:hAnsi="宋体"/>
          <w:sz w:val="24"/>
          <w:lang w:val="zh-CN"/>
        </w:rPr>
        <w:t xml:space="preserve"> </w:t>
      </w:r>
      <w:r>
        <w:rPr>
          <w:rFonts w:hint="eastAsia" w:ascii="宋体" w:hAnsi="宋体"/>
          <w:sz w:val="24"/>
          <w:lang w:val="en-US" w:eastAsia="zh-CN"/>
        </w:rPr>
        <w:t xml:space="preserve"> </w:t>
      </w:r>
      <w:r>
        <w:rPr>
          <w:rFonts w:hint="eastAsia" w:ascii="宋体" w:hAnsi="宋体"/>
          <w:sz w:val="24"/>
        </w:rPr>
        <w:t xml:space="preserve">       </w:t>
      </w:r>
    </w:p>
    <w:p w14:paraId="24B691AD">
      <w:pPr>
        <w:keepNext/>
        <w:keepLines/>
        <w:spacing w:line="400" w:lineRule="exact"/>
        <w:ind w:firstLine="480" w:firstLineChars="200"/>
        <w:jc w:val="left"/>
        <w:outlineLvl w:val="3"/>
        <w:rPr>
          <w:rFonts w:hint="eastAsia" w:ascii="宋体" w:hAnsi="宋体" w:eastAsia="宋体"/>
          <w:sz w:val="24"/>
          <w:lang w:eastAsia="zh-CN"/>
        </w:rPr>
      </w:pPr>
      <w:r>
        <w:rPr>
          <w:rFonts w:hint="eastAsia" w:ascii="宋体" w:hAnsi="宋体"/>
          <w:sz w:val="24"/>
        </w:rPr>
        <w:t>法定代表人：冯磊                     法定代表人：</w:t>
      </w:r>
      <w:r>
        <w:rPr>
          <w:rFonts w:hint="eastAsia" w:ascii="宋体" w:hAnsi="宋体"/>
          <w:sz w:val="24"/>
          <w:lang w:val="en-US" w:eastAsia="zh-CN"/>
        </w:rPr>
        <w:t xml:space="preserve"> </w:t>
      </w:r>
    </w:p>
    <w:p w14:paraId="153EDAD2">
      <w:pPr>
        <w:keepNext/>
        <w:keepLines/>
        <w:spacing w:line="400" w:lineRule="exact"/>
        <w:ind w:firstLine="480" w:firstLineChars="200"/>
        <w:jc w:val="left"/>
        <w:outlineLvl w:val="3"/>
        <w:rPr>
          <w:rFonts w:ascii="宋体" w:hAnsi="宋体"/>
          <w:sz w:val="24"/>
        </w:rPr>
      </w:pPr>
      <w:r>
        <w:rPr>
          <w:rFonts w:hint="eastAsia" w:ascii="宋体" w:hAnsi="宋体"/>
          <w:sz w:val="24"/>
          <w:lang w:val="en-US" w:eastAsia="zh-CN"/>
        </w:rPr>
        <w:t>盖章</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委托代表人：</w:t>
      </w:r>
    </w:p>
    <w:p w14:paraId="341EA2AB">
      <w:pPr>
        <w:keepNext/>
        <w:keepLines/>
        <w:spacing w:line="400" w:lineRule="exact"/>
        <w:ind w:firstLine="480" w:firstLineChars="200"/>
        <w:jc w:val="left"/>
        <w:outlineLvl w:val="3"/>
        <w:rPr>
          <w:rFonts w:ascii="宋体" w:hAnsi="宋体"/>
          <w:sz w:val="24"/>
        </w:rPr>
      </w:pPr>
    </w:p>
    <w:p w14:paraId="741C1E43">
      <w:pPr>
        <w:keepNext/>
        <w:keepLines/>
        <w:spacing w:line="400" w:lineRule="exact"/>
        <w:ind w:firstLine="480" w:firstLineChars="200"/>
        <w:jc w:val="left"/>
        <w:outlineLvl w:val="3"/>
        <w:rPr>
          <w:rFonts w:ascii="宋体" w:hAnsi="宋体"/>
          <w:sz w:val="24"/>
        </w:rPr>
      </w:pPr>
      <w:r>
        <w:rPr>
          <w:rFonts w:hint="eastAsia" w:ascii="宋体" w:hAnsi="宋体"/>
          <w:sz w:val="24"/>
        </w:rPr>
        <w:t>签订日期：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 日           签订日期：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日  </w:t>
      </w:r>
    </w:p>
    <w:p w14:paraId="31F617D3">
      <w:pPr>
        <w:jc w:val="left"/>
        <w:rPr>
          <w:rFonts w:ascii="仿宋" w:hAnsi="仿宋" w:eastAsia="仿宋" w:cs="宋体"/>
          <w:kern w:val="0"/>
          <w:sz w:val="24"/>
        </w:rPr>
      </w:pPr>
    </w:p>
    <w:p w14:paraId="4721FB22">
      <w:pPr>
        <w:autoSpaceDE w:val="0"/>
        <w:autoSpaceDN w:val="0"/>
        <w:adjustRightInd w:val="0"/>
        <w:jc w:val="left"/>
        <w:rPr>
          <w:rFonts w:hint="eastAsia" w:ascii="Times" w:hAnsi="Times" w:eastAsia="仿宋_GB2312" w:cs="宋体"/>
          <w:color w:val="000000"/>
          <w:kern w:val="0"/>
          <w:sz w:val="32"/>
          <w:szCs w:val="32"/>
          <w:highlight w:val="none"/>
        </w:rPr>
      </w:pPr>
    </w:p>
    <w:p w14:paraId="7B7AD7E9">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14:paraId="7BF6D99E">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14:paraId="4301C4CF">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14:paraId="72501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14:paraId="7A36C9A6">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14:paraId="7F973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lang w:val="en-US" w:eastAsia="zh-CN"/>
        </w:rPr>
      </w:pPr>
      <w:r>
        <w:rPr>
          <w:rFonts w:hint="eastAsia" w:eastAsia="仿宋" w:cs="Times New Roman"/>
          <w:color w:val="auto"/>
          <w:sz w:val="32"/>
          <w:szCs w:val="32"/>
          <w:lang w:val="en-US" w:eastAsia="zh-CN"/>
        </w:rPr>
        <w:t>1.报价请注明品牌、货期、选择正确税率</w:t>
      </w:r>
      <w:r>
        <w:rPr>
          <w:rFonts w:hint="eastAsia" w:ascii="Times New Roman" w:hAnsi="Times New Roman" w:eastAsia="仿宋" w:cs="Times New Roman"/>
          <w:color w:val="auto"/>
          <w:sz w:val="32"/>
          <w:szCs w:val="32"/>
          <w:lang w:val="en-US" w:eastAsia="zh-CN"/>
        </w:rPr>
        <w:t>。</w:t>
      </w:r>
    </w:p>
    <w:p w14:paraId="54E9B7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rPr>
      </w:pP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rPr>
        <w:t>联系人：</w:t>
      </w:r>
      <w:r>
        <w:rPr>
          <w:rFonts w:hint="eastAsia" w:eastAsia="仿宋" w:cs="Times New Roman"/>
          <w:color w:val="auto"/>
          <w:sz w:val="32"/>
          <w:szCs w:val="32"/>
          <w:lang w:val="en-US" w:eastAsia="zh-CN"/>
        </w:rPr>
        <w:t>曾建娣</w:t>
      </w:r>
      <w:r>
        <w:rPr>
          <w:rFonts w:hint="default" w:ascii="Times New Roman" w:hAnsi="Times New Roman" w:eastAsia="仿宋" w:cs="Times New Roman"/>
          <w:color w:val="auto"/>
          <w:sz w:val="32"/>
          <w:szCs w:val="32"/>
        </w:rPr>
        <w:t xml:space="preserve">        联系电话 ：</w:t>
      </w:r>
      <w:r>
        <w:rPr>
          <w:rFonts w:hint="eastAsia" w:eastAsia="仿宋" w:cs="Times New Roman"/>
          <w:color w:val="auto"/>
          <w:sz w:val="32"/>
          <w:szCs w:val="32"/>
          <w:lang w:val="en-US" w:eastAsia="zh-CN"/>
        </w:rPr>
        <w:t>15718355560</w:t>
      </w:r>
    </w:p>
    <w:p w14:paraId="2175C8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望予以最优惠报价为盼。</w:t>
      </w:r>
    </w:p>
    <w:p w14:paraId="28CDB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73747EC8">
      <w:pPr>
        <w:rPr>
          <w:rFonts w:hint="default"/>
          <w:color w:val="auto"/>
        </w:rPr>
      </w:pPr>
    </w:p>
    <w:p w14:paraId="1FDB0EA5">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4CCC98D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25</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1DF4">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B7FDF"/>
    <w:multiLevelType w:val="singleLevel"/>
    <w:tmpl w:val="CF6B7FDF"/>
    <w:lvl w:ilvl="0" w:tentative="0">
      <w:start w:val="9"/>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07EE14"/>
    <w:multiLevelType w:val="singleLevel"/>
    <w:tmpl w:val="3507EE14"/>
    <w:lvl w:ilvl="0" w:tentative="0">
      <w:start w:val="3"/>
      <w:numFmt w:val="chineseCounting"/>
      <w:suff w:val="nothing"/>
      <w:lvlText w:val="%1、"/>
      <w:lvlJc w:val="left"/>
      <w:rPr>
        <w:rFonts w:hint="eastAsia"/>
      </w:rPr>
    </w:lvl>
  </w:abstractNum>
  <w:abstractNum w:abstractNumId="3">
    <w:nsid w:val="58DA9E84"/>
    <w:multiLevelType w:val="singleLevel"/>
    <w:tmpl w:val="58DA9E84"/>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A731DD"/>
    <w:rsid w:val="05CE05D4"/>
    <w:rsid w:val="09CC39BA"/>
    <w:rsid w:val="09E24C3F"/>
    <w:rsid w:val="0B5B5F2A"/>
    <w:rsid w:val="0C5E4406"/>
    <w:rsid w:val="0D503373"/>
    <w:rsid w:val="11EB52AD"/>
    <w:rsid w:val="16760CB0"/>
    <w:rsid w:val="1699719C"/>
    <w:rsid w:val="17A653BB"/>
    <w:rsid w:val="1A6701C5"/>
    <w:rsid w:val="1D39751C"/>
    <w:rsid w:val="1EAF2632"/>
    <w:rsid w:val="213828F8"/>
    <w:rsid w:val="216D729C"/>
    <w:rsid w:val="224B26BD"/>
    <w:rsid w:val="238D22DC"/>
    <w:rsid w:val="25B07058"/>
    <w:rsid w:val="28D46E1C"/>
    <w:rsid w:val="2AF7731C"/>
    <w:rsid w:val="2D187955"/>
    <w:rsid w:val="2DA03510"/>
    <w:rsid w:val="2EF835C5"/>
    <w:rsid w:val="2EF92788"/>
    <w:rsid w:val="30054781"/>
    <w:rsid w:val="31382887"/>
    <w:rsid w:val="31DC465E"/>
    <w:rsid w:val="326A1B73"/>
    <w:rsid w:val="3583388D"/>
    <w:rsid w:val="35B50B1F"/>
    <w:rsid w:val="35B77E4C"/>
    <w:rsid w:val="3A4E546B"/>
    <w:rsid w:val="3BEF5637"/>
    <w:rsid w:val="3CBA408F"/>
    <w:rsid w:val="3CDB4C00"/>
    <w:rsid w:val="3D534311"/>
    <w:rsid w:val="43FE4DFF"/>
    <w:rsid w:val="46FC0E56"/>
    <w:rsid w:val="47CD238C"/>
    <w:rsid w:val="4A05591A"/>
    <w:rsid w:val="4FA84265"/>
    <w:rsid w:val="4FD1313A"/>
    <w:rsid w:val="52EC7E81"/>
    <w:rsid w:val="53CD0F05"/>
    <w:rsid w:val="54BE2A37"/>
    <w:rsid w:val="55DB05F7"/>
    <w:rsid w:val="56590DEF"/>
    <w:rsid w:val="56B25652"/>
    <w:rsid w:val="58744773"/>
    <w:rsid w:val="58EB592E"/>
    <w:rsid w:val="596B1228"/>
    <w:rsid w:val="599E7648"/>
    <w:rsid w:val="5A7C74A0"/>
    <w:rsid w:val="5F4D239A"/>
    <w:rsid w:val="617B5515"/>
    <w:rsid w:val="61B41449"/>
    <w:rsid w:val="621809DE"/>
    <w:rsid w:val="629040BC"/>
    <w:rsid w:val="63802CF2"/>
    <w:rsid w:val="64471C00"/>
    <w:rsid w:val="66533321"/>
    <w:rsid w:val="6733208F"/>
    <w:rsid w:val="6BE2426A"/>
    <w:rsid w:val="6BEA35EB"/>
    <w:rsid w:val="6C2377FC"/>
    <w:rsid w:val="6C365F9B"/>
    <w:rsid w:val="6CFC1654"/>
    <w:rsid w:val="6D685424"/>
    <w:rsid w:val="6DA036A8"/>
    <w:rsid w:val="71ED62B2"/>
    <w:rsid w:val="72C90324"/>
    <w:rsid w:val="74464579"/>
    <w:rsid w:val="745368A0"/>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15992</Words>
  <Characters>16557</Characters>
  <Lines>0</Lines>
  <Paragraphs>0</Paragraphs>
  <TotalTime>2</TotalTime>
  <ScaleCrop>false</ScaleCrop>
  <LinksUpToDate>false</LinksUpToDate>
  <CharactersWithSpaces>17259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2024-07-25T02:03:49Z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19474E60F90545CD9EB5CF90B964F3BD_12</vt:lpwstr>
  </property>
</Properties>
</file>