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265CF">
      <w:pPr>
        <w:rPr>
          <w:rFonts w:hint="default" w:ascii="Times New Roman" w:hAnsi="Times New Roman" w:eastAsia="黑体" w:cs="Times New Roman"/>
          <w:sz w:val="32"/>
          <w:lang w:val="en-US" w:eastAsia="zh-CN"/>
        </w:rPr>
      </w:pPr>
      <w:r>
        <w:rPr>
          <w:rFonts w:hint="eastAsia" w:eastAsia="黑体" w:cs="Times New Roman"/>
          <w:sz w:val="32"/>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4523373C">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2D74B0B5">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14:paraId="3C2A087E">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发件人From: </w:t>
            </w:r>
            <w:r>
              <w:rPr>
                <w:rFonts w:hint="eastAsia" w:eastAsia="黑体" w:cs="Times New Roman"/>
                <w:sz w:val="24"/>
                <w:lang w:val="en-US" w:eastAsia="zh-CN"/>
              </w:rPr>
              <w:t>曾建娣</w:t>
            </w:r>
          </w:p>
        </w:tc>
      </w:tr>
      <w:tr w14:paraId="17B442F4">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754E318E">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14:paraId="22FE4FA2">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eastAsia" w:eastAsia="黑体" w:cs="Times New Roman"/>
                <w:sz w:val="24"/>
                <w:lang w:val="en-US" w:eastAsia="zh-CN"/>
              </w:rPr>
              <w:t>15718355560</w:t>
            </w:r>
          </w:p>
        </w:tc>
      </w:tr>
      <w:tr w14:paraId="5ED9B334">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42027088">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14:paraId="790C5BBA">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14:paraId="3E69987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46F9768C">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14:paraId="11AC7996">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14:paraId="0417055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213DE19">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14:paraId="72A89BB9">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7</w:t>
            </w:r>
            <w:r>
              <w:rPr>
                <w:rFonts w:hint="default" w:ascii="Times New Roman" w:hAnsi="Times New Roman" w:eastAsia="黑体" w:cs="Times New Roman"/>
                <w:sz w:val="24"/>
                <w:lang w:eastAsia="zh-CN"/>
              </w:rPr>
              <w:t>月</w:t>
            </w:r>
            <w:r>
              <w:rPr>
                <w:rFonts w:hint="eastAsia" w:eastAsia="黑体" w:cs="Times New Roman"/>
                <w:sz w:val="24"/>
                <w:lang w:val="en-US" w:eastAsia="zh-CN"/>
              </w:rPr>
              <w:t>26</w:t>
            </w:r>
            <w:r>
              <w:rPr>
                <w:rFonts w:hint="default" w:ascii="Times New Roman" w:hAnsi="Times New Roman" w:eastAsia="黑体" w:cs="Times New Roman"/>
                <w:sz w:val="24"/>
                <w:lang w:eastAsia="zh-CN"/>
              </w:rPr>
              <w:t>日</w:t>
            </w:r>
          </w:p>
        </w:tc>
      </w:tr>
      <w:tr w14:paraId="4A3D4155">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44A644">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14:paraId="36FBB76A">
            <w:pPr>
              <w:rPr>
                <w:rFonts w:hint="default" w:ascii="Times New Roman" w:hAnsi="Times New Roman" w:eastAsia="黑体" w:cs="Times New Roman"/>
                <w:sz w:val="24"/>
              </w:rPr>
            </w:pPr>
          </w:p>
        </w:tc>
      </w:tr>
    </w:tbl>
    <w:p w14:paraId="50D14F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79ED70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14:paraId="401643ED">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14:paraId="3FDFF80B">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我公司将对粤北糖业五金日杂类材料</w:t>
      </w:r>
      <w:bookmarkStart w:id="0" w:name="_GoBack"/>
      <w:bookmarkEnd w:id="0"/>
      <w:r>
        <w:rPr>
          <w:rFonts w:hint="default" w:ascii="Times New Roman" w:hAnsi="Times New Roman" w:eastAsia="仿宋_GB2312" w:cs="Times New Roman"/>
          <w:color w:val="auto"/>
          <w:kern w:val="0"/>
          <w:sz w:val="32"/>
          <w:szCs w:val="32"/>
          <w:lang w:eastAsia="zh-CN"/>
        </w:rPr>
        <w:t>进行询比采购，请各供应商根据项目要求进行报名报价。具体要求如下：</w:t>
      </w:r>
    </w:p>
    <w:p w14:paraId="7C3CD4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9C412E1">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3A245DA0">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14:paraId="4D38689E">
      <w:pPr>
        <w:pStyle w:val="7"/>
        <w:ind w:firstLine="640" w:firstLineChars="200"/>
        <w:rPr>
          <w:rFonts w:hint="default"/>
          <w:color w:val="auto"/>
          <w:lang w:val="en-US" w:eastAsia="zh-CN"/>
        </w:rPr>
      </w:pPr>
      <w:r>
        <w:rPr>
          <w:rFonts w:hint="eastAsia" w:ascii="Times New Roman" w:hAnsi="Times New Roman" w:eastAsia="仿宋_GB2312" w:cs="Times New Roman"/>
          <w:color w:val="auto"/>
          <w:kern w:val="0"/>
          <w:sz w:val="32"/>
          <w:szCs w:val="32"/>
          <w:lang w:val="en-US" w:eastAsia="zh-CN"/>
        </w:rPr>
        <w:t>3.注册资本必须超过人民币 15万元及以上。</w:t>
      </w:r>
    </w:p>
    <w:p w14:paraId="68ABABFB">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499B0A2D">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26E404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5BC2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4765D39C">
            <w:pPr>
              <w:jc w:val="center"/>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rPr>
              <w:t>序号</w:t>
            </w:r>
          </w:p>
        </w:tc>
        <w:tc>
          <w:tcPr>
            <w:tcW w:w="1547" w:type="dxa"/>
            <w:vAlign w:val="center"/>
          </w:tcPr>
          <w:p w14:paraId="1D73D86C">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物料编码</w:t>
            </w:r>
          </w:p>
        </w:tc>
        <w:tc>
          <w:tcPr>
            <w:tcW w:w="2340" w:type="dxa"/>
            <w:vAlign w:val="center"/>
          </w:tcPr>
          <w:p w14:paraId="08DE0E69">
            <w:pPr>
              <w:jc w:val="center"/>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rPr>
              <w:t>物资名称</w:t>
            </w:r>
          </w:p>
        </w:tc>
        <w:tc>
          <w:tcPr>
            <w:tcW w:w="675" w:type="dxa"/>
            <w:vAlign w:val="center"/>
          </w:tcPr>
          <w:p w14:paraId="7BE3F2C6">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单位</w:t>
            </w:r>
          </w:p>
        </w:tc>
        <w:tc>
          <w:tcPr>
            <w:tcW w:w="810" w:type="dxa"/>
            <w:vAlign w:val="center"/>
          </w:tcPr>
          <w:p w14:paraId="1D6C8782">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数量</w:t>
            </w:r>
          </w:p>
        </w:tc>
        <w:tc>
          <w:tcPr>
            <w:tcW w:w="1110" w:type="dxa"/>
            <w:vAlign w:val="center"/>
          </w:tcPr>
          <w:p w14:paraId="235A6307">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增值税专用发票税率</w:t>
            </w:r>
          </w:p>
        </w:tc>
        <w:tc>
          <w:tcPr>
            <w:tcW w:w="855" w:type="dxa"/>
            <w:vAlign w:val="center"/>
          </w:tcPr>
          <w:p w14:paraId="5FA99501">
            <w:pPr>
              <w:jc w:val="center"/>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lang w:eastAsia="zh-CN"/>
              </w:rPr>
              <w:t>含税</w:t>
            </w:r>
            <w:r>
              <w:rPr>
                <w:rFonts w:hint="default" w:ascii="Times New Roman" w:hAnsi="Times New Roman" w:eastAsia="仿宋_GB2312" w:cs="Times New Roman"/>
                <w:color w:val="auto"/>
                <w:sz w:val="24"/>
                <w:szCs w:val="32"/>
              </w:rPr>
              <w:t>单价</w:t>
            </w:r>
          </w:p>
        </w:tc>
        <w:tc>
          <w:tcPr>
            <w:tcW w:w="1200" w:type="dxa"/>
            <w:vAlign w:val="center"/>
          </w:tcPr>
          <w:p w14:paraId="7F230D16">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含税</w:t>
            </w:r>
            <w:r>
              <w:rPr>
                <w:rFonts w:hint="default" w:ascii="Times New Roman" w:hAnsi="Times New Roman" w:eastAsia="仿宋_GB2312" w:cs="Times New Roman"/>
                <w:color w:val="auto"/>
                <w:sz w:val="24"/>
                <w:szCs w:val="32"/>
              </w:rPr>
              <w:t>金额</w:t>
            </w:r>
            <w:r>
              <w:rPr>
                <w:rFonts w:hint="default" w:ascii="Times New Roman" w:hAnsi="Times New Roman" w:eastAsia="仿宋_GB2312" w:cs="Times New Roman"/>
                <w:color w:val="auto"/>
                <w:sz w:val="24"/>
                <w:szCs w:val="32"/>
                <w:lang w:eastAsia="zh-CN"/>
              </w:rPr>
              <w:t>（元）</w:t>
            </w:r>
          </w:p>
        </w:tc>
        <w:tc>
          <w:tcPr>
            <w:tcW w:w="1366" w:type="dxa"/>
            <w:vAlign w:val="center"/>
          </w:tcPr>
          <w:p w14:paraId="1E38B497">
            <w:pPr>
              <w:jc w:val="center"/>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备注</w:t>
            </w:r>
          </w:p>
        </w:tc>
      </w:tr>
      <w:tr w14:paraId="7922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09678812">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1</w:t>
            </w:r>
          </w:p>
        </w:tc>
        <w:tc>
          <w:tcPr>
            <w:tcW w:w="1547" w:type="dxa"/>
            <w:vAlign w:val="center"/>
          </w:tcPr>
          <w:p w14:paraId="798C9207">
            <w:pPr>
              <w:jc w:val="left"/>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14:paraId="13DDC163">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u w:val="none"/>
                <w:lang w:val="en-US" w:eastAsia="zh-CN" w:bidi="ar"/>
              </w:rPr>
            </w:pPr>
          </w:p>
        </w:tc>
        <w:tc>
          <w:tcPr>
            <w:tcW w:w="675" w:type="dxa"/>
            <w:vAlign w:val="center"/>
          </w:tcPr>
          <w:p w14:paraId="3C0F09A3">
            <w:pPr>
              <w:keepNext w:val="0"/>
              <w:keepLines w:val="0"/>
              <w:widowControl/>
              <w:suppressLineNumbers w:val="0"/>
              <w:jc w:val="left"/>
              <w:textAlignment w:val="center"/>
              <w:rPr>
                <w:rFonts w:hint="default" w:ascii="宋体" w:hAnsi="宋体" w:cs="宋体"/>
                <w:i w:val="0"/>
                <w:color w:val="auto"/>
                <w:kern w:val="0"/>
                <w:sz w:val="22"/>
                <w:szCs w:val="22"/>
                <w:u w:val="none"/>
                <w:lang w:val="en-US" w:eastAsia="zh-CN" w:bidi="ar"/>
              </w:rPr>
            </w:pPr>
          </w:p>
        </w:tc>
        <w:tc>
          <w:tcPr>
            <w:tcW w:w="810" w:type="dxa"/>
            <w:vAlign w:val="center"/>
          </w:tcPr>
          <w:p w14:paraId="5550D62C">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p>
        </w:tc>
        <w:tc>
          <w:tcPr>
            <w:tcW w:w="1110" w:type="dxa"/>
            <w:vAlign w:val="center"/>
          </w:tcPr>
          <w:p w14:paraId="7377252C">
            <w:pPr>
              <w:jc w:val="right"/>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14:paraId="0F3B0D70">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14:paraId="01AE969F">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14:paraId="5D41CDFE">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p>
        </w:tc>
      </w:tr>
      <w:tr w14:paraId="2EA6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F30F496">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2</w:t>
            </w:r>
          </w:p>
        </w:tc>
        <w:tc>
          <w:tcPr>
            <w:tcW w:w="1547" w:type="dxa"/>
            <w:vAlign w:val="center"/>
          </w:tcPr>
          <w:p w14:paraId="57698987">
            <w:pPr>
              <w:jc w:val="left"/>
              <w:rPr>
                <w:rFonts w:hint="eastAsia" w:ascii="宋体" w:hAnsi="宋体" w:eastAsia="宋体" w:cs="宋体"/>
                <w:i w:val="0"/>
                <w:color w:val="auto"/>
                <w:kern w:val="0"/>
                <w:sz w:val="22"/>
                <w:szCs w:val="22"/>
                <w:u w:val="none"/>
                <w:lang w:val="en-US" w:eastAsia="zh-CN" w:bidi="ar"/>
              </w:rPr>
            </w:pPr>
          </w:p>
        </w:tc>
        <w:tc>
          <w:tcPr>
            <w:tcW w:w="2340" w:type="dxa"/>
            <w:vAlign w:val="center"/>
          </w:tcPr>
          <w:p w14:paraId="59A7D08A">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675" w:type="dxa"/>
            <w:vAlign w:val="center"/>
          </w:tcPr>
          <w:p w14:paraId="7C0C6D66">
            <w:pPr>
              <w:keepNext w:val="0"/>
              <w:keepLines w:val="0"/>
              <w:widowControl/>
              <w:suppressLineNumbers w:val="0"/>
              <w:jc w:val="left"/>
              <w:textAlignment w:val="center"/>
              <w:rPr>
                <w:rFonts w:hint="default" w:ascii="Arial" w:hAnsi="Arial" w:eastAsia="宋体" w:cs="Arial"/>
                <w:i w:val="0"/>
                <w:color w:val="auto"/>
                <w:kern w:val="0"/>
                <w:sz w:val="20"/>
                <w:szCs w:val="20"/>
                <w:u w:val="none"/>
                <w:lang w:val="en-US" w:eastAsia="zh-CN" w:bidi="ar"/>
              </w:rPr>
            </w:pPr>
          </w:p>
        </w:tc>
        <w:tc>
          <w:tcPr>
            <w:tcW w:w="810" w:type="dxa"/>
            <w:vAlign w:val="center"/>
          </w:tcPr>
          <w:p w14:paraId="06DAD8F6">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p>
        </w:tc>
        <w:tc>
          <w:tcPr>
            <w:tcW w:w="1110" w:type="dxa"/>
            <w:vAlign w:val="center"/>
          </w:tcPr>
          <w:p w14:paraId="52BC3EE9">
            <w:pPr>
              <w:jc w:val="right"/>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14:paraId="72BC2D17">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14:paraId="5289A42E">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14:paraId="049A85D6">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14:paraId="324A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5FE6D676">
            <w:pPr>
              <w:keepNext w:val="0"/>
              <w:keepLines w:val="0"/>
              <w:widowControl/>
              <w:suppressLineNumbers w:val="0"/>
              <w:jc w:val="right"/>
              <w:textAlignment w:val="center"/>
              <w:rPr>
                <w:rFonts w:hint="eastAsia" w:ascii="Arial" w:hAnsi="Arial"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w:t>
            </w:r>
          </w:p>
        </w:tc>
        <w:tc>
          <w:tcPr>
            <w:tcW w:w="1547" w:type="dxa"/>
            <w:vAlign w:val="center"/>
          </w:tcPr>
          <w:p w14:paraId="2AC33A89">
            <w:pPr>
              <w:jc w:val="left"/>
              <w:rPr>
                <w:rFonts w:hint="eastAsia" w:ascii="宋体" w:hAnsi="宋体" w:eastAsia="宋体" w:cs="宋体"/>
                <w:i w:val="0"/>
                <w:color w:val="auto"/>
                <w:kern w:val="0"/>
                <w:sz w:val="22"/>
                <w:szCs w:val="22"/>
                <w:u w:val="none"/>
                <w:lang w:val="en-US" w:eastAsia="zh-CN" w:bidi="ar"/>
              </w:rPr>
            </w:pPr>
          </w:p>
        </w:tc>
        <w:tc>
          <w:tcPr>
            <w:tcW w:w="2340" w:type="dxa"/>
            <w:vAlign w:val="center"/>
          </w:tcPr>
          <w:p w14:paraId="3F8A48B8">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675" w:type="dxa"/>
            <w:vAlign w:val="center"/>
          </w:tcPr>
          <w:p w14:paraId="79C1E60C">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810" w:type="dxa"/>
            <w:vAlign w:val="center"/>
          </w:tcPr>
          <w:p w14:paraId="5834E329">
            <w:pPr>
              <w:keepNext w:val="0"/>
              <w:keepLines w:val="0"/>
              <w:widowControl/>
              <w:suppressLineNumbers w:val="0"/>
              <w:jc w:val="right"/>
              <w:textAlignment w:val="center"/>
              <w:rPr>
                <w:rFonts w:hint="eastAsia" w:ascii="宋体" w:hAnsi="宋体" w:cs="宋体"/>
                <w:i w:val="0"/>
                <w:color w:val="auto"/>
                <w:kern w:val="0"/>
                <w:sz w:val="22"/>
                <w:szCs w:val="22"/>
                <w:u w:val="none"/>
                <w:lang w:val="en-US" w:eastAsia="zh-CN" w:bidi="ar"/>
              </w:rPr>
            </w:pPr>
          </w:p>
        </w:tc>
        <w:tc>
          <w:tcPr>
            <w:tcW w:w="1110" w:type="dxa"/>
            <w:vAlign w:val="center"/>
          </w:tcPr>
          <w:p w14:paraId="2EB8E940">
            <w:pPr>
              <w:jc w:val="right"/>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14:paraId="545D5BE4">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14:paraId="73327C1E">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14:paraId="7D286768">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14:paraId="23C5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0AECC6D1">
            <w:pPr>
              <w:pStyle w:val="8"/>
              <w:spacing w:line="500" w:lineRule="exact"/>
              <w:ind w:firstLine="0" w:firstLineChars="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合计</w:t>
            </w:r>
          </w:p>
        </w:tc>
        <w:tc>
          <w:tcPr>
            <w:tcW w:w="3887" w:type="dxa"/>
            <w:gridSpan w:val="2"/>
            <w:vAlign w:val="center"/>
          </w:tcPr>
          <w:p w14:paraId="24473AA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675" w:type="dxa"/>
            <w:vAlign w:val="center"/>
          </w:tcPr>
          <w:p w14:paraId="15BBB71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810" w:type="dxa"/>
            <w:vAlign w:val="center"/>
          </w:tcPr>
          <w:p w14:paraId="78FD602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110" w:type="dxa"/>
            <w:vAlign w:val="center"/>
          </w:tcPr>
          <w:p w14:paraId="2DC200E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14:paraId="10E8B32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14:paraId="770A07E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14:paraId="580F180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r>
      <w:tr w14:paraId="1E8C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25581090">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
                <w:bCs/>
                <w:color w:val="auto"/>
                <w:sz w:val="24"/>
              </w:rPr>
              <w:t>合计</w:t>
            </w:r>
            <w:r>
              <w:rPr>
                <w:rFonts w:hint="default" w:ascii="Times New Roman" w:hAnsi="Times New Roman" w:eastAsia="仿宋_GB2312" w:cs="Times New Roman"/>
                <w:b/>
                <w:bCs/>
                <w:color w:val="auto"/>
                <w:sz w:val="24"/>
                <w:lang w:eastAsia="zh-CN"/>
              </w:rPr>
              <w:t>人民币</w:t>
            </w:r>
            <w:r>
              <w:rPr>
                <w:rFonts w:hint="eastAsia" w:eastAsia="仿宋_GB2312" w:cs="Times New Roman"/>
                <w:b/>
                <w:bCs/>
                <w:color w:val="auto"/>
                <w:sz w:val="24"/>
                <w:lang w:val="en-US" w:eastAsia="zh-CN"/>
              </w:rPr>
              <w:t>不含税</w:t>
            </w:r>
            <w:r>
              <w:rPr>
                <w:rFonts w:hint="default" w:ascii="Times New Roman" w:hAnsi="Times New Roman" w:eastAsia="仿宋_GB2312" w:cs="Times New Roman"/>
                <w:b/>
                <w:bCs/>
                <w:color w:val="auto"/>
                <w:sz w:val="24"/>
                <w:lang w:eastAsia="zh-CN"/>
              </w:rPr>
              <w:t>金额（大写）</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lang w:eastAsia="zh-CN"/>
              </w:rPr>
              <w:t>元整</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szCs w:val="24"/>
                <w:lang w:val="en-US" w:eastAsia="zh-CN"/>
              </w:rPr>
              <w:t>¥ 00.00</w:t>
            </w:r>
          </w:p>
        </w:tc>
      </w:tr>
      <w:tr w14:paraId="6D17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0294F454">
            <w:pPr>
              <w:jc w:val="left"/>
              <w:rPr>
                <w:rFonts w:hint="default" w:ascii="Times New Roman" w:hAnsi="Times New Roman" w:eastAsia="仿宋_GB2312" w:cs="Times New Roman"/>
                <w:b/>
                <w:bCs/>
                <w:color w:val="auto"/>
                <w:sz w:val="24"/>
                <w:lang w:val="en-US"/>
              </w:rPr>
            </w:pPr>
            <w:r>
              <w:rPr>
                <w:rFonts w:hint="default" w:ascii="Times New Roman" w:hAnsi="Times New Roman" w:eastAsia="仿宋_GB2312" w:cs="Times New Roman"/>
                <w:b/>
                <w:bCs/>
                <w:color w:val="auto"/>
                <w:sz w:val="24"/>
              </w:rPr>
              <w:t>合计</w:t>
            </w:r>
            <w:r>
              <w:rPr>
                <w:rFonts w:hint="default" w:ascii="Times New Roman" w:hAnsi="Times New Roman" w:eastAsia="仿宋_GB2312" w:cs="Times New Roman"/>
                <w:b/>
                <w:bCs/>
                <w:color w:val="auto"/>
                <w:sz w:val="24"/>
                <w:lang w:eastAsia="zh-CN"/>
              </w:rPr>
              <w:t>人民币金额（大写）</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lang w:eastAsia="zh-CN"/>
              </w:rPr>
              <w:t>元整</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szCs w:val="24"/>
                <w:lang w:val="en-US" w:eastAsia="zh-CN"/>
              </w:rPr>
              <w:t>¥ 00.00</w:t>
            </w:r>
          </w:p>
        </w:tc>
      </w:tr>
    </w:tbl>
    <w:p w14:paraId="5242CD18">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报价要求：</w:t>
      </w:r>
    </w:p>
    <w:p w14:paraId="23D64D39">
      <w:pPr>
        <w:pStyle w:val="7"/>
        <w:rPr>
          <w:rFonts w:hint="default" w:ascii="Times New Roman" w:hAnsi="Times New Roman" w:eastAsia="仿宋_GB2312" w:cs="Times New Roman"/>
          <w:color w:val="auto"/>
          <w:kern w:val="0"/>
          <w:sz w:val="32"/>
          <w:szCs w:val="32"/>
          <w:lang w:val="en-US" w:eastAsia="zh-CN" w:bidi="ar-SA"/>
        </w:rPr>
      </w:pPr>
      <w:r>
        <w:rPr>
          <w:rFonts w:hint="eastAsia" w:ascii="仿宋_GB2312" w:hAnsi="黑体" w:eastAsia="仿宋_GB2312" w:cs="黑体"/>
          <w:color w:val="auto"/>
          <w:sz w:val="32"/>
          <w:szCs w:val="32"/>
          <w:lang w:val="en-US" w:eastAsia="zh-CN"/>
        </w:rPr>
        <w:t>报价含税费、运费。</w:t>
      </w:r>
    </w:p>
    <w:p w14:paraId="4DE0CB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rPr>
        <w:t>四、交货地址：</w:t>
      </w:r>
      <w:r>
        <w:rPr>
          <w:rFonts w:hint="eastAsia" w:ascii="Times New Roman" w:hAnsi="Times New Roman" w:eastAsia="仿宋_GB2312" w:cs="Times New Roman"/>
          <w:color w:val="auto"/>
          <w:kern w:val="0"/>
          <w:sz w:val="32"/>
          <w:szCs w:val="32"/>
          <w:lang w:val="en-US" w:eastAsia="zh-CN"/>
        </w:rPr>
        <w:t>英德市浛洸镇西郊粤北糖业有限公司</w:t>
      </w:r>
    </w:p>
    <w:p w14:paraId="01DE59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、交货时间：</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eastAsia="zh-CN"/>
        </w:rPr>
        <w:t>天</w:t>
      </w:r>
    </w:p>
    <w:p w14:paraId="47BF9B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、评审办法</w:t>
      </w:r>
      <w:r>
        <w:rPr>
          <w:rFonts w:hint="default" w:ascii="Times New Roman" w:hAnsi="Times New Roman" w:eastAsia="仿宋" w:cs="Times New Roman"/>
          <w:color w:val="auto"/>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14:paraId="20E9F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lang w:val="en-US" w:eastAsia="zh-CN"/>
        </w:rPr>
        <w:t>“授标方式为分开授标，标的最低价中标（税率不一致时按不含税金额最低价授标））”（供应商报价相同的情况下，不做废标处理，允许采购员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7BD7BE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先货后款，需方使用部门验收合格领用后，开具入库结算单，供方依据入库结算单提供增值税专用发票挂帐后，需方按资金支付计划支付货款。</w:t>
      </w:r>
    </w:p>
    <w:p w14:paraId="37C80E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、合同草案</w:t>
      </w:r>
      <w:r>
        <w:rPr>
          <w:rFonts w:hint="default" w:ascii="Times New Roman" w:hAnsi="Times New Roman" w:eastAsia="仿宋" w:cs="Times New Roman"/>
          <w:color w:val="auto"/>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color w:val="auto"/>
          <w:sz w:val="32"/>
          <w:szCs w:val="32"/>
        </w:rPr>
        <w:t>）：</w:t>
      </w:r>
    </w:p>
    <w:p w14:paraId="202116B2">
      <w:pPr>
        <w:pStyle w:val="5"/>
        <w:jc w:val="center"/>
        <w:rPr>
          <w:rFonts w:hint="default" w:ascii="Times New Roman" w:hAnsi="Times New Roman" w:eastAsia="宋体" w:cs="Times New Roman"/>
          <w:bCs w:val="0"/>
          <w:color w:val="auto"/>
          <w:sz w:val="48"/>
          <w:szCs w:val="48"/>
        </w:rPr>
      </w:pPr>
    </w:p>
    <w:p w14:paraId="2C317B07">
      <w:pPr>
        <w:widowControl/>
        <w:spacing w:line="500" w:lineRule="exact"/>
        <w:jc w:val="center"/>
        <w:rPr>
          <w:rFonts w:hint="eastAsia" w:ascii="仿宋_GB2312" w:hAnsi="黑体" w:eastAsia="仿宋_GB2312"/>
          <w:b/>
          <w:bCs/>
          <w:color w:val="auto"/>
          <w:sz w:val="44"/>
          <w:szCs w:val="44"/>
          <w:u w:val="single"/>
        </w:rPr>
      </w:pPr>
    </w:p>
    <w:p w14:paraId="27D72627">
      <w:pPr>
        <w:widowControl/>
        <w:spacing w:line="500" w:lineRule="exact"/>
        <w:jc w:val="center"/>
        <w:rPr>
          <w:rFonts w:hint="eastAsia" w:ascii="仿宋_GB2312" w:hAnsi="黑体" w:eastAsia="仿宋_GB2312"/>
          <w:b/>
          <w:bCs/>
          <w:color w:val="auto"/>
          <w:sz w:val="44"/>
          <w:szCs w:val="44"/>
          <w:u w:val="single"/>
        </w:rPr>
      </w:pPr>
    </w:p>
    <w:p w14:paraId="2238D304">
      <w:pPr>
        <w:widowControl/>
        <w:spacing w:line="500" w:lineRule="exact"/>
        <w:jc w:val="center"/>
        <w:rPr>
          <w:rFonts w:hint="eastAsia" w:ascii="仿宋_GB2312" w:hAnsi="黑体" w:eastAsia="仿宋_GB2312"/>
          <w:b/>
          <w:bCs/>
          <w:color w:val="auto"/>
          <w:sz w:val="44"/>
          <w:szCs w:val="44"/>
          <w:u w:val="single"/>
        </w:rPr>
      </w:pPr>
    </w:p>
    <w:p w14:paraId="2CAF438D">
      <w:pPr>
        <w:widowControl/>
        <w:spacing w:line="500" w:lineRule="exact"/>
        <w:jc w:val="center"/>
        <w:rPr>
          <w:rFonts w:hint="eastAsia" w:ascii="仿宋_GB2312" w:hAnsi="黑体" w:eastAsia="仿宋_GB2312"/>
          <w:b/>
          <w:bCs/>
          <w:color w:val="auto"/>
          <w:sz w:val="44"/>
          <w:szCs w:val="44"/>
          <w:u w:val="single"/>
        </w:rPr>
      </w:pPr>
    </w:p>
    <w:p w14:paraId="696AF946">
      <w:pPr>
        <w:widowControl/>
        <w:spacing w:line="500" w:lineRule="exact"/>
        <w:jc w:val="center"/>
        <w:rPr>
          <w:rFonts w:hint="eastAsia" w:ascii="仿宋_GB2312" w:hAnsi="黑体" w:eastAsia="仿宋_GB2312"/>
          <w:b/>
          <w:bCs/>
          <w:color w:val="auto"/>
          <w:sz w:val="44"/>
          <w:szCs w:val="44"/>
          <w:u w:val="single"/>
        </w:rPr>
      </w:pPr>
    </w:p>
    <w:p w14:paraId="0BC8984D">
      <w:pPr>
        <w:widowControl/>
        <w:spacing w:line="500" w:lineRule="exact"/>
        <w:jc w:val="center"/>
        <w:rPr>
          <w:rFonts w:hint="eastAsia" w:ascii="仿宋_GB2312" w:hAnsi="黑体" w:eastAsia="仿宋_GB2312"/>
          <w:b/>
          <w:bCs/>
          <w:color w:val="auto"/>
          <w:sz w:val="44"/>
          <w:szCs w:val="44"/>
          <w:u w:val="single"/>
        </w:rPr>
      </w:pPr>
    </w:p>
    <w:p w14:paraId="72AAE6A3">
      <w:pPr>
        <w:pStyle w:val="5"/>
        <w:jc w:val="center"/>
        <w:rPr>
          <w:rFonts w:hint="eastAsia" w:ascii="黑体" w:hAnsi="宋体" w:eastAsia="黑体"/>
          <w:color w:val="auto"/>
          <w:sz w:val="48"/>
          <w:szCs w:val="48"/>
          <w:lang w:eastAsia="zh-CN"/>
        </w:rPr>
      </w:pPr>
    </w:p>
    <w:p w14:paraId="6C4E9553">
      <w:pPr>
        <w:pStyle w:val="5"/>
        <w:jc w:val="center"/>
        <w:rPr>
          <w:rFonts w:hint="eastAsia" w:ascii="黑体" w:hAnsi="宋体" w:eastAsia="黑体"/>
          <w:color w:val="auto"/>
          <w:sz w:val="48"/>
          <w:szCs w:val="48"/>
          <w:lang w:eastAsia="zh-CN"/>
        </w:rPr>
      </w:pPr>
    </w:p>
    <w:p w14:paraId="47B2CC45">
      <w:pPr>
        <w:pStyle w:val="5"/>
        <w:jc w:val="center"/>
        <w:rPr>
          <w:rFonts w:ascii="黑体" w:hAnsi="宋体" w:eastAsia="黑体"/>
          <w:color w:val="auto"/>
          <w:sz w:val="48"/>
          <w:szCs w:val="48"/>
          <w:lang w:eastAsia="zh-CN"/>
        </w:rPr>
      </w:pPr>
      <w:r>
        <w:rPr>
          <w:rFonts w:hint="eastAsia" w:ascii="黑体" w:hAnsi="宋体" w:eastAsia="黑体"/>
          <w:color w:val="auto"/>
          <w:sz w:val="48"/>
          <w:szCs w:val="48"/>
          <w:lang w:eastAsia="zh-CN"/>
        </w:rPr>
        <w:t>采购合同</w:t>
      </w:r>
    </w:p>
    <w:p w14:paraId="2C4C70BB">
      <w:pPr>
        <w:pStyle w:val="5"/>
        <w:jc w:val="center"/>
        <w:rPr>
          <w:rFonts w:ascii="宋体" w:hAnsi="宋体"/>
          <w:color w:val="auto"/>
          <w:sz w:val="36"/>
          <w:szCs w:val="36"/>
          <w:lang w:eastAsia="zh-CN"/>
        </w:rPr>
      </w:pPr>
      <w:r>
        <w:rPr>
          <w:rFonts w:hint="eastAsia" w:ascii="宋体" w:hAnsi="宋体"/>
          <w:color w:val="auto"/>
          <w:sz w:val="36"/>
          <w:szCs w:val="36"/>
          <w:lang w:eastAsia="zh-CN"/>
        </w:rPr>
        <w:t>（</w:t>
      </w:r>
      <w:r>
        <w:rPr>
          <w:rFonts w:hint="eastAsia" w:ascii="宋体" w:hAnsi="宋体"/>
          <w:color w:val="auto"/>
          <w:sz w:val="36"/>
          <w:szCs w:val="36"/>
          <w:lang w:val="en-US" w:eastAsia="zh-CN"/>
        </w:rPr>
        <w:t>xx</w:t>
      </w:r>
      <w:r>
        <w:rPr>
          <w:rFonts w:hint="eastAsia" w:ascii="宋体" w:hAnsi="宋体"/>
          <w:color w:val="auto"/>
          <w:sz w:val="36"/>
          <w:szCs w:val="36"/>
          <w:lang w:eastAsia="zh-CN"/>
        </w:rPr>
        <w:t>物资合同）</w:t>
      </w:r>
    </w:p>
    <w:p w14:paraId="76C6B279">
      <w:pPr>
        <w:pStyle w:val="5"/>
        <w:jc w:val="center"/>
        <w:rPr>
          <w:rFonts w:ascii="宋体" w:hAnsi="宋体"/>
          <w:color w:val="auto"/>
          <w:sz w:val="48"/>
          <w:szCs w:val="48"/>
          <w:lang w:eastAsia="zh-CN"/>
        </w:rPr>
      </w:pPr>
    </w:p>
    <w:p w14:paraId="0C35956E">
      <w:pPr>
        <w:pStyle w:val="5"/>
        <w:jc w:val="center"/>
        <w:rPr>
          <w:rFonts w:ascii="宋体" w:hAnsi="宋体"/>
          <w:color w:val="auto"/>
          <w:sz w:val="48"/>
          <w:szCs w:val="48"/>
          <w:lang w:eastAsia="zh-CN"/>
        </w:rPr>
      </w:pPr>
    </w:p>
    <w:p w14:paraId="2CF4417A">
      <w:pPr>
        <w:pStyle w:val="5"/>
        <w:jc w:val="center"/>
        <w:rPr>
          <w:rFonts w:ascii="宋体" w:hAnsi="宋体"/>
          <w:color w:val="auto"/>
          <w:sz w:val="48"/>
          <w:szCs w:val="48"/>
          <w:lang w:eastAsia="zh-CN"/>
        </w:rPr>
      </w:pPr>
    </w:p>
    <w:p w14:paraId="41E2E270">
      <w:pPr>
        <w:pStyle w:val="5"/>
        <w:jc w:val="center"/>
        <w:rPr>
          <w:rFonts w:ascii="宋体" w:hAnsi="宋体"/>
          <w:color w:val="auto"/>
          <w:sz w:val="48"/>
          <w:szCs w:val="48"/>
          <w:lang w:eastAsia="zh-CN"/>
        </w:rPr>
      </w:pPr>
    </w:p>
    <w:p w14:paraId="43DF3D54">
      <w:pPr>
        <w:pStyle w:val="5"/>
        <w:jc w:val="center"/>
        <w:rPr>
          <w:rFonts w:ascii="宋体" w:hAnsi="宋体"/>
          <w:color w:val="auto"/>
          <w:sz w:val="48"/>
          <w:szCs w:val="48"/>
          <w:lang w:eastAsia="zh-CN"/>
        </w:rPr>
      </w:pPr>
    </w:p>
    <w:p w14:paraId="1C5C52E9">
      <w:pPr>
        <w:pStyle w:val="5"/>
        <w:jc w:val="center"/>
        <w:rPr>
          <w:rFonts w:ascii="宋体" w:hAnsi="宋体"/>
          <w:color w:val="auto"/>
          <w:sz w:val="48"/>
          <w:szCs w:val="48"/>
          <w:lang w:eastAsia="zh-CN"/>
        </w:rPr>
      </w:pPr>
    </w:p>
    <w:p w14:paraId="0475EE7A">
      <w:pPr>
        <w:pStyle w:val="5"/>
        <w:jc w:val="center"/>
        <w:rPr>
          <w:rFonts w:ascii="宋体" w:hAnsi="宋体"/>
          <w:color w:val="auto"/>
          <w:sz w:val="48"/>
          <w:szCs w:val="48"/>
          <w:lang w:eastAsia="zh-CN"/>
        </w:rPr>
      </w:pPr>
    </w:p>
    <w:p w14:paraId="029486B5">
      <w:pPr>
        <w:pStyle w:val="5"/>
        <w:jc w:val="center"/>
        <w:rPr>
          <w:rFonts w:ascii="宋体" w:hAnsi="宋体"/>
          <w:color w:val="auto"/>
          <w:sz w:val="48"/>
          <w:szCs w:val="48"/>
          <w:lang w:eastAsia="zh-CN"/>
        </w:rPr>
      </w:pPr>
    </w:p>
    <w:p w14:paraId="50456A25">
      <w:pPr>
        <w:pStyle w:val="5"/>
        <w:jc w:val="center"/>
        <w:rPr>
          <w:rFonts w:ascii="宋体" w:hAnsi="宋体"/>
          <w:color w:val="auto"/>
          <w:sz w:val="48"/>
          <w:szCs w:val="48"/>
          <w:lang w:eastAsia="zh-CN"/>
        </w:rPr>
      </w:pPr>
    </w:p>
    <w:p w14:paraId="759C7750">
      <w:pPr>
        <w:pStyle w:val="5"/>
        <w:jc w:val="center"/>
        <w:rPr>
          <w:rFonts w:ascii="宋体" w:hAnsi="宋体"/>
          <w:color w:val="auto"/>
          <w:sz w:val="48"/>
          <w:szCs w:val="48"/>
          <w:lang w:eastAsia="zh-CN"/>
        </w:rPr>
      </w:pPr>
    </w:p>
    <w:p w14:paraId="7E427D1C">
      <w:pPr>
        <w:pStyle w:val="5"/>
        <w:jc w:val="center"/>
        <w:rPr>
          <w:rFonts w:ascii="宋体" w:hAnsi="宋体"/>
          <w:color w:val="auto"/>
          <w:sz w:val="48"/>
          <w:szCs w:val="48"/>
          <w:lang w:eastAsia="zh-CN"/>
        </w:rPr>
      </w:pPr>
    </w:p>
    <w:p w14:paraId="1F997559">
      <w:pPr>
        <w:pStyle w:val="5"/>
        <w:jc w:val="center"/>
        <w:rPr>
          <w:rFonts w:ascii="宋体" w:hAnsi="宋体"/>
          <w:color w:val="auto"/>
          <w:sz w:val="48"/>
          <w:szCs w:val="48"/>
          <w:lang w:eastAsia="zh-CN"/>
        </w:rPr>
      </w:pPr>
    </w:p>
    <w:p w14:paraId="0F29CEB6">
      <w:pPr>
        <w:pStyle w:val="5"/>
        <w:jc w:val="center"/>
        <w:rPr>
          <w:rFonts w:ascii="宋体" w:hAnsi="宋体"/>
          <w:color w:val="auto"/>
          <w:sz w:val="48"/>
          <w:szCs w:val="48"/>
          <w:lang w:eastAsia="zh-CN"/>
        </w:rPr>
      </w:pPr>
    </w:p>
    <w:p w14:paraId="5FF64395">
      <w:pPr>
        <w:pStyle w:val="5"/>
        <w:jc w:val="center"/>
        <w:rPr>
          <w:rFonts w:ascii="宋体" w:hAnsi="宋体"/>
          <w:color w:val="auto"/>
          <w:sz w:val="48"/>
          <w:szCs w:val="48"/>
          <w:lang w:eastAsia="zh-CN"/>
        </w:rPr>
      </w:pPr>
    </w:p>
    <w:p w14:paraId="55D9AD6B">
      <w:pPr>
        <w:pStyle w:val="5"/>
        <w:jc w:val="center"/>
        <w:rPr>
          <w:rFonts w:ascii="宋体" w:hAnsi="宋体"/>
          <w:color w:val="auto"/>
          <w:sz w:val="48"/>
          <w:szCs w:val="48"/>
          <w:lang w:eastAsia="zh-CN"/>
        </w:rPr>
      </w:pPr>
    </w:p>
    <w:p w14:paraId="14E35F5D">
      <w:pPr>
        <w:pStyle w:val="5"/>
        <w:jc w:val="center"/>
        <w:rPr>
          <w:rFonts w:ascii="宋体" w:hAnsi="宋体"/>
          <w:color w:val="auto"/>
          <w:sz w:val="48"/>
          <w:szCs w:val="48"/>
          <w:lang w:eastAsia="zh-CN"/>
        </w:rPr>
      </w:pPr>
    </w:p>
    <w:p w14:paraId="0C71C47D">
      <w:pPr>
        <w:pStyle w:val="5"/>
        <w:jc w:val="center"/>
        <w:rPr>
          <w:rFonts w:ascii="宋体" w:hAnsi="宋体"/>
          <w:color w:val="auto"/>
          <w:sz w:val="48"/>
          <w:szCs w:val="48"/>
          <w:lang w:eastAsia="zh-CN"/>
        </w:rPr>
      </w:pPr>
    </w:p>
    <w:p w14:paraId="3171856F">
      <w:pPr>
        <w:pStyle w:val="5"/>
        <w:jc w:val="center"/>
        <w:rPr>
          <w:rFonts w:ascii="宋体" w:hAnsi="宋体"/>
          <w:color w:val="auto"/>
          <w:sz w:val="48"/>
          <w:szCs w:val="48"/>
          <w:lang w:eastAsia="zh-CN"/>
        </w:rPr>
      </w:pPr>
    </w:p>
    <w:p w14:paraId="5CFF1A6F">
      <w:pPr>
        <w:pStyle w:val="5"/>
        <w:spacing w:line="460" w:lineRule="exact"/>
        <w:ind w:left="0"/>
        <w:rPr>
          <w:rFonts w:ascii="宋体" w:hAnsi="宋体"/>
          <w:color w:val="auto"/>
          <w:sz w:val="24"/>
          <w:szCs w:val="24"/>
          <w:lang w:eastAsia="zh-CN"/>
        </w:rPr>
      </w:pPr>
    </w:p>
    <w:p w14:paraId="268FC554">
      <w:pPr>
        <w:pStyle w:val="5"/>
        <w:spacing w:line="460" w:lineRule="exact"/>
        <w:ind w:left="0"/>
        <w:rPr>
          <w:rFonts w:ascii="宋体" w:hAnsi="宋体"/>
          <w:color w:val="auto"/>
          <w:sz w:val="24"/>
          <w:szCs w:val="24"/>
          <w:lang w:eastAsia="zh-CN"/>
        </w:rPr>
      </w:pPr>
    </w:p>
    <w:p w14:paraId="1E139AF8">
      <w:pPr>
        <w:pStyle w:val="5"/>
        <w:spacing w:line="460" w:lineRule="exact"/>
        <w:ind w:left="0"/>
        <w:rPr>
          <w:rFonts w:ascii="宋体" w:hAnsi="宋体"/>
          <w:color w:val="auto"/>
          <w:sz w:val="24"/>
          <w:szCs w:val="24"/>
          <w:lang w:eastAsia="zh-CN"/>
        </w:rPr>
      </w:pPr>
    </w:p>
    <w:p w14:paraId="37A40B02">
      <w:pPr>
        <w:pStyle w:val="5"/>
        <w:spacing w:line="460" w:lineRule="exact"/>
        <w:ind w:left="5250" w:leftChars="2500" w:firstLine="354" w:firstLineChars="147"/>
        <w:rPr>
          <w:rFonts w:hint="eastAsia" w:ascii="宋体" w:hAnsi="宋体"/>
          <w:color w:val="auto"/>
          <w:sz w:val="24"/>
          <w:szCs w:val="24"/>
          <w:lang w:eastAsia="zh-CN"/>
        </w:rPr>
      </w:pPr>
      <w:r>
        <w:rPr>
          <w:rFonts w:hint="eastAsia" w:ascii="宋体" w:hAnsi="宋体"/>
          <w:color w:val="auto"/>
          <w:sz w:val="24"/>
          <w:szCs w:val="24"/>
          <w:lang w:eastAsia="zh-CN"/>
        </w:rPr>
        <w:t>合同编号：</w:t>
      </w:r>
    </w:p>
    <w:p w14:paraId="08712838">
      <w:pPr>
        <w:pStyle w:val="5"/>
        <w:spacing w:line="460" w:lineRule="exact"/>
        <w:ind w:left="5250" w:leftChars="2500" w:firstLine="354" w:firstLineChars="147"/>
        <w:rPr>
          <w:rFonts w:ascii="宋体" w:hAnsi="宋体"/>
          <w:color w:val="auto"/>
          <w:sz w:val="24"/>
          <w:szCs w:val="24"/>
          <w:lang w:eastAsia="zh-CN"/>
        </w:rPr>
      </w:pPr>
      <w:r>
        <w:rPr>
          <w:rFonts w:hint="eastAsia" w:ascii="宋体" w:hAnsi="宋体"/>
          <w:color w:val="auto"/>
          <w:sz w:val="24"/>
          <w:szCs w:val="24"/>
          <w:lang w:eastAsia="zh-CN"/>
        </w:rPr>
        <w:t>签订日期：</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年  月  日</w:t>
      </w:r>
    </w:p>
    <w:p w14:paraId="6785A85E">
      <w:pPr>
        <w:pStyle w:val="5"/>
        <w:spacing w:line="460" w:lineRule="exact"/>
        <w:ind w:left="5250" w:leftChars="2500" w:firstLine="354" w:firstLineChars="147"/>
        <w:rPr>
          <w:rFonts w:ascii="宋体" w:hAnsi="宋体"/>
          <w:color w:val="auto"/>
          <w:sz w:val="24"/>
          <w:szCs w:val="24"/>
          <w:lang w:eastAsia="zh-CN"/>
        </w:rPr>
      </w:pPr>
      <w:r>
        <w:rPr>
          <w:rFonts w:hint="eastAsia" w:ascii="宋体" w:hAnsi="宋体"/>
          <w:color w:val="auto"/>
          <w:sz w:val="24"/>
          <w:szCs w:val="24"/>
          <w:lang w:eastAsia="zh-CN"/>
        </w:rPr>
        <w:t>签订地点: 英德市</w:t>
      </w:r>
    </w:p>
    <w:p w14:paraId="20600954">
      <w:pPr>
        <w:pStyle w:val="5"/>
        <w:spacing w:line="460" w:lineRule="exact"/>
        <w:ind w:left="5043" w:hanging="5062" w:hangingChars="1801"/>
        <w:rPr>
          <w:rFonts w:ascii="宋体" w:hAnsi="宋体"/>
          <w:color w:val="auto"/>
          <w:sz w:val="28"/>
          <w:szCs w:val="28"/>
          <w:lang w:eastAsia="zh-CN"/>
        </w:rPr>
      </w:pPr>
      <w:r>
        <w:rPr>
          <w:rFonts w:hint="eastAsia" w:ascii="宋体" w:hAnsi="宋体"/>
          <w:color w:val="auto"/>
          <w:sz w:val="28"/>
          <w:szCs w:val="28"/>
          <w:lang w:eastAsia="zh-CN"/>
        </w:rPr>
        <w:t xml:space="preserve">购买方: </w:t>
      </w:r>
      <w:r>
        <w:rPr>
          <w:rFonts w:hint="eastAsia" w:ascii="宋体" w:hAnsi="宋体"/>
          <w:color w:val="auto"/>
          <w:sz w:val="28"/>
          <w:szCs w:val="28"/>
          <w:lang w:val="en-US" w:eastAsia="zh-CN"/>
        </w:rPr>
        <w:t>xx</w:t>
      </w:r>
      <w:r>
        <w:rPr>
          <w:rFonts w:ascii="宋体" w:hAnsi="宋体"/>
          <w:color w:val="auto"/>
          <w:sz w:val="28"/>
          <w:szCs w:val="28"/>
          <w:lang w:eastAsia="zh-CN"/>
        </w:rPr>
        <w:t>公司</w:t>
      </w:r>
    </w:p>
    <w:p w14:paraId="2EB364B1">
      <w:pPr>
        <w:pStyle w:val="5"/>
        <w:ind w:left="0"/>
        <w:rPr>
          <w:rFonts w:ascii="宋体" w:hAnsi="宋体"/>
          <w:color w:val="auto"/>
          <w:sz w:val="21"/>
          <w:szCs w:val="21"/>
          <w:lang w:eastAsia="zh-CN"/>
        </w:rPr>
      </w:pPr>
      <w:r>
        <w:rPr>
          <w:rFonts w:hint="eastAsia" w:ascii="宋体" w:hAnsi="宋体"/>
          <w:color w:val="auto"/>
          <w:sz w:val="28"/>
          <w:szCs w:val="28"/>
        </w:rPr>
        <w:t>销售方:</w:t>
      </w:r>
    </w:p>
    <w:p w14:paraId="670959F9">
      <w:pPr>
        <w:pStyle w:val="5"/>
        <w:numPr>
          <w:ilvl w:val="0"/>
          <w:numId w:val="2"/>
        </w:numPr>
        <w:spacing w:line="500" w:lineRule="exact"/>
        <w:rPr>
          <w:rFonts w:ascii="宋体" w:hAnsi="宋体"/>
          <w:color w:val="auto"/>
          <w:sz w:val="28"/>
          <w:szCs w:val="28"/>
        </w:rPr>
      </w:pPr>
      <w:r>
        <w:rPr>
          <w:rFonts w:hint="eastAsia" w:ascii="宋体" w:hAnsi="宋体"/>
          <w:color w:val="auto"/>
          <w:sz w:val="28"/>
          <w:szCs w:val="28"/>
        </w:rPr>
        <w:t>订购物资数量及规格</w:t>
      </w:r>
    </w:p>
    <w:p w14:paraId="7008B765">
      <w:pPr>
        <w:pStyle w:val="5"/>
        <w:spacing w:line="500" w:lineRule="exact"/>
        <w:ind w:firstLine="562" w:firstLineChars="200"/>
        <w:rPr>
          <w:rFonts w:ascii="宋体" w:hAnsi="宋体"/>
          <w:color w:val="auto"/>
          <w:sz w:val="28"/>
          <w:szCs w:val="28"/>
          <w:lang w:eastAsia="zh-CN"/>
        </w:rPr>
      </w:pPr>
      <w:r>
        <w:rPr>
          <w:rFonts w:hint="eastAsia" w:ascii="宋体" w:hAnsi="宋体"/>
          <w:color w:val="auto"/>
          <w:sz w:val="28"/>
          <w:szCs w:val="28"/>
          <w:lang w:eastAsia="zh-CN"/>
        </w:rPr>
        <w:t>见附表。附表是本合同不可分割的组成部分，与合同正文具有同等法律效力。</w:t>
      </w:r>
    </w:p>
    <w:p w14:paraId="1F37B403">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第二条  订购物资质量要求</w:t>
      </w:r>
    </w:p>
    <w:p w14:paraId="59173B2E">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一、所订购的物资(以下简称货物)质量技术指标符合相</w:t>
      </w:r>
      <w:r>
        <w:rPr>
          <w:rFonts w:ascii="宋体" w:hAnsi="宋体"/>
          <w:color w:val="auto"/>
          <w:sz w:val="28"/>
          <w:szCs w:val="28"/>
          <w:lang w:eastAsia="zh-CN"/>
        </w:rPr>
        <w:t>关标准</w:t>
      </w:r>
      <w:r>
        <w:rPr>
          <w:rFonts w:hint="eastAsia" w:ascii="宋体" w:hAnsi="宋体"/>
          <w:color w:val="auto"/>
          <w:sz w:val="28"/>
          <w:szCs w:val="28"/>
          <w:lang w:eastAsia="zh-CN"/>
        </w:rPr>
        <w:t>(包括</w:t>
      </w:r>
      <w:r>
        <w:rPr>
          <w:rFonts w:ascii="宋体" w:hAnsi="宋体"/>
          <w:color w:val="auto"/>
          <w:sz w:val="28"/>
          <w:szCs w:val="28"/>
          <w:lang w:eastAsia="zh-CN"/>
        </w:rPr>
        <w:t>国家标准、行业标准</w:t>
      </w:r>
      <w:r>
        <w:rPr>
          <w:rFonts w:hint="eastAsia" w:ascii="宋体" w:hAnsi="宋体"/>
          <w:color w:val="auto"/>
          <w:sz w:val="28"/>
          <w:szCs w:val="28"/>
          <w:lang w:eastAsia="zh-CN"/>
        </w:rPr>
        <w:t>及</w:t>
      </w:r>
      <w:r>
        <w:rPr>
          <w:rFonts w:ascii="宋体" w:hAnsi="宋体"/>
          <w:color w:val="auto"/>
          <w:sz w:val="28"/>
          <w:szCs w:val="28"/>
          <w:lang w:eastAsia="zh-CN"/>
        </w:rPr>
        <w:t>企业标准</w:t>
      </w:r>
      <w:r>
        <w:rPr>
          <w:rFonts w:hint="eastAsia" w:ascii="宋体" w:hAnsi="宋体"/>
          <w:color w:val="auto"/>
          <w:sz w:val="28"/>
          <w:szCs w:val="28"/>
          <w:lang w:eastAsia="zh-CN"/>
        </w:rPr>
        <w:t>)</w:t>
      </w:r>
      <w:r>
        <w:rPr>
          <w:rFonts w:ascii="宋体" w:hAnsi="宋体"/>
          <w:color w:val="auto"/>
          <w:sz w:val="28"/>
          <w:szCs w:val="28"/>
          <w:lang w:eastAsia="zh-CN"/>
        </w:rPr>
        <w:t>，</w:t>
      </w:r>
      <w:r>
        <w:rPr>
          <w:rFonts w:hint="eastAsia" w:ascii="宋体" w:hAnsi="宋体"/>
          <w:color w:val="auto"/>
          <w:sz w:val="28"/>
          <w:szCs w:val="28"/>
          <w:lang w:eastAsia="zh-CN"/>
        </w:rPr>
        <w:t>相应国标与</w:t>
      </w:r>
      <w:r>
        <w:rPr>
          <w:rFonts w:ascii="宋体" w:hAnsi="宋体"/>
          <w:color w:val="auto"/>
          <w:sz w:val="28"/>
          <w:szCs w:val="28"/>
          <w:lang w:eastAsia="zh-CN"/>
        </w:rPr>
        <w:t>相关</w:t>
      </w:r>
      <w:r>
        <w:rPr>
          <w:rFonts w:hint="eastAsia" w:ascii="宋体" w:hAnsi="宋体"/>
          <w:color w:val="auto"/>
          <w:sz w:val="28"/>
          <w:szCs w:val="28"/>
          <w:lang w:eastAsia="zh-CN"/>
        </w:rPr>
        <w:t>标准供方应提供作为本合同附件之一；</w:t>
      </w:r>
    </w:p>
    <w:p w14:paraId="20102876">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二、供方提供厂检合格证（需</w:t>
      </w:r>
      <w:r>
        <w:rPr>
          <w:rFonts w:ascii="宋体" w:hAnsi="宋体"/>
          <w:color w:val="auto"/>
          <w:sz w:val="28"/>
          <w:szCs w:val="28"/>
          <w:lang w:eastAsia="zh-CN"/>
        </w:rPr>
        <w:t>提</w:t>
      </w:r>
      <w:r>
        <w:rPr>
          <w:rFonts w:hint="eastAsia" w:ascii="宋体" w:hAnsi="宋体"/>
          <w:color w:val="auto"/>
          <w:sz w:val="28"/>
          <w:szCs w:val="28"/>
          <w:lang w:eastAsia="zh-CN"/>
        </w:rPr>
        <w:t>供第三方检测证书的</w:t>
      </w:r>
      <w:r>
        <w:rPr>
          <w:rFonts w:ascii="宋体" w:hAnsi="宋体"/>
          <w:color w:val="auto"/>
          <w:sz w:val="28"/>
          <w:szCs w:val="28"/>
          <w:lang w:eastAsia="zh-CN"/>
        </w:rPr>
        <w:t>，第三方检</w:t>
      </w:r>
      <w:r>
        <w:rPr>
          <w:rFonts w:hint="eastAsia" w:ascii="宋体" w:hAnsi="宋体"/>
          <w:color w:val="auto"/>
          <w:sz w:val="28"/>
          <w:szCs w:val="28"/>
          <w:lang w:eastAsia="zh-CN"/>
        </w:rPr>
        <w:t>测</w:t>
      </w:r>
      <w:r>
        <w:rPr>
          <w:rFonts w:ascii="宋体" w:hAnsi="宋体"/>
          <w:color w:val="auto"/>
          <w:sz w:val="28"/>
          <w:szCs w:val="28"/>
          <w:lang w:eastAsia="zh-CN"/>
        </w:rPr>
        <w:t>证书</w:t>
      </w:r>
      <w:r>
        <w:rPr>
          <w:rFonts w:hint="eastAsia" w:ascii="宋体" w:hAnsi="宋体"/>
          <w:color w:val="auto"/>
          <w:sz w:val="28"/>
          <w:szCs w:val="28"/>
          <w:lang w:eastAsia="zh-CN"/>
        </w:rPr>
        <w:t xml:space="preserve">作为该物资的质量证明。） </w:t>
      </w:r>
    </w:p>
    <w:p w14:paraId="6397669E">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第三条  技术资料提供办法</w:t>
      </w:r>
    </w:p>
    <w:p w14:paraId="04BA1970">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 xml:space="preserve">一、供方给需方提供订购物资的产品目录、样品图集、生产厂及产品介绍、使用说明书等有关资料作为选择该类物资的参考； </w:t>
      </w:r>
    </w:p>
    <w:p w14:paraId="49DD490A">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二、需方对采购物资提出的本合同条款内未约定的相关质量要求视为本条的补充内容，与本合同具有同等法律效力。</w:t>
      </w:r>
    </w:p>
    <w:p w14:paraId="4114150C">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第四条  交货验收</w:t>
      </w:r>
    </w:p>
    <w:p w14:paraId="15C894CF">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一、需方指定使用方工厂交货，按照合同以及相应国标、行业</w:t>
      </w:r>
      <w:r>
        <w:rPr>
          <w:rFonts w:ascii="宋体" w:hAnsi="宋体"/>
          <w:color w:val="auto"/>
          <w:sz w:val="28"/>
          <w:szCs w:val="28"/>
          <w:lang w:eastAsia="zh-CN"/>
        </w:rPr>
        <w:t>标准</w:t>
      </w:r>
      <w:r>
        <w:rPr>
          <w:rFonts w:hint="eastAsia" w:ascii="宋体" w:hAnsi="宋体"/>
          <w:color w:val="auto"/>
          <w:sz w:val="28"/>
          <w:szCs w:val="28"/>
          <w:lang w:eastAsia="zh-CN"/>
        </w:rPr>
        <w:t>及企业标准的质量要求、图纸或样品作为验收标准；</w:t>
      </w:r>
    </w:p>
    <w:p w14:paraId="5CE0AA1D">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4F4B09ED">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第五条  交货时间和地点</w:t>
      </w:r>
    </w:p>
    <w:p w14:paraId="255FACF7">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一、交货日期计算：供方自备运输工具送交需方工厂，以需方接收的戳记日期为准；具体交货时间及地点见附表；</w:t>
      </w:r>
    </w:p>
    <w:p w14:paraId="13F71605">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二、任何一方要求提前或延期交货，必须事先与对方达成协议，并按协议执行。</w:t>
      </w:r>
    </w:p>
    <w:p w14:paraId="47EA1E0C">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第六条  结算方式及期限</w:t>
      </w:r>
    </w:p>
    <w:p w14:paraId="6E102B38">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一、货到后需方按相关标准检验合格后出具接收证明，办理暂存手续。</w:t>
      </w:r>
    </w:p>
    <w:p w14:paraId="636D0B47">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 xml:space="preserve">二、需方使用部门领用后，按期开具入库单，供方依据入库单提供增值税专用发票挂帐后，需方按资金支付计划支付货款。 </w:t>
      </w:r>
    </w:p>
    <w:p w14:paraId="15EBC3C9">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三、电汇方式支付已挂帐货款。</w:t>
      </w:r>
    </w:p>
    <w:p w14:paraId="0916C578">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第七条  其他约定</w:t>
      </w:r>
    </w:p>
    <w:p w14:paraId="28AF4972">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一、供方未按需方要求多送的货物，需方在有存放空间的条件下可作暂存。需方暂存期间（无偿保管），除需方保管有重大过失造成的损失外，需方不承担任何货物毁损灭失责任。</w:t>
      </w:r>
    </w:p>
    <w:p w14:paraId="45C488CE">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F45665">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lang w:eastAsia="zh-CN"/>
        </w:rPr>
        <w:t>与</w:t>
      </w:r>
      <w:r>
        <w:rPr>
          <w:rFonts w:hint="eastAsia" w:ascii="宋体" w:hAnsi="宋体"/>
          <w:color w:val="auto"/>
          <w:sz w:val="28"/>
          <w:szCs w:val="28"/>
          <w:lang w:eastAsia="zh-CN"/>
        </w:rPr>
        <w:t>供方</w:t>
      </w:r>
      <w:r>
        <w:rPr>
          <w:rFonts w:ascii="宋体" w:hAnsi="宋体"/>
          <w:color w:val="auto"/>
          <w:sz w:val="28"/>
          <w:szCs w:val="28"/>
          <w:lang w:eastAsia="zh-CN"/>
        </w:rPr>
        <w:t>达成</w:t>
      </w:r>
      <w:r>
        <w:rPr>
          <w:rFonts w:hint="eastAsia" w:ascii="宋体" w:hAnsi="宋体"/>
          <w:color w:val="auto"/>
          <w:sz w:val="28"/>
          <w:szCs w:val="28"/>
          <w:lang w:eastAsia="zh-CN"/>
        </w:rPr>
        <w:t>调</w:t>
      </w:r>
      <w:r>
        <w:rPr>
          <w:rFonts w:ascii="宋体" w:hAnsi="宋体"/>
          <w:color w:val="auto"/>
          <w:sz w:val="28"/>
          <w:szCs w:val="28"/>
          <w:lang w:eastAsia="zh-CN"/>
        </w:rPr>
        <w:t>换货</w:t>
      </w:r>
      <w:r>
        <w:rPr>
          <w:rFonts w:hint="eastAsia" w:ascii="宋体" w:hAnsi="宋体"/>
          <w:color w:val="auto"/>
          <w:sz w:val="28"/>
          <w:szCs w:val="28"/>
          <w:lang w:eastAsia="zh-CN"/>
        </w:rPr>
        <w:t>意</w:t>
      </w:r>
      <w:r>
        <w:rPr>
          <w:rFonts w:ascii="宋体" w:hAnsi="宋体"/>
          <w:color w:val="auto"/>
          <w:sz w:val="28"/>
          <w:szCs w:val="28"/>
          <w:lang w:eastAsia="zh-CN"/>
        </w:rPr>
        <w:t>向的除外）</w:t>
      </w:r>
      <w:r>
        <w:rPr>
          <w:rFonts w:hint="eastAsia" w:ascii="宋体" w:hAnsi="宋体"/>
          <w:color w:val="auto"/>
          <w:sz w:val="28"/>
          <w:szCs w:val="28"/>
          <w:lang w:eastAsia="zh-CN"/>
        </w:rPr>
        <w:t>。</w:t>
      </w:r>
    </w:p>
    <w:p w14:paraId="550AB25F">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64C3E69E">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五、合同有效期为签订合同之日起一年。</w:t>
      </w:r>
    </w:p>
    <w:p w14:paraId="6FBF6E3D">
      <w:pPr>
        <w:pStyle w:val="5"/>
        <w:tabs>
          <w:tab w:val="left" w:pos="3720"/>
        </w:tabs>
        <w:spacing w:line="500" w:lineRule="exact"/>
        <w:rPr>
          <w:rFonts w:ascii="宋体" w:hAnsi="宋体"/>
          <w:color w:val="auto"/>
          <w:sz w:val="28"/>
          <w:szCs w:val="28"/>
          <w:lang w:eastAsia="zh-CN"/>
        </w:rPr>
      </w:pPr>
      <w:r>
        <w:rPr>
          <w:rFonts w:hint="eastAsia" w:ascii="宋体" w:hAnsi="宋体"/>
          <w:color w:val="auto"/>
          <w:sz w:val="28"/>
          <w:szCs w:val="28"/>
          <w:lang w:eastAsia="zh-CN"/>
        </w:rPr>
        <w:t>第八条  供方的违约责任</w:t>
      </w:r>
      <w:r>
        <w:rPr>
          <w:rFonts w:hint="eastAsia" w:ascii="宋体" w:hAnsi="宋体"/>
          <w:color w:val="auto"/>
          <w:sz w:val="28"/>
          <w:szCs w:val="28"/>
          <w:lang w:eastAsia="zh-CN"/>
        </w:rPr>
        <w:tab/>
      </w:r>
    </w:p>
    <w:p w14:paraId="62629A01">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lang w:eastAsia="zh-CN"/>
        </w:rPr>
        <w:t>应按照不符合</w:t>
      </w:r>
      <w:r>
        <w:rPr>
          <w:rFonts w:hint="eastAsia" w:ascii="宋体" w:hAnsi="宋体"/>
          <w:color w:val="auto"/>
          <w:sz w:val="28"/>
          <w:szCs w:val="28"/>
          <w:lang w:eastAsia="zh-CN"/>
        </w:rPr>
        <w:t>合同约定</w:t>
      </w:r>
      <w:r>
        <w:rPr>
          <w:rFonts w:ascii="宋体" w:hAnsi="宋体"/>
          <w:color w:val="auto"/>
          <w:sz w:val="28"/>
          <w:szCs w:val="28"/>
          <w:lang w:eastAsia="zh-CN"/>
        </w:rPr>
        <w:t>标准货物对应价格的</w:t>
      </w:r>
      <w:r>
        <w:rPr>
          <w:rFonts w:hint="eastAsia" w:ascii="宋体" w:hAnsi="宋体"/>
          <w:color w:val="auto"/>
          <w:sz w:val="28"/>
          <w:szCs w:val="28"/>
          <w:lang w:eastAsia="zh-CN"/>
        </w:rPr>
        <w:t>30</w:t>
      </w:r>
      <w:r>
        <w:rPr>
          <w:rFonts w:ascii="宋体" w:hAnsi="宋体"/>
          <w:color w:val="auto"/>
          <w:sz w:val="28"/>
          <w:szCs w:val="28"/>
          <w:lang w:eastAsia="zh-CN"/>
        </w:rPr>
        <w:t>%向</w:t>
      </w:r>
      <w:r>
        <w:rPr>
          <w:rFonts w:hint="eastAsia" w:ascii="宋体" w:hAnsi="宋体"/>
          <w:color w:val="auto"/>
          <w:sz w:val="28"/>
          <w:szCs w:val="28"/>
          <w:lang w:eastAsia="zh-CN"/>
        </w:rPr>
        <w:t>需方</w:t>
      </w:r>
      <w:r>
        <w:rPr>
          <w:rFonts w:ascii="宋体" w:hAnsi="宋体"/>
          <w:color w:val="auto"/>
          <w:sz w:val="28"/>
          <w:szCs w:val="28"/>
          <w:lang w:eastAsia="zh-CN"/>
        </w:rPr>
        <w:t>支付瑕疵履行违约金，并</w:t>
      </w:r>
      <w:r>
        <w:rPr>
          <w:rFonts w:hint="eastAsia" w:ascii="宋体" w:hAnsi="宋体"/>
          <w:color w:val="auto"/>
          <w:sz w:val="28"/>
          <w:szCs w:val="28"/>
          <w:lang w:eastAsia="zh-CN"/>
        </w:rPr>
        <w:t>赔偿由此</w:t>
      </w:r>
      <w:r>
        <w:rPr>
          <w:rFonts w:ascii="宋体" w:hAnsi="宋体"/>
          <w:color w:val="auto"/>
          <w:sz w:val="28"/>
          <w:szCs w:val="28"/>
          <w:lang w:eastAsia="zh-CN"/>
        </w:rPr>
        <w:t>给</w:t>
      </w:r>
      <w:r>
        <w:rPr>
          <w:rFonts w:hint="eastAsia" w:ascii="宋体" w:hAnsi="宋体"/>
          <w:color w:val="auto"/>
          <w:sz w:val="28"/>
          <w:szCs w:val="28"/>
          <w:lang w:eastAsia="zh-CN"/>
        </w:rPr>
        <w:t>需方造成的实际损失。需方有权直接从供方的货款中扣减损失及</w:t>
      </w:r>
      <w:r>
        <w:rPr>
          <w:rFonts w:ascii="宋体" w:hAnsi="宋体"/>
          <w:color w:val="auto"/>
          <w:sz w:val="28"/>
          <w:szCs w:val="28"/>
          <w:lang w:eastAsia="zh-CN"/>
        </w:rPr>
        <w:t>违约金</w:t>
      </w:r>
      <w:r>
        <w:rPr>
          <w:rFonts w:hint="eastAsia" w:ascii="宋体" w:hAnsi="宋体"/>
          <w:color w:val="auto"/>
          <w:sz w:val="28"/>
          <w:szCs w:val="28"/>
          <w:lang w:eastAsia="zh-CN"/>
        </w:rPr>
        <w:t>。</w:t>
      </w:r>
    </w:p>
    <w:p w14:paraId="5F48FCB9">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二、供方逾期</w:t>
      </w:r>
      <w:r>
        <w:rPr>
          <w:rFonts w:ascii="宋体" w:hAnsi="宋体"/>
          <w:color w:val="auto"/>
          <w:sz w:val="28"/>
          <w:szCs w:val="28"/>
          <w:lang w:eastAsia="zh-CN"/>
        </w:rPr>
        <w:t>交付货物的，</w:t>
      </w:r>
      <w:r>
        <w:rPr>
          <w:rFonts w:hint="eastAsia" w:ascii="宋体" w:hAnsi="宋体"/>
          <w:color w:val="auto"/>
          <w:sz w:val="28"/>
          <w:szCs w:val="28"/>
          <w:lang w:eastAsia="zh-CN"/>
        </w:rPr>
        <w:t>每</w:t>
      </w:r>
      <w:r>
        <w:rPr>
          <w:rFonts w:ascii="宋体" w:hAnsi="宋体"/>
          <w:color w:val="auto"/>
          <w:sz w:val="28"/>
          <w:szCs w:val="28"/>
          <w:lang w:eastAsia="zh-CN"/>
        </w:rPr>
        <w:t>逾期一日，须按照逾期交付货物价格的</w:t>
      </w:r>
      <w:r>
        <w:rPr>
          <w:rFonts w:hint="eastAsia" w:ascii="宋体" w:hAnsi="宋体"/>
          <w:color w:val="auto"/>
          <w:sz w:val="28"/>
          <w:szCs w:val="28"/>
          <w:lang w:eastAsia="zh-CN"/>
        </w:rPr>
        <w:t>1</w:t>
      </w:r>
      <w:r>
        <w:rPr>
          <w:rFonts w:ascii="宋体" w:hAnsi="宋体"/>
          <w:color w:val="auto"/>
          <w:sz w:val="28"/>
          <w:szCs w:val="28"/>
          <w:lang w:eastAsia="zh-CN"/>
        </w:rPr>
        <w:t>%</w:t>
      </w:r>
      <w:r>
        <w:rPr>
          <w:rFonts w:hint="eastAsia" w:ascii="宋体" w:hAnsi="宋体"/>
          <w:color w:val="auto"/>
          <w:sz w:val="28"/>
          <w:szCs w:val="28"/>
          <w:lang w:eastAsia="zh-CN"/>
        </w:rPr>
        <w:t>向需方</w:t>
      </w:r>
      <w:r>
        <w:rPr>
          <w:rFonts w:ascii="宋体" w:hAnsi="宋体"/>
          <w:color w:val="auto"/>
          <w:sz w:val="28"/>
          <w:szCs w:val="28"/>
          <w:lang w:eastAsia="zh-CN"/>
        </w:rPr>
        <w:t>支付迟延履行违约金一笔</w:t>
      </w:r>
      <w:r>
        <w:rPr>
          <w:rFonts w:hint="eastAsia" w:ascii="宋体" w:hAnsi="宋体"/>
          <w:color w:val="auto"/>
          <w:sz w:val="28"/>
          <w:szCs w:val="28"/>
          <w:lang w:eastAsia="zh-CN"/>
        </w:rPr>
        <w:t>，供方迟延</w:t>
      </w:r>
      <w:r>
        <w:rPr>
          <w:rFonts w:ascii="宋体" w:hAnsi="宋体"/>
          <w:color w:val="auto"/>
          <w:sz w:val="28"/>
          <w:szCs w:val="28"/>
          <w:lang w:eastAsia="zh-CN"/>
        </w:rPr>
        <w:t>交货达</w:t>
      </w:r>
      <w:r>
        <w:rPr>
          <w:rFonts w:hint="eastAsia" w:ascii="宋体" w:hAnsi="宋体"/>
          <w:color w:val="auto"/>
          <w:sz w:val="28"/>
          <w:szCs w:val="28"/>
          <w:lang w:eastAsia="zh-CN"/>
        </w:rPr>
        <w:t>15日</w:t>
      </w:r>
      <w:r>
        <w:rPr>
          <w:rFonts w:ascii="宋体" w:hAnsi="宋体"/>
          <w:color w:val="auto"/>
          <w:sz w:val="28"/>
          <w:szCs w:val="28"/>
          <w:lang w:eastAsia="zh-CN"/>
        </w:rPr>
        <w:t>的，</w:t>
      </w:r>
      <w:r>
        <w:rPr>
          <w:rFonts w:hint="eastAsia" w:ascii="宋体" w:hAnsi="宋体"/>
          <w:color w:val="auto"/>
          <w:sz w:val="28"/>
          <w:szCs w:val="28"/>
          <w:lang w:eastAsia="zh-CN"/>
        </w:rPr>
        <w:t>需方有权单方</w:t>
      </w:r>
      <w:r>
        <w:rPr>
          <w:rFonts w:ascii="宋体" w:hAnsi="宋体"/>
          <w:color w:val="auto"/>
          <w:sz w:val="28"/>
          <w:szCs w:val="28"/>
          <w:lang w:eastAsia="zh-CN"/>
        </w:rPr>
        <w:t>解除本协议，并追究</w:t>
      </w:r>
      <w:r>
        <w:rPr>
          <w:rFonts w:hint="eastAsia" w:ascii="宋体" w:hAnsi="宋体"/>
          <w:color w:val="auto"/>
          <w:sz w:val="28"/>
          <w:szCs w:val="28"/>
          <w:lang w:eastAsia="zh-CN"/>
        </w:rPr>
        <w:t>供方</w:t>
      </w:r>
      <w:r>
        <w:rPr>
          <w:rFonts w:ascii="宋体" w:hAnsi="宋体"/>
          <w:color w:val="auto"/>
          <w:sz w:val="28"/>
          <w:szCs w:val="28"/>
          <w:lang w:eastAsia="zh-CN"/>
        </w:rPr>
        <w:t>的违约责任。</w:t>
      </w:r>
      <w:r>
        <w:rPr>
          <w:rFonts w:hint="eastAsia" w:ascii="宋体" w:hAnsi="宋体"/>
          <w:color w:val="auto"/>
          <w:sz w:val="28"/>
          <w:szCs w:val="28"/>
          <w:lang w:eastAsia="zh-CN"/>
        </w:rPr>
        <w:t>逾期交付的货物，供方应在需方书面允许的期限内照数补齐；供方少交、迟交的部分货物，需方有权拒收，由此产生的费用及损失由供方承担。</w:t>
      </w:r>
    </w:p>
    <w:p w14:paraId="7F68817D">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三、不能交付货物，应当偿付不能交付货物部分价款总值的</w:t>
      </w:r>
      <w:r>
        <w:rPr>
          <w:rFonts w:ascii="宋体" w:hAnsi="宋体"/>
          <w:color w:val="auto"/>
          <w:sz w:val="28"/>
          <w:szCs w:val="28"/>
          <w:lang w:eastAsia="zh-CN"/>
        </w:rPr>
        <w:t>10</w:t>
      </w:r>
      <w:r>
        <w:rPr>
          <w:rFonts w:hint="eastAsia" w:ascii="宋体" w:hAnsi="宋体"/>
          <w:color w:val="auto"/>
          <w:sz w:val="28"/>
          <w:szCs w:val="28"/>
          <w:lang w:eastAsia="zh-CN"/>
        </w:rPr>
        <w:t>%违约金，违约金需方可从供方货款中扣除。</w:t>
      </w:r>
    </w:p>
    <w:p w14:paraId="5928DCDB">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四、实行代运或送货的供方，错发到达地点或接收单位(人)，除按合同规定负责运到指定地点或接收单位(人)外，并承担因此多付的运杂费和逾期交付货物的责任。</w:t>
      </w:r>
    </w:p>
    <w:p w14:paraId="26AD8A70">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第九条  需方的违约责任</w:t>
      </w:r>
    </w:p>
    <w:p w14:paraId="5FDE80FA">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 xml:space="preserve">一、需方在合同履行过程中变更订作货物的数量、规格、质量或设计等，应当在货物发出前通知供方； </w:t>
      </w:r>
    </w:p>
    <w:p w14:paraId="2DFEB466">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二、需方无故拒绝接收供方按合同规定期限提供的货物，需方应当赔偿供方因此造成的损失；</w:t>
      </w:r>
    </w:p>
    <w:p w14:paraId="1900C5DC">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三、需方变更交付货物地点或接收单位的，应在货物发出前通知供方，因变更交货地而增加的运费或货物已发出而增加的二次倒运费由需方承担；</w:t>
      </w:r>
    </w:p>
    <w:p w14:paraId="4CB910B1">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四、需方未按合同规定的条款付款，造成的后期供货延迟，供方不承担由此造成的损失，责任由需方承担。</w:t>
      </w:r>
    </w:p>
    <w:p w14:paraId="76063153">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第十条  不可抗力</w:t>
      </w:r>
    </w:p>
    <w:p w14:paraId="5440E1BE">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650DEB8">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第十一条  纠纷的处理</w:t>
      </w:r>
    </w:p>
    <w:p w14:paraId="4117323B">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因本合同引发的争议，双方可协商解决。协商不成应向需方所在地人民法院提起诉讼，诉讼费、律师代理费等相关费用由责任方承担。</w:t>
      </w:r>
    </w:p>
    <w:p w14:paraId="7D2FF582">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第十二条 廉洁条款</w:t>
      </w:r>
    </w:p>
    <w:p w14:paraId="61DB3DA1">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1.供需双方及其员工不得向对方及其员工实施商业贿赂行为，包括但不限于给予回扣、礼品、馈赠、娱乐、招待等行为。</w:t>
      </w:r>
    </w:p>
    <w:p w14:paraId="3A26856C">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2.供需双方及其员工不得向对方及其员工索要财物。</w:t>
      </w:r>
    </w:p>
    <w:p w14:paraId="118EBAC2">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3.需方发现供方或供方员工向需方或需方员工实施前两款行为的，需方有权单方解除本合同，同时供方应向需方支付合同总金额10%的违约金。</w:t>
      </w:r>
    </w:p>
    <w:p w14:paraId="26EC7AA6">
      <w:pPr>
        <w:pStyle w:val="5"/>
        <w:spacing w:line="500" w:lineRule="exact"/>
        <w:rPr>
          <w:rFonts w:ascii="宋体" w:hAnsi="宋体"/>
          <w:b/>
          <w:bCs/>
          <w:color w:val="auto"/>
          <w:sz w:val="28"/>
          <w:szCs w:val="28"/>
          <w:lang w:eastAsia="zh-CN"/>
        </w:rPr>
      </w:pPr>
      <w:r>
        <w:rPr>
          <w:rFonts w:hint="eastAsia" w:ascii="宋体" w:hAnsi="宋体"/>
          <w:color w:val="auto"/>
          <w:sz w:val="28"/>
          <w:szCs w:val="28"/>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6CF635F5">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第十三条 其它</w:t>
      </w:r>
    </w:p>
    <w:p w14:paraId="2389B2E4">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本合同自双</w:t>
      </w:r>
      <w:r>
        <w:rPr>
          <w:rFonts w:ascii="宋体" w:hAnsi="宋体"/>
          <w:color w:val="auto"/>
          <w:sz w:val="28"/>
          <w:szCs w:val="28"/>
          <w:lang w:eastAsia="zh-CN"/>
        </w:rPr>
        <w:t>方盖</w:t>
      </w:r>
      <w:r>
        <w:rPr>
          <w:rFonts w:hint="eastAsia" w:ascii="宋体" w:hAnsi="宋体"/>
          <w:color w:val="auto"/>
          <w:sz w:val="28"/>
          <w:szCs w:val="28"/>
          <w:lang w:val="en-US" w:eastAsia="zh-CN"/>
        </w:rPr>
        <w:t>章后合同</w:t>
      </w:r>
      <w:r>
        <w:rPr>
          <w:rFonts w:hint="eastAsia" w:ascii="宋体" w:hAnsi="宋体"/>
          <w:color w:val="auto"/>
          <w:sz w:val="28"/>
          <w:szCs w:val="28"/>
          <w:lang w:eastAsia="zh-CN"/>
        </w:rPr>
        <w:t>生效，合同所有条款履行完毕即失效，本合同执行期间，双方不得随意变更和解除合同，合同如有未尽事宜，由双方共同协商作出补充规定，补充规定与本合同具有同等法律效力。</w:t>
      </w:r>
    </w:p>
    <w:p w14:paraId="7E6BF6CA">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本合同一式贰份，购买方壹份，销售方壹份。</w:t>
      </w:r>
    </w:p>
    <w:p w14:paraId="18F664C5">
      <w:pPr>
        <w:widowControl/>
        <w:spacing w:line="500" w:lineRule="exact"/>
        <w:jc w:val="both"/>
        <w:rPr>
          <w:rFonts w:hint="eastAsia" w:ascii="仿宋_GB2312" w:hAnsi="黑体" w:eastAsia="仿宋_GB2312"/>
          <w:b/>
          <w:bCs/>
          <w:color w:val="auto"/>
          <w:sz w:val="44"/>
          <w:szCs w:val="44"/>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23E0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23707B91">
            <w:pPr>
              <w:spacing w:line="360" w:lineRule="auto"/>
              <w:jc w:val="center"/>
              <w:rPr>
                <w:rFonts w:ascii="宋体" w:hAnsi="宋体"/>
                <w:b/>
                <w:color w:val="auto"/>
                <w:sz w:val="24"/>
                <w:lang w:val="zh-CN"/>
              </w:rPr>
            </w:pPr>
            <w:r>
              <w:rPr>
                <w:rFonts w:hint="eastAsia" w:ascii="宋体" w:hAnsi="宋体"/>
                <w:b/>
                <w:color w:val="auto"/>
                <w:sz w:val="24"/>
                <w:lang w:val="zh-CN"/>
              </w:rPr>
              <w:t>需方</w:t>
            </w:r>
          </w:p>
          <w:p w14:paraId="443DD487">
            <w:pPr>
              <w:spacing w:line="360" w:lineRule="auto"/>
              <w:rPr>
                <w:rFonts w:ascii="宋体" w:hAnsi="宋体"/>
                <w:color w:val="auto"/>
                <w:sz w:val="22"/>
                <w:szCs w:val="22"/>
              </w:rPr>
            </w:pPr>
            <w:r>
              <w:rPr>
                <w:rFonts w:hint="eastAsia" w:ascii="宋体" w:hAnsi="宋体"/>
                <w:color w:val="auto"/>
                <w:sz w:val="22"/>
                <w:szCs w:val="22"/>
              </w:rPr>
              <w:t xml:space="preserve">单位名称(章)： </w:t>
            </w:r>
          </w:p>
          <w:p w14:paraId="46B2AA09">
            <w:pPr>
              <w:spacing w:line="360" w:lineRule="auto"/>
              <w:rPr>
                <w:rFonts w:ascii="宋体" w:hAnsi="宋体"/>
                <w:color w:val="auto"/>
                <w:sz w:val="22"/>
                <w:szCs w:val="22"/>
              </w:rPr>
            </w:pPr>
            <w:r>
              <w:rPr>
                <w:rFonts w:hint="eastAsia" w:ascii="宋体" w:hAnsi="宋体"/>
                <w:color w:val="auto"/>
                <w:sz w:val="22"/>
                <w:szCs w:val="22"/>
              </w:rPr>
              <w:t>单位地址：</w:t>
            </w:r>
          </w:p>
          <w:p w14:paraId="1E624953">
            <w:pPr>
              <w:spacing w:line="360" w:lineRule="auto"/>
              <w:rPr>
                <w:rFonts w:ascii="宋体" w:hAnsi="宋体"/>
                <w:color w:val="auto"/>
                <w:sz w:val="22"/>
                <w:szCs w:val="22"/>
              </w:rPr>
            </w:pPr>
            <w:r>
              <w:rPr>
                <w:rFonts w:hint="eastAsia" w:ascii="宋体" w:hAnsi="宋体"/>
                <w:color w:val="auto"/>
                <w:sz w:val="22"/>
                <w:szCs w:val="22"/>
              </w:rPr>
              <w:t>法定代表人：</w:t>
            </w:r>
          </w:p>
          <w:p w14:paraId="1A7B9465">
            <w:pPr>
              <w:spacing w:line="360" w:lineRule="auto"/>
              <w:jc w:val="left"/>
              <w:rPr>
                <w:rFonts w:ascii="宋体" w:hAnsi="宋体"/>
                <w:color w:val="auto"/>
                <w:sz w:val="22"/>
                <w:szCs w:val="22"/>
              </w:rPr>
            </w:pPr>
          </w:p>
          <w:p w14:paraId="4513E048">
            <w:pPr>
              <w:tabs>
                <w:tab w:val="center" w:pos="4182"/>
              </w:tabs>
              <w:spacing w:line="360" w:lineRule="auto"/>
              <w:rPr>
                <w:rFonts w:ascii="宋体" w:hAnsi="宋体"/>
                <w:color w:val="auto"/>
                <w:sz w:val="22"/>
                <w:szCs w:val="22"/>
              </w:rPr>
            </w:pPr>
            <w:r>
              <w:rPr>
                <w:rFonts w:hint="eastAsia" w:ascii="宋体" w:hAnsi="宋体"/>
                <w:color w:val="auto"/>
                <w:sz w:val="22"/>
                <w:szCs w:val="22"/>
              </w:rPr>
              <w:t xml:space="preserve">委托代表人：   </w:t>
            </w:r>
          </w:p>
          <w:p w14:paraId="56C0F415">
            <w:pPr>
              <w:spacing w:line="360" w:lineRule="auto"/>
              <w:rPr>
                <w:rFonts w:ascii="宋体" w:hAnsi="宋体"/>
                <w:color w:val="auto"/>
                <w:sz w:val="22"/>
                <w:szCs w:val="22"/>
              </w:rPr>
            </w:pPr>
          </w:p>
          <w:p w14:paraId="0A3BB553">
            <w:pPr>
              <w:spacing w:line="360" w:lineRule="auto"/>
              <w:rPr>
                <w:rFonts w:ascii="宋体" w:hAnsi="宋体"/>
                <w:color w:val="auto"/>
                <w:sz w:val="22"/>
                <w:szCs w:val="22"/>
              </w:rPr>
            </w:pPr>
            <w:r>
              <w:rPr>
                <w:rFonts w:hint="eastAsia" w:ascii="宋体" w:hAnsi="宋体"/>
                <w:color w:val="auto"/>
                <w:sz w:val="22"/>
                <w:szCs w:val="22"/>
              </w:rPr>
              <w:t>开户行：</w:t>
            </w:r>
          </w:p>
          <w:p w14:paraId="4D068F76">
            <w:pPr>
              <w:spacing w:line="360" w:lineRule="auto"/>
              <w:rPr>
                <w:rFonts w:ascii="宋体" w:hAnsi="宋体"/>
                <w:color w:val="auto"/>
                <w:sz w:val="22"/>
                <w:szCs w:val="22"/>
              </w:rPr>
            </w:pPr>
            <w:r>
              <w:rPr>
                <w:rFonts w:hint="eastAsia" w:ascii="宋体" w:hAnsi="宋体"/>
                <w:color w:val="auto"/>
                <w:sz w:val="22"/>
                <w:szCs w:val="22"/>
              </w:rPr>
              <w:t>帐号：</w:t>
            </w:r>
          </w:p>
          <w:p w14:paraId="01E05825">
            <w:pPr>
              <w:spacing w:line="360" w:lineRule="auto"/>
              <w:rPr>
                <w:rFonts w:ascii="宋体" w:hAnsi="宋体"/>
                <w:color w:val="auto"/>
                <w:sz w:val="22"/>
                <w:szCs w:val="22"/>
              </w:rPr>
            </w:pPr>
            <w:r>
              <w:rPr>
                <w:rFonts w:hint="eastAsia" w:ascii="宋体" w:hAnsi="宋体"/>
                <w:color w:val="auto"/>
                <w:sz w:val="22"/>
                <w:szCs w:val="22"/>
              </w:rPr>
              <w:t>税号：</w:t>
            </w:r>
          </w:p>
          <w:p w14:paraId="76764EB8">
            <w:pPr>
              <w:spacing w:line="360" w:lineRule="auto"/>
              <w:rPr>
                <w:rFonts w:ascii="宋体" w:hAnsi="宋体"/>
                <w:color w:val="auto"/>
                <w:sz w:val="22"/>
                <w:szCs w:val="22"/>
              </w:rPr>
            </w:pPr>
            <w:r>
              <w:rPr>
                <w:rFonts w:hint="eastAsia" w:ascii="宋体" w:hAnsi="宋体"/>
                <w:color w:val="auto"/>
                <w:sz w:val="22"/>
                <w:szCs w:val="22"/>
              </w:rPr>
              <w:t>电话：</w:t>
            </w:r>
          </w:p>
        </w:tc>
        <w:tc>
          <w:tcPr>
            <w:tcW w:w="5145" w:type="dxa"/>
          </w:tcPr>
          <w:p w14:paraId="3D8A9BCF">
            <w:pPr>
              <w:spacing w:line="360" w:lineRule="auto"/>
              <w:jc w:val="center"/>
              <w:rPr>
                <w:rFonts w:ascii="宋体" w:hAnsi="宋体"/>
                <w:b/>
                <w:color w:val="auto"/>
                <w:sz w:val="24"/>
                <w:lang w:val="zh-CN"/>
              </w:rPr>
            </w:pPr>
            <w:r>
              <w:rPr>
                <w:rFonts w:hint="eastAsia" w:ascii="宋体" w:hAnsi="宋体"/>
                <w:b/>
                <w:color w:val="auto"/>
                <w:sz w:val="24"/>
                <w:lang w:val="zh-CN"/>
              </w:rPr>
              <w:t>供方</w:t>
            </w:r>
          </w:p>
          <w:p w14:paraId="638959C0">
            <w:pPr>
              <w:spacing w:line="360" w:lineRule="auto"/>
              <w:rPr>
                <w:rFonts w:ascii="宋体" w:hAnsi="宋体"/>
                <w:color w:val="auto"/>
                <w:sz w:val="22"/>
                <w:szCs w:val="22"/>
              </w:rPr>
            </w:pPr>
            <w:r>
              <w:rPr>
                <w:rFonts w:hint="eastAsia" w:ascii="宋体" w:hAnsi="宋体"/>
                <w:color w:val="auto"/>
                <w:sz w:val="22"/>
                <w:szCs w:val="22"/>
              </w:rPr>
              <w:t>单位名称(章)：</w:t>
            </w:r>
          </w:p>
          <w:p w14:paraId="2E6552D6">
            <w:pPr>
              <w:spacing w:line="360" w:lineRule="auto"/>
              <w:rPr>
                <w:rFonts w:ascii="宋体" w:hAnsi="宋体"/>
                <w:color w:val="auto"/>
                <w:sz w:val="22"/>
                <w:szCs w:val="22"/>
              </w:rPr>
            </w:pPr>
            <w:r>
              <w:rPr>
                <w:rFonts w:hint="eastAsia" w:ascii="宋体" w:hAnsi="宋体"/>
                <w:color w:val="auto"/>
                <w:sz w:val="22"/>
                <w:szCs w:val="22"/>
              </w:rPr>
              <w:t>单位地址：</w:t>
            </w:r>
          </w:p>
          <w:p w14:paraId="369047BF">
            <w:pPr>
              <w:spacing w:line="360" w:lineRule="auto"/>
              <w:rPr>
                <w:rFonts w:ascii="宋体" w:hAnsi="宋体"/>
                <w:color w:val="auto"/>
                <w:sz w:val="22"/>
                <w:szCs w:val="22"/>
              </w:rPr>
            </w:pPr>
            <w:r>
              <w:rPr>
                <w:rFonts w:hint="eastAsia" w:ascii="宋体" w:hAnsi="宋体"/>
                <w:color w:val="auto"/>
                <w:sz w:val="22"/>
                <w:szCs w:val="22"/>
              </w:rPr>
              <w:t>法定代表人：</w:t>
            </w:r>
          </w:p>
          <w:p w14:paraId="46C3DA60">
            <w:pPr>
              <w:spacing w:line="360" w:lineRule="auto"/>
              <w:rPr>
                <w:rFonts w:ascii="宋体" w:hAnsi="宋体"/>
                <w:color w:val="auto"/>
                <w:sz w:val="22"/>
                <w:szCs w:val="22"/>
              </w:rPr>
            </w:pPr>
          </w:p>
          <w:p w14:paraId="5C73F6D4">
            <w:pPr>
              <w:spacing w:line="360" w:lineRule="auto"/>
              <w:rPr>
                <w:rFonts w:ascii="宋体" w:hAnsi="宋体"/>
                <w:color w:val="auto"/>
                <w:sz w:val="22"/>
                <w:szCs w:val="22"/>
              </w:rPr>
            </w:pPr>
            <w:r>
              <w:rPr>
                <w:rFonts w:hint="eastAsia" w:ascii="宋体" w:hAnsi="宋体"/>
                <w:color w:val="auto"/>
                <w:sz w:val="22"/>
                <w:szCs w:val="22"/>
              </w:rPr>
              <w:t>委托代表人：</w:t>
            </w:r>
          </w:p>
          <w:p w14:paraId="12DA8362">
            <w:pPr>
              <w:spacing w:line="360" w:lineRule="auto"/>
              <w:rPr>
                <w:rFonts w:ascii="宋体" w:hAnsi="宋体"/>
                <w:color w:val="auto"/>
                <w:sz w:val="22"/>
                <w:szCs w:val="22"/>
              </w:rPr>
            </w:pPr>
          </w:p>
          <w:p w14:paraId="1DE6791C">
            <w:pPr>
              <w:spacing w:line="360" w:lineRule="auto"/>
              <w:rPr>
                <w:rFonts w:ascii="宋体" w:hAnsi="宋体"/>
                <w:color w:val="auto"/>
                <w:sz w:val="22"/>
                <w:szCs w:val="22"/>
              </w:rPr>
            </w:pPr>
            <w:r>
              <w:rPr>
                <w:rFonts w:hint="eastAsia" w:ascii="宋体" w:hAnsi="宋体"/>
                <w:color w:val="auto"/>
                <w:sz w:val="22"/>
                <w:szCs w:val="22"/>
              </w:rPr>
              <w:t>开户行：</w:t>
            </w:r>
          </w:p>
          <w:p w14:paraId="556ADF14">
            <w:pPr>
              <w:spacing w:line="360" w:lineRule="auto"/>
              <w:rPr>
                <w:rFonts w:ascii="宋体" w:hAnsi="宋体"/>
                <w:color w:val="auto"/>
                <w:sz w:val="22"/>
                <w:szCs w:val="22"/>
              </w:rPr>
            </w:pPr>
            <w:r>
              <w:rPr>
                <w:rFonts w:hint="eastAsia" w:ascii="宋体" w:hAnsi="宋体"/>
                <w:color w:val="auto"/>
                <w:sz w:val="22"/>
                <w:szCs w:val="22"/>
              </w:rPr>
              <w:t>帐号：</w:t>
            </w:r>
          </w:p>
          <w:p w14:paraId="41CC8656">
            <w:pPr>
              <w:spacing w:line="360" w:lineRule="auto"/>
              <w:rPr>
                <w:rFonts w:ascii="宋体" w:hAnsi="宋体"/>
                <w:color w:val="auto"/>
                <w:sz w:val="22"/>
                <w:szCs w:val="22"/>
              </w:rPr>
            </w:pPr>
            <w:r>
              <w:rPr>
                <w:rFonts w:hint="eastAsia" w:ascii="宋体" w:hAnsi="宋体"/>
                <w:color w:val="auto"/>
                <w:sz w:val="22"/>
                <w:szCs w:val="22"/>
              </w:rPr>
              <w:t>税号：</w:t>
            </w:r>
          </w:p>
          <w:p w14:paraId="21B89ED5">
            <w:pPr>
              <w:spacing w:line="360" w:lineRule="auto"/>
              <w:rPr>
                <w:rFonts w:ascii="宋体" w:hAnsi="宋体"/>
                <w:color w:val="auto"/>
                <w:sz w:val="22"/>
                <w:szCs w:val="22"/>
              </w:rPr>
            </w:pPr>
            <w:r>
              <w:rPr>
                <w:rFonts w:hint="eastAsia" w:ascii="宋体" w:hAnsi="宋体"/>
                <w:color w:val="auto"/>
                <w:sz w:val="22"/>
                <w:szCs w:val="22"/>
              </w:rPr>
              <w:t>电话：</w:t>
            </w:r>
          </w:p>
        </w:tc>
      </w:tr>
    </w:tbl>
    <w:p w14:paraId="5BD8E7EF">
      <w:pPr>
        <w:rPr>
          <w:color w:val="auto"/>
        </w:rPr>
      </w:pPr>
    </w:p>
    <w:p w14:paraId="18ED0F60">
      <w:pPr>
        <w:rPr>
          <w:color w:val="auto"/>
        </w:rPr>
      </w:pPr>
    </w:p>
    <w:p w14:paraId="4FA86C18">
      <w:pPr>
        <w:rPr>
          <w:color w:val="auto"/>
        </w:rPr>
      </w:pPr>
    </w:p>
    <w:p w14:paraId="5CC586BA">
      <w:pPr>
        <w:rPr>
          <w:color w:val="auto"/>
        </w:rPr>
      </w:pPr>
    </w:p>
    <w:p w14:paraId="6C9ECFAB">
      <w:pPr>
        <w:rPr>
          <w:color w:val="auto"/>
        </w:rPr>
      </w:pPr>
    </w:p>
    <w:p w14:paraId="5B02E526">
      <w:pPr>
        <w:rPr>
          <w:color w:val="auto"/>
        </w:rPr>
      </w:pPr>
    </w:p>
    <w:p w14:paraId="02D0A987">
      <w:pPr>
        <w:rPr>
          <w:color w:val="auto"/>
        </w:rPr>
      </w:pPr>
    </w:p>
    <w:p w14:paraId="506EFD2C">
      <w:pPr>
        <w:rPr>
          <w:color w:val="auto"/>
        </w:rPr>
      </w:pPr>
    </w:p>
    <w:p w14:paraId="027FC3B0">
      <w:pPr>
        <w:rPr>
          <w:color w:val="auto"/>
        </w:rPr>
      </w:pPr>
    </w:p>
    <w:p w14:paraId="2EC44145">
      <w:pPr>
        <w:rPr>
          <w:color w:val="auto"/>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7B103283">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D06EB2F">
            <w:pPr>
              <w:jc w:val="center"/>
              <w:rPr>
                <w:rFonts w:hint="eastAsia" w:ascii="宋体" w:hAnsi="宋体" w:cs="宋体"/>
                <w:b/>
                <w:bCs/>
                <w:color w:val="auto"/>
                <w:kern w:val="0"/>
                <w:sz w:val="24"/>
              </w:rPr>
            </w:pPr>
          </w:p>
          <w:p w14:paraId="34B064BE">
            <w:pPr>
              <w:jc w:val="center"/>
              <w:rPr>
                <w:rFonts w:ascii="宋体" w:hAnsi="宋体" w:cs="宋体"/>
                <w:b/>
                <w:bCs/>
                <w:color w:val="auto"/>
                <w:kern w:val="0"/>
                <w:sz w:val="24"/>
              </w:rPr>
            </w:pPr>
            <w:r>
              <w:rPr>
                <w:rFonts w:hint="eastAsia" w:ascii="宋体" w:hAnsi="宋体" w:cs="宋体"/>
                <w:b/>
                <w:bCs/>
                <w:color w:val="auto"/>
                <w:kern w:val="0"/>
                <w:sz w:val="24"/>
              </w:rPr>
              <w:t>通用标准件合同附表</w:t>
            </w:r>
          </w:p>
        </w:tc>
      </w:tr>
      <w:tr w14:paraId="50051EAE">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3CEF7A75">
            <w:pPr>
              <w:jc w:val="left"/>
              <w:rPr>
                <w:rFonts w:ascii="宋体" w:hAnsi="宋体" w:cs="宋体"/>
                <w:b/>
                <w:bCs/>
                <w:color w:val="auto"/>
                <w:kern w:val="0"/>
                <w:sz w:val="20"/>
                <w:szCs w:val="20"/>
              </w:rPr>
            </w:pPr>
            <w:r>
              <w:rPr>
                <w:rFonts w:hint="eastAsia" w:ascii="宋体" w:hAnsi="宋体" w:cs="宋体"/>
                <w:b/>
                <w:bCs/>
                <w:color w:val="auto"/>
                <w:kern w:val="0"/>
                <w:sz w:val="20"/>
                <w:szCs w:val="20"/>
              </w:rPr>
              <w:t xml:space="preserve">供方名称： </w:t>
            </w:r>
          </w:p>
        </w:tc>
      </w:tr>
      <w:tr w14:paraId="46EB6847">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C2CA9">
            <w:pPr>
              <w:jc w:val="center"/>
              <w:rPr>
                <w:rFonts w:ascii="宋体" w:hAnsi="宋体" w:cs="宋体"/>
                <w:b/>
                <w:bCs/>
                <w:color w:val="auto"/>
                <w:kern w:val="0"/>
                <w:sz w:val="20"/>
                <w:szCs w:val="20"/>
              </w:rPr>
            </w:pPr>
            <w:r>
              <w:rPr>
                <w:rFonts w:hint="eastAsia" w:ascii="宋体" w:hAnsi="宋体" w:cs="宋体"/>
                <w:b/>
                <w:bCs/>
                <w:color w:val="auto"/>
                <w:kern w:val="0"/>
                <w:sz w:val="20"/>
                <w:szCs w:val="20"/>
              </w:rPr>
              <w:t xml:space="preserve">                                                                           合同编号：</w:t>
            </w:r>
          </w:p>
        </w:tc>
      </w:tr>
      <w:tr w14:paraId="483F90EF">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15B5CFD9">
            <w:pPr>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1462" w:type="dxa"/>
            <w:tcBorders>
              <w:top w:val="nil"/>
              <w:left w:val="nil"/>
              <w:bottom w:val="single" w:color="auto" w:sz="4" w:space="0"/>
              <w:right w:val="single" w:color="auto" w:sz="4" w:space="0"/>
            </w:tcBorders>
            <w:vAlign w:val="center"/>
          </w:tcPr>
          <w:p w14:paraId="3011C199">
            <w:pPr>
              <w:jc w:val="center"/>
              <w:rPr>
                <w:rFonts w:ascii="宋体" w:hAnsi="宋体" w:cs="宋体"/>
                <w:b/>
                <w:bCs/>
                <w:color w:val="auto"/>
                <w:kern w:val="0"/>
                <w:sz w:val="20"/>
                <w:szCs w:val="20"/>
              </w:rPr>
            </w:pPr>
            <w:r>
              <w:rPr>
                <w:rFonts w:hint="eastAsia" w:ascii="宋体" w:hAnsi="宋体" w:cs="宋体"/>
                <w:b/>
                <w:bCs/>
                <w:color w:val="auto"/>
                <w:kern w:val="0"/>
                <w:sz w:val="20"/>
                <w:szCs w:val="20"/>
              </w:rPr>
              <w:t>SAP物料号</w:t>
            </w:r>
          </w:p>
        </w:tc>
        <w:tc>
          <w:tcPr>
            <w:tcW w:w="2663" w:type="dxa"/>
            <w:tcBorders>
              <w:top w:val="nil"/>
              <w:left w:val="nil"/>
              <w:bottom w:val="single" w:color="auto" w:sz="4" w:space="0"/>
              <w:right w:val="single" w:color="auto" w:sz="4" w:space="0"/>
            </w:tcBorders>
            <w:vAlign w:val="center"/>
          </w:tcPr>
          <w:p w14:paraId="03E29627">
            <w:pPr>
              <w:jc w:val="center"/>
              <w:rPr>
                <w:rFonts w:ascii="宋体" w:hAnsi="宋体" w:cs="宋体"/>
                <w:b/>
                <w:bCs/>
                <w:color w:val="auto"/>
                <w:kern w:val="0"/>
                <w:sz w:val="20"/>
                <w:szCs w:val="20"/>
              </w:rPr>
            </w:pPr>
            <w:r>
              <w:rPr>
                <w:rFonts w:hint="eastAsia" w:ascii="宋体" w:hAnsi="宋体" w:cs="宋体"/>
                <w:b/>
                <w:bCs/>
                <w:color w:val="auto"/>
                <w:kern w:val="0"/>
                <w:sz w:val="20"/>
                <w:szCs w:val="20"/>
              </w:rPr>
              <w:t>物料描述</w:t>
            </w:r>
          </w:p>
        </w:tc>
        <w:tc>
          <w:tcPr>
            <w:tcW w:w="690" w:type="dxa"/>
            <w:tcBorders>
              <w:top w:val="nil"/>
              <w:left w:val="nil"/>
              <w:bottom w:val="single" w:color="auto" w:sz="4" w:space="0"/>
              <w:right w:val="single" w:color="auto" w:sz="4" w:space="0"/>
            </w:tcBorders>
            <w:vAlign w:val="center"/>
          </w:tcPr>
          <w:p w14:paraId="7D7C70E5">
            <w:pPr>
              <w:jc w:val="center"/>
              <w:rPr>
                <w:rFonts w:ascii="宋体" w:hAnsi="宋体" w:cs="宋体"/>
                <w:b/>
                <w:bCs/>
                <w:color w:val="auto"/>
                <w:kern w:val="0"/>
                <w:sz w:val="20"/>
                <w:szCs w:val="20"/>
              </w:rPr>
            </w:pPr>
            <w:r>
              <w:rPr>
                <w:rFonts w:hint="eastAsia" w:ascii="宋体" w:hAnsi="宋体" w:cs="宋体"/>
                <w:b/>
                <w:bCs/>
                <w:color w:val="auto"/>
                <w:kern w:val="0"/>
                <w:sz w:val="20"/>
                <w:szCs w:val="20"/>
              </w:rPr>
              <w:t>数量</w:t>
            </w:r>
          </w:p>
        </w:tc>
        <w:tc>
          <w:tcPr>
            <w:tcW w:w="660" w:type="dxa"/>
            <w:tcBorders>
              <w:top w:val="nil"/>
              <w:left w:val="nil"/>
              <w:bottom w:val="single" w:color="auto" w:sz="4" w:space="0"/>
              <w:right w:val="single" w:color="auto" w:sz="4" w:space="0"/>
            </w:tcBorders>
            <w:vAlign w:val="center"/>
          </w:tcPr>
          <w:p w14:paraId="32FB3356">
            <w:pPr>
              <w:jc w:val="center"/>
              <w:rPr>
                <w:rFonts w:ascii="宋体" w:hAnsi="宋体" w:cs="宋体"/>
                <w:b/>
                <w:bCs/>
                <w:color w:val="auto"/>
                <w:kern w:val="0"/>
                <w:sz w:val="20"/>
                <w:szCs w:val="20"/>
              </w:rPr>
            </w:pPr>
            <w:r>
              <w:rPr>
                <w:rFonts w:hint="eastAsia" w:ascii="宋体" w:hAnsi="宋体" w:cs="宋体"/>
                <w:b/>
                <w:bCs/>
                <w:color w:val="auto"/>
                <w:kern w:val="0"/>
                <w:sz w:val="20"/>
                <w:szCs w:val="20"/>
              </w:rPr>
              <w:t>单位</w:t>
            </w:r>
          </w:p>
        </w:tc>
        <w:tc>
          <w:tcPr>
            <w:tcW w:w="690" w:type="dxa"/>
            <w:gridSpan w:val="2"/>
            <w:tcBorders>
              <w:top w:val="nil"/>
              <w:left w:val="nil"/>
              <w:bottom w:val="single" w:color="auto" w:sz="4" w:space="0"/>
              <w:right w:val="single" w:color="auto" w:sz="4" w:space="0"/>
            </w:tcBorders>
            <w:vAlign w:val="center"/>
          </w:tcPr>
          <w:p w14:paraId="0029165A">
            <w:pPr>
              <w:jc w:val="center"/>
              <w:rPr>
                <w:rFonts w:ascii="宋体" w:hAnsi="宋体" w:cs="宋体"/>
                <w:b/>
                <w:bCs/>
                <w:color w:val="auto"/>
                <w:kern w:val="0"/>
                <w:sz w:val="20"/>
                <w:szCs w:val="20"/>
              </w:rPr>
            </w:pPr>
            <w:r>
              <w:rPr>
                <w:rFonts w:hint="eastAsia" w:ascii="宋体" w:hAnsi="宋体" w:cs="宋体"/>
                <w:b/>
                <w:bCs/>
                <w:color w:val="auto"/>
                <w:kern w:val="0"/>
                <w:sz w:val="20"/>
                <w:szCs w:val="20"/>
              </w:rPr>
              <w:t>含税单价</w:t>
            </w:r>
          </w:p>
        </w:tc>
        <w:tc>
          <w:tcPr>
            <w:tcW w:w="765" w:type="dxa"/>
            <w:tcBorders>
              <w:top w:val="nil"/>
              <w:left w:val="nil"/>
              <w:bottom w:val="single" w:color="auto" w:sz="4" w:space="0"/>
              <w:right w:val="single" w:color="auto" w:sz="4" w:space="0"/>
            </w:tcBorders>
            <w:vAlign w:val="center"/>
          </w:tcPr>
          <w:p w14:paraId="4A2DF265">
            <w:pPr>
              <w:jc w:val="center"/>
              <w:rPr>
                <w:rFonts w:ascii="宋体" w:hAnsi="宋体" w:cs="宋体"/>
                <w:b/>
                <w:bCs/>
                <w:color w:val="auto"/>
                <w:kern w:val="0"/>
                <w:sz w:val="20"/>
                <w:szCs w:val="20"/>
              </w:rPr>
            </w:pPr>
            <w:r>
              <w:rPr>
                <w:rFonts w:hint="eastAsia" w:ascii="宋体" w:hAnsi="宋体" w:cs="宋体"/>
                <w:b/>
                <w:bCs/>
                <w:color w:val="auto"/>
                <w:kern w:val="0"/>
                <w:sz w:val="20"/>
                <w:szCs w:val="20"/>
              </w:rPr>
              <w:t>税率</w:t>
            </w:r>
          </w:p>
        </w:tc>
        <w:tc>
          <w:tcPr>
            <w:tcW w:w="881" w:type="dxa"/>
            <w:gridSpan w:val="2"/>
            <w:tcBorders>
              <w:top w:val="nil"/>
              <w:left w:val="nil"/>
              <w:bottom w:val="single" w:color="auto" w:sz="4" w:space="0"/>
              <w:right w:val="single" w:color="auto" w:sz="4" w:space="0"/>
            </w:tcBorders>
            <w:vAlign w:val="center"/>
          </w:tcPr>
          <w:p w14:paraId="3D3192FF">
            <w:pPr>
              <w:jc w:val="center"/>
              <w:rPr>
                <w:rFonts w:ascii="宋体" w:hAnsi="宋体" w:cs="宋体"/>
                <w:b/>
                <w:bCs/>
                <w:color w:val="auto"/>
                <w:kern w:val="0"/>
                <w:sz w:val="20"/>
                <w:szCs w:val="20"/>
              </w:rPr>
            </w:pPr>
            <w:r>
              <w:rPr>
                <w:rFonts w:hint="eastAsia" w:ascii="宋体" w:hAnsi="宋体" w:cs="宋体"/>
                <w:b/>
                <w:bCs/>
                <w:color w:val="auto"/>
                <w:kern w:val="0"/>
                <w:sz w:val="20"/>
                <w:szCs w:val="20"/>
              </w:rPr>
              <w:t>含税金额</w:t>
            </w:r>
          </w:p>
        </w:tc>
        <w:tc>
          <w:tcPr>
            <w:tcW w:w="1056" w:type="dxa"/>
            <w:gridSpan w:val="3"/>
            <w:tcBorders>
              <w:top w:val="nil"/>
              <w:left w:val="nil"/>
              <w:bottom w:val="single" w:color="auto" w:sz="4" w:space="0"/>
              <w:right w:val="single" w:color="auto" w:sz="4" w:space="0"/>
            </w:tcBorders>
            <w:vAlign w:val="center"/>
          </w:tcPr>
          <w:p w14:paraId="029EA4AC">
            <w:pPr>
              <w:jc w:val="center"/>
              <w:rPr>
                <w:rFonts w:ascii="宋体" w:hAnsi="宋体" w:cs="宋体"/>
                <w:b/>
                <w:bCs/>
                <w:color w:val="auto"/>
                <w:kern w:val="0"/>
                <w:sz w:val="20"/>
                <w:szCs w:val="20"/>
              </w:rPr>
            </w:pPr>
            <w:r>
              <w:rPr>
                <w:rFonts w:hint="eastAsia" w:ascii="宋体" w:hAnsi="宋体" w:cs="宋体"/>
                <w:b/>
                <w:bCs/>
                <w:color w:val="auto"/>
                <w:kern w:val="0"/>
                <w:sz w:val="20"/>
                <w:szCs w:val="20"/>
              </w:rPr>
              <w:t>不含税金额</w:t>
            </w:r>
          </w:p>
        </w:tc>
        <w:tc>
          <w:tcPr>
            <w:tcW w:w="686" w:type="dxa"/>
            <w:gridSpan w:val="2"/>
            <w:tcBorders>
              <w:top w:val="nil"/>
              <w:left w:val="nil"/>
              <w:bottom w:val="single" w:color="auto" w:sz="4" w:space="0"/>
              <w:right w:val="single" w:color="auto" w:sz="4" w:space="0"/>
            </w:tcBorders>
            <w:vAlign w:val="center"/>
          </w:tcPr>
          <w:p w14:paraId="784B9FFA">
            <w:pPr>
              <w:jc w:val="center"/>
              <w:rPr>
                <w:rFonts w:ascii="宋体" w:hAnsi="宋体" w:cs="宋体"/>
                <w:b/>
                <w:bCs/>
                <w:color w:val="auto"/>
                <w:kern w:val="0"/>
                <w:sz w:val="20"/>
                <w:szCs w:val="20"/>
              </w:rPr>
            </w:pPr>
            <w:r>
              <w:rPr>
                <w:rFonts w:hint="eastAsia" w:ascii="宋体" w:hAnsi="宋体" w:cs="宋体"/>
                <w:b/>
                <w:bCs/>
                <w:color w:val="auto"/>
                <w:kern w:val="0"/>
                <w:sz w:val="18"/>
                <w:szCs w:val="18"/>
              </w:rPr>
              <w:t>交货时间</w:t>
            </w:r>
          </w:p>
        </w:tc>
        <w:tc>
          <w:tcPr>
            <w:tcW w:w="709" w:type="dxa"/>
            <w:gridSpan w:val="2"/>
            <w:tcBorders>
              <w:top w:val="nil"/>
              <w:left w:val="nil"/>
              <w:bottom w:val="single" w:color="auto" w:sz="4" w:space="0"/>
              <w:right w:val="single" w:color="auto" w:sz="4" w:space="0"/>
            </w:tcBorders>
            <w:vAlign w:val="center"/>
          </w:tcPr>
          <w:p w14:paraId="441A811B">
            <w:pPr>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r>
      <w:tr w14:paraId="6D064DB0">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840DEE0">
            <w:pPr>
              <w:spacing w:line="360" w:lineRule="exact"/>
              <w:jc w:val="center"/>
              <w:rPr>
                <w:rFonts w:eastAsia="仿宋_GB2312"/>
                <w:color w:val="auto"/>
                <w:szCs w:val="21"/>
              </w:rPr>
            </w:pPr>
            <w:r>
              <w:rPr>
                <w:rFonts w:hint="eastAsia" w:eastAsia="仿宋_GB2312"/>
                <w:color w:val="auto"/>
                <w:szCs w:val="21"/>
              </w:rPr>
              <w:t>1</w:t>
            </w:r>
          </w:p>
        </w:tc>
        <w:tc>
          <w:tcPr>
            <w:tcW w:w="1462" w:type="dxa"/>
            <w:tcBorders>
              <w:top w:val="nil"/>
              <w:left w:val="nil"/>
              <w:bottom w:val="single" w:color="000000" w:sz="4" w:space="0"/>
              <w:right w:val="single" w:color="000000" w:sz="4" w:space="0"/>
            </w:tcBorders>
            <w:vAlign w:val="center"/>
          </w:tcPr>
          <w:p w14:paraId="6F051E51">
            <w:pPr>
              <w:spacing w:line="360" w:lineRule="exact"/>
              <w:jc w:val="center"/>
              <w:rPr>
                <w:rFonts w:eastAsia="仿宋_GB2312"/>
                <w:color w:val="auto"/>
                <w:szCs w:val="21"/>
              </w:rPr>
            </w:pPr>
          </w:p>
        </w:tc>
        <w:tc>
          <w:tcPr>
            <w:tcW w:w="2663" w:type="dxa"/>
            <w:tcBorders>
              <w:top w:val="nil"/>
              <w:left w:val="nil"/>
              <w:bottom w:val="single" w:color="000000" w:sz="4" w:space="0"/>
              <w:right w:val="single" w:color="000000" w:sz="4" w:space="0"/>
            </w:tcBorders>
            <w:vAlign w:val="center"/>
          </w:tcPr>
          <w:p w14:paraId="5A23DCC5">
            <w:pPr>
              <w:spacing w:line="360" w:lineRule="exact"/>
              <w:jc w:val="center"/>
              <w:rPr>
                <w:rFonts w:eastAsia="仿宋_GB2312"/>
                <w:color w:val="auto"/>
                <w:szCs w:val="21"/>
              </w:rPr>
            </w:pPr>
          </w:p>
        </w:tc>
        <w:tc>
          <w:tcPr>
            <w:tcW w:w="690" w:type="dxa"/>
            <w:tcBorders>
              <w:top w:val="nil"/>
              <w:left w:val="nil"/>
              <w:bottom w:val="single" w:color="000000" w:sz="4" w:space="0"/>
              <w:right w:val="single" w:color="000000" w:sz="4" w:space="0"/>
            </w:tcBorders>
            <w:vAlign w:val="center"/>
          </w:tcPr>
          <w:p w14:paraId="758F28E1">
            <w:pPr>
              <w:spacing w:line="360" w:lineRule="exact"/>
              <w:jc w:val="center"/>
              <w:rPr>
                <w:rFonts w:eastAsia="仿宋_GB2312"/>
                <w:color w:val="auto"/>
                <w:szCs w:val="21"/>
              </w:rPr>
            </w:pPr>
          </w:p>
        </w:tc>
        <w:tc>
          <w:tcPr>
            <w:tcW w:w="660" w:type="dxa"/>
            <w:tcBorders>
              <w:top w:val="nil"/>
              <w:left w:val="nil"/>
              <w:bottom w:val="single" w:color="000000" w:sz="4" w:space="0"/>
              <w:right w:val="single" w:color="000000" w:sz="4" w:space="0"/>
            </w:tcBorders>
            <w:vAlign w:val="center"/>
          </w:tcPr>
          <w:p w14:paraId="503E53A0">
            <w:pPr>
              <w:spacing w:line="360" w:lineRule="exact"/>
              <w:jc w:val="center"/>
              <w:rPr>
                <w:rFonts w:eastAsia="仿宋_GB2312"/>
                <w:color w:val="auto"/>
                <w:szCs w:val="21"/>
              </w:rPr>
            </w:pPr>
          </w:p>
        </w:tc>
        <w:tc>
          <w:tcPr>
            <w:tcW w:w="690" w:type="dxa"/>
            <w:gridSpan w:val="2"/>
            <w:tcBorders>
              <w:top w:val="nil"/>
              <w:left w:val="nil"/>
              <w:bottom w:val="single" w:color="000000" w:sz="4" w:space="0"/>
              <w:right w:val="single" w:color="000000" w:sz="4" w:space="0"/>
            </w:tcBorders>
            <w:vAlign w:val="center"/>
          </w:tcPr>
          <w:p w14:paraId="7947F2CE">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14:paraId="6C9B58E4">
            <w:pPr>
              <w:spacing w:line="360" w:lineRule="exact"/>
              <w:jc w:val="center"/>
              <w:rPr>
                <w:rFonts w:eastAsia="仿宋_GB2312"/>
                <w:color w:val="auto"/>
                <w:szCs w:val="21"/>
              </w:rPr>
            </w:pPr>
          </w:p>
        </w:tc>
        <w:tc>
          <w:tcPr>
            <w:tcW w:w="881" w:type="dxa"/>
            <w:gridSpan w:val="2"/>
            <w:tcBorders>
              <w:top w:val="nil"/>
              <w:left w:val="nil"/>
              <w:bottom w:val="single" w:color="000000" w:sz="4" w:space="0"/>
              <w:right w:val="single" w:color="000000" w:sz="4" w:space="0"/>
            </w:tcBorders>
            <w:vAlign w:val="center"/>
          </w:tcPr>
          <w:p w14:paraId="377CFABE">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14:paraId="270DE061">
            <w:pPr>
              <w:spacing w:line="360" w:lineRule="exact"/>
              <w:jc w:val="center"/>
              <w:rPr>
                <w:rFonts w:eastAsia="仿宋_GB2312"/>
                <w:color w:val="auto"/>
                <w:szCs w:val="21"/>
              </w:rPr>
            </w:pPr>
          </w:p>
        </w:tc>
        <w:tc>
          <w:tcPr>
            <w:tcW w:w="686" w:type="dxa"/>
            <w:gridSpan w:val="2"/>
            <w:tcBorders>
              <w:top w:val="single" w:color="auto" w:sz="4" w:space="0"/>
              <w:left w:val="nil"/>
              <w:bottom w:val="single" w:color="auto" w:sz="4" w:space="0"/>
              <w:right w:val="single" w:color="auto" w:sz="4" w:space="0"/>
            </w:tcBorders>
            <w:vAlign w:val="center"/>
          </w:tcPr>
          <w:p w14:paraId="711ABAC4">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000000" w:sz="4" w:space="0"/>
            </w:tcBorders>
            <w:vAlign w:val="center"/>
          </w:tcPr>
          <w:p w14:paraId="4BF39B50">
            <w:pPr>
              <w:spacing w:line="360" w:lineRule="exact"/>
              <w:jc w:val="center"/>
              <w:rPr>
                <w:rFonts w:eastAsia="仿宋_GB2312"/>
                <w:color w:val="auto"/>
                <w:szCs w:val="21"/>
              </w:rPr>
            </w:pPr>
          </w:p>
        </w:tc>
      </w:tr>
      <w:tr w14:paraId="5F8D8941">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13DE58AA">
            <w:pPr>
              <w:spacing w:line="360" w:lineRule="exact"/>
              <w:jc w:val="center"/>
              <w:rPr>
                <w:rFonts w:eastAsia="仿宋_GB2312"/>
                <w:color w:val="auto"/>
                <w:szCs w:val="21"/>
              </w:rPr>
            </w:pPr>
            <w:r>
              <w:rPr>
                <w:rFonts w:hint="eastAsia" w:eastAsia="仿宋_GB2312"/>
                <w:color w:val="auto"/>
                <w:szCs w:val="21"/>
              </w:rPr>
              <w:t>2</w:t>
            </w:r>
          </w:p>
        </w:tc>
        <w:tc>
          <w:tcPr>
            <w:tcW w:w="1462" w:type="dxa"/>
            <w:tcBorders>
              <w:top w:val="nil"/>
              <w:left w:val="nil"/>
              <w:bottom w:val="single" w:color="000000" w:sz="4" w:space="0"/>
              <w:right w:val="single" w:color="000000" w:sz="4" w:space="0"/>
            </w:tcBorders>
            <w:vAlign w:val="center"/>
          </w:tcPr>
          <w:p w14:paraId="5564EA37">
            <w:pPr>
              <w:spacing w:line="360" w:lineRule="exact"/>
              <w:jc w:val="center"/>
              <w:rPr>
                <w:rFonts w:eastAsia="仿宋_GB2312"/>
                <w:color w:val="auto"/>
                <w:szCs w:val="21"/>
              </w:rPr>
            </w:pPr>
          </w:p>
        </w:tc>
        <w:tc>
          <w:tcPr>
            <w:tcW w:w="2663" w:type="dxa"/>
            <w:tcBorders>
              <w:top w:val="nil"/>
              <w:left w:val="nil"/>
              <w:bottom w:val="single" w:color="000000" w:sz="4" w:space="0"/>
              <w:right w:val="single" w:color="000000" w:sz="4" w:space="0"/>
            </w:tcBorders>
            <w:vAlign w:val="center"/>
          </w:tcPr>
          <w:p w14:paraId="5D01E870">
            <w:pPr>
              <w:spacing w:line="360" w:lineRule="exact"/>
              <w:jc w:val="center"/>
              <w:rPr>
                <w:rFonts w:eastAsia="仿宋_GB2312"/>
                <w:color w:val="auto"/>
                <w:szCs w:val="21"/>
              </w:rPr>
            </w:pPr>
          </w:p>
        </w:tc>
        <w:tc>
          <w:tcPr>
            <w:tcW w:w="690" w:type="dxa"/>
            <w:tcBorders>
              <w:top w:val="nil"/>
              <w:left w:val="nil"/>
              <w:bottom w:val="single" w:color="000000" w:sz="4" w:space="0"/>
              <w:right w:val="single" w:color="000000" w:sz="4" w:space="0"/>
            </w:tcBorders>
            <w:vAlign w:val="center"/>
          </w:tcPr>
          <w:p w14:paraId="45CC1530">
            <w:pPr>
              <w:spacing w:line="360" w:lineRule="exact"/>
              <w:jc w:val="center"/>
              <w:rPr>
                <w:rFonts w:eastAsia="仿宋_GB2312"/>
                <w:color w:val="auto"/>
                <w:szCs w:val="21"/>
              </w:rPr>
            </w:pPr>
          </w:p>
        </w:tc>
        <w:tc>
          <w:tcPr>
            <w:tcW w:w="660" w:type="dxa"/>
            <w:tcBorders>
              <w:top w:val="nil"/>
              <w:left w:val="nil"/>
              <w:bottom w:val="single" w:color="000000" w:sz="4" w:space="0"/>
              <w:right w:val="single" w:color="000000" w:sz="4" w:space="0"/>
            </w:tcBorders>
            <w:vAlign w:val="center"/>
          </w:tcPr>
          <w:p w14:paraId="374CFFFF">
            <w:pPr>
              <w:spacing w:line="360" w:lineRule="exact"/>
              <w:jc w:val="center"/>
              <w:rPr>
                <w:rFonts w:eastAsia="仿宋_GB2312"/>
                <w:color w:val="auto"/>
                <w:szCs w:val="21"/>
              </w:rPr>
            </w:pPr>
          </w:p>
        </w:tc>
        <w:tc>
          <w:tcPr>
            <w:tcW w:w="690" w:type="dxa"/>
            <w:gridSpan w:val="2"/>
            <w:tcBorders>
              <w:top w:val="nil"/>
              <w:left w:val="nil"/>
              <w:bottom w:val="single" w:color="000000" w:sz="4" w:space="0"/>
              <w:right w:val="single" w:color="000000" w:sz="4" w:space="0"/>
            </w:tcBorders>
            <w:vAlign w:val="center"/>
          </w:tcPr>
          <w:p w14:paraId="72E324E5">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14:paraId="1B33B883">
            <w:pPr>
              <w:spacing w:line="360" w:lineRule="exact"/>
              <w:jc w:val="center"/>
              <w:rPr>
                <w:rFonts w:eastAsia="仿宋_GB2312"/>
                <w:color w:val="auto"/>
                <w:szCs w:val="21"/>
              </w:rPr>
            </w:pPr>
          </w:p>
        </w:tc>
        <w:tc>
          <w:tcPr>
            <w:tcW w:w="881" w:type="dxa"/>
            <w:gridSpan w:val="2"/>
            <w:tcBorders>
              <w:top w:val="nil"/>
              <w:left w:val="nil"/>
              <w:bottom w:val="single" w:color="000000" w:sz="4" w:space="0"/>
              <w:right w:val="single" w:color="000000" w:sz="4" w:space="0"/>
            </w:tcBorders>
            <w:vAlign w:val="center"/>
          </w:tcPr>
          <w:p w14:paraId="6443798B">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14:paraId="184963F0">
            <w:pPr>
              <w:spacing w:line="360" w:lineRule="exact"/>
              <w:jc w:val="center"/>
              <w:rPr>
                <w:rFonts w:eastAsia="仿宋_GB2312"/>
                <w:color w:val="auto"/>
                <w:szCs w:val="21"/>
              </w:rPr>
            </w:pPr>
          </w:p>
        </w:tc>
        <w:tc>
          <w:tcPr>
            <w:tcW w:w="686" w:type="dxa"/>
            <w:gridSpan w:val="2"/>
            <w:tcBorders>
              <w:top w:val="single" w:color="auto" w:sz="4" w:space="0"/>
              <w:left w:val="nil"/>
              <w:bottom w:val="single" w:color="auto" w:sz="4" w:space="0"/>
              <w:right w:val="single" w:color="auto" w:sz="4" w:space="0"/>
            </w:tcBorders>
            <w:vAlign w:val="center"/>
          </w:tcPr>
          <w:p w14:paraId="4A4CCEC7">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000000" w:sz="4" w:space="0"/>
            </w:tcBorders>
            <w:vAlign w:val="center"/>
          </w:tcPr>
          <w:p w14:paraId="5EBDE761">
            <w:pPr>
              <w:spacing w:line="360" w:lineRule="exact"/>
              <w:jc w:val="center"/>
              <w:rPr>
                <w:rFonts w:eastAsia="仿宋_GB2312"/>
                <w:color w:val="auto"/>
                <w:szCs w:val="21"/>
              </w:rPr>
            </w:pPr>
          </w:p>
        </w:tc>
      </w:tr>
      <w:tr w14:paraId="66EE1ED2">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640A99F">
            <w:pPr>
              <w:spacing w:line="360" w:lineRule="exact"/>
              <w:jc w:val="center"/>
              <w:rPr>
                <w:rFonts w:eastAsia="仿宋_GB2312"/>
                <w:color w:val="auto"/>
                <w:szCs w:val="21"/>
              </w:rPr>
            </w:pPr>
            <w:r>
              <w:rPr>
                <w:rFonts w:hint="eastAsia" w:eastAsia="仿宋_GB2312"/>
                <w:color w:val="auto"/>
                <w:szCs w:val="21"/>
              </w:rPr>
              <w:t>3</w:t>
            </w:r>
          </w:p>
        </w:tc>
        <w:tc>
          <w:tcPr>
            <w:tcW w:w="1462" w:type="dxa"/>
            <w:tcBorders>
              <w:top w:val="nil"/>
              <w:left w:val="nil"/>
              <w:bottom w:val="single" w:color="000000" w:sz="4" w:space="0"/>
              <w:right w:val="single" w:color="000000" w:sz="4" w:space="0"/>
            </w:tcBorders>
            <w:vAlign w:val="center"/>
          </w:tcPr>
          <w:p w14:paraId="0EECFC2B">
            <w:pPr>
              <w:spacing w:line="360" w:lineRule="exact"/>
              <w:jc w:val="center"/>
              <w:rPr>
                <w:rFonts w:eastAsia="仿宋_GB2312"/>
                <w:color w:val="auto"/>
                <w:szCs w:val="21"/>
              </w:rPr>
            </w:pPr>
          </w:p>
        </w:tc>
        <w:tc>
          <w:tcPr>
            <w:tcW w:w="2663" w:type="dxa"/>
            <w:tcBorders>
              <w:top w:val="nil"/>
              <w:left w:val="nil"/>
              <w:bottom w:val="single" w:color="000000" w:sz="4" w:space="0"/>
              <w:right w:val="single" w:color="000000" w:sz="4" w:space="0"/>
            </w:tcBorders>
            <w:vAlign w:val="center"/>
          </w:tcPr>
          <w:p w14:paraId="35D99C3F">
            <w:pPr>
              <w:spacing w:line="360" w:lineRule="exact"/>
              <w:jc w:val="center"/>
              <w:rPr>
                <w:rFonts w:eastAsia="仿宋_GB2312"/>
                <w:color w:val="auto"/>
                <w:szCs w:val="21"/>
              </w:rPr>
            </w:pPr>
          </w:p>
        </w:tc>
        <w:tc>
          <w:tcPr>
            <w:tcW w:w="690" w:type="dxa"/>
            <w:tcBorders>
              <w:top w:val="nil"/>
              <w:left w:val="nil"/>
              <w:bottom w:val="single" w:color="000000" w:sz="4" w:space="0"/>
              <w:right w:val="single" w:color="000000" w:sz="4" w:space="0"/>
            </w:tcBorders>
            <w:vAlign w:val="center"/>
          </w:tcPr>
          <w:p w14:paraId="35E02BC6">
            <w:pPr>
              <w:spacing w:line="360" w:lineRule="exact"/>
              <w:jc w:val="center"/>
              <w:rPr>
                <w:rFonts w:eastAsia="仿宋_GB2312"/>
                <w:color w:val="auto"/>
                <w:szCs w:val="21"/>
              </w:rPr>
            </w:pPr>
          </w:p>
        </w:tc>
        <w:tc>
          <w:tcPr>
            <w:tcW w:w="660" w:type="dxa"/>
            <w:tcBorders>
              <w:top w:val="nil"/>
              <w:left w:val="nil"/>
              <w:bottom w:val="single" w:color="000000" w:sz="4" w:space="0"/>
              <w:right w:val="single" w:color="000000" w:sz="4" w:space="0"/>
            </w:tcBorders>
            <w:vAlign w:val="center"/>
          </w:tcPr>
          <w:p w14:paraId="5EF7F584">
            <w:pPr>
              <w:spacing w:line="360" w:lineRule="exact"/>
              <w:jc w:val="center"/>
              <w:rPr>
                <w:rFonts w:eastAsia="仿宋_GB2312"/>
                <w:color w:val="auto"/>
                <w:szCs w:val="21"/>
              </w:rPr>
            </w:pPr>
          </w:p>
        </w:tc>
        <w:tc>
          <w:tcPr>
            <w:tcW w:w="690" w:type="dxa"/>
            <w:gridSpan w:val="2"/>
            <w:tcBorders>
              <w:top w:val="nil"/>
              <w:left w:val="nil"/>
              <w:bottom w:val="single" w:color="000000" w:sz="4" w:space="0"/>
              <w:right w:val="single" w:color="000000" w:sz="4" w:space="0"/>
            </w:tcBorders>
            <w:vAlign w:val="center"/>
          </w:tcPr>
          <w:p w14:paraId="4653EB09">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14:paraId="2A5D3366">
            <w:pPr>
              <w:spacing w:line="360" w:lineRule="exact"/>
              <w:jc w:val="center"/>
              <w:rPr>
                <w:rFonts w:eastAsia="仿宋_GB2312"/>
                <w:color w:val="auto"/>
                <w:szCs w:val="21"/>
              </w:rPr>
            </w:pPr>
          </w:p>
        </w:tc>
        <w:tc>
          <w:tcPr>
            <w:tcW w:w="881" w:type="dxa"/>
            <w:gridSpan w:val="2"/>
            <w:tcBorders>
              <w:top w:val="nil"/>
              <w:left w:val="nil"/>
              <w:bottom w:val="single" w:color="000000" w:sz="4" w:space="0"/>
              <w:right w:val="single" w:color="000000" w:sz="4" w:space="0"/>
            </w:tcBorders>
            <w:vAlign w:val="center"/>
          </w:tcPr>
          <w:p w14:paraId="0B803A5D">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14:paraId="237A5DCF">
            <w:pPr>
              <w:spacing w:line="360" w:lineRule="exact"/>
              <w:jc w:val="center"/>
              <w:rPr>
                <w:rFonts w:eastAsia="仿宋_GB2312"/>
                <w:color w:val="auto"/>
                <w:szCs w:val="21"/>
              </w:rPr>
            </w:pPr>
          </w:p>
        </w:tc>
        <w:tc>
          <w:tcPr>
            <w:tcW w:w="686" w:type="dxa"/>
            <w:gridSpan w:val="2"/>
            <w:tcBorders>
              <w:top w:val="single" w:color="auto" w:sz="4" w:space="0"/>
              <w:left w:val="nil"/>
              <w:bottom w:val="single" w:color="auto" w:sz="4" w:space="0"/>
              <w:right w:val="single" w:color="auto" w:sz="4" w:space="0"/>
            </w:tcBorders>
            <w:vAlign w:val="center"/>
          </w:tcPr>
          <w:p w14:paraId="1286AF71">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000000" w:sz="4" w:space="0"/>
            </w:tcBorders>
            <w:vAlign w:val="center"/>
          </w:tcPr>
          <w:p w14:paraId="59F77DC9">
            <w:pPr>
              <w:spacing w:line="360" w:lineRule="exact"/>
              <w:jc w:val="center"/>
              <w:rPr>
                <w:rFonts w:eastAsia="仿宋_GB2312"/>
                <w:color w:val="auto"/>
                <w:szCs w:val="21"/>
              </w:rPr>
            </w:pPr>
          </w:p>
        </w:tc>
      </w:tr>
      <w:tr w14:paraId="46218AAA">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0323402D">
            <w:pPr>
              <w:jc w:val="center"/>
              <w:rPr>
                <w:b/>
                <w:color w:val="auto"/>
                <w:sz w:val="18"/>
                <w:szCs w:val="18"/>
              </w:rPr>
            </w:pPr>
            <w:r>
              <w:rPr>
                <w:rFonts w:hint="eastAsia"/>
                <w:b/>
                <w:color w:val="auto"/>
                <w:sz w:val="18"/>
                <w:szCs w:val="18"/>
              </w:rPr>
              <w:t>合计</w:t>
            </w:r>
          </w:p>
        </w:tc>
        <w:tc>
          <w:tcPr>
            <w:tcW w:w="1462" w:type="dxa"/>
            <w:tcBorders>
              <w:top w:val="nil"/>
              <w:left w:val="nil"/>
              <w:bottom w:val="single" w:color="auto" w:sz="4" w:space="0"/>
              <w:right w:val="single" w:color="auto" w:sz="4" w:space="0"/>
            </w:tcBorders>
            <w:vAlign w:val="center"/>
          </w:tcPr>
          <w:p w14:paraId="0647117A">
            <w:pPr>
              <w:spacing w:line="360" w:lineRule="exact"/>
              <w:jc w:val="center"/>
              <w:rPr>
                <w:rFonts w:eastAsia="仿宋_GB2312"/>
                <w:color w:val="auto"/>
                <w:szCs w:val="21"/>
              </w:rPr>
            </w:pPr>
          </w:p>
        </w:tc>
        <w:tc>
          <w:tcPr>
            <w:tcW w:w="2663" w:type="dxa"/>
            <w:tcBorders>
              <w:top w:val="nil"/>
              <w:left w:val="nil"/>
              <w:bottom w:val="single" w:color="auto" w:sz="4" w:space="0"/>
              <w:right w:val="single" w:color="auto" w:sz="4" w:space="0"/>
            </w:tcBorders>
            <w:vAlign w:val="center"/>
          </w:tcPr>
          <w:p w14:paraId="61A374B6">
            <w:pPr>
              <w:spacing w:line="360" w:lineRule="exact"/>
              <w:jc w:val="center"/>
              <w:rPr>
                <w:rFonts w:eastAsia="仿宋_GB2312"/>
                <w:color w:val="auto"/>
                <w:szCs w:val="21"/>
              </w:rPr>
            </w:pPr>
          </w:p>
        </w:tc>
        <w:tc>
          <w:tcPr>
            <w:tcW w:w="690" w:type="dxa"/>
            <w:tcBorders>
              <w:top w:val="nil"/>
              <w:left w:val="nil"/>
              <w:bottom w:val="single" w:color="auto" w:sz="4" w:space="0"/>
              <w:right w:val="single" w:color="auto" w:sz="4" w:space="0"/>
            </w:tcBorders>
            <w:vAlign w:val="center"/>
          </w:tcPr>
          <w:p w14:paraId="2F3FE879">
            <w:pPr>
              <w:spacing w:line="360" w:lineRule="exact"/>
              <w:jc w:val="center"/>
              <w:rPr>
                <w:rFonts w:eastAsia="仿宋_GB2312"/>
                <w:color w:val="auto"/>
                <w:szCs w:val="21"/>
              </w:rPr>
            </w:pPr>
          </w:p>
        </w:tc>
        <w:tc>
          <w:tcPr>
            <w:tcW w:w="660" w:type="dxa"/>
            <w:tcBorders>
              <w:top w:val="nil"/>
              <w:left w:val="nil"/>
              <w:bottom w:val="single" w:color="auto" w:sz="4" w:space="0"/>
              <w:right w:val="single" w:color="auto" w:sz="4" w:space="0"/>
            </w:tcBorders>
            <w:vAlign w:val="center"/>
          </w:tcPr>
          <w:p w14:paraId="39F9BC48">
            <w:pPr>
              <w:spacing w:line="360" w:lineRule="exact"/>
              <w:jc w:val="center"/>
              <w:rPr>
                <w:rFonts w:eastAsia="仿宋_GB2312"/>
                <w:color w:val="auto"/>
                <w:szCs w:val="21"/>
              </w:rPr>
            </w:pPr>
          </w:p>
        </w:tc>
        <w:tc>
          <w:tcPr>
            <w:tcW w:w="690" w:type="dxa"/>
            <w:gridSpan w:val="2"/>
            <w:tcBorders>
              <w:top w:val="nil"/>
              <w:left w:val="nil"/>
              <w:bottom w:val="single" w:color="auto" w:sz="4" w:space="0"/>
              <w:right w:val="single" w:color="auto" w:sz="4" w:space="0"/>
            </w:tcBorders>
            <w:vAlign w:val="center"/>
          </w:tcPr>
          <w:p w14:paraId="7F062442">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14:paraId="2C2763F2">
            <w:pPr>
              <w:spacing w:line="360" w:lineRule="exact"/>
              <w:jc w:val="center"/>
              <w:rPr>
                <w:rFonts w:eastAsia="仿宋_GB2312"/>
                <w:color w:val="auto"/>
                <w:szCs w:val="21"/>
              </w:rPr>
            </w:pPr>
          </w:p>
        </w:tc>
        <w:tc>
          <w:tcPr>
            <w:tcW w:w="881" w:type="dxa"/>
            <w:gridSpan w:val="2"/>
            <w:tcBorders>
              <w:top w:val="nil"/>
              <w:left w:val="nil"/>
              <w:bottom w:val="single" w:color="auto" w:sz="4" w:space="0"/>
              <w:right w:val="single" w:color="auto" w:sz="4" w:space="0"/>
            </w:tcBorders>
            <w:vAlign w:val="center"/>
          </w:tcPr>
          <w:p w14:paraId="1638BC44">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14:paraId="7F7543B7">
            <w:pPr>
              <w:spacing w:line="360" w:lineRule="exact"/>
              <w:jc w:val="center"/>
              <w:rPr>
                <w:rFonts w:eastAsia="仿宋_GB2312"/>
                <w:color w:val="auto"/>
                <w:szCs w:val="21"/>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15C8DB05">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auto" w:sz="4" w:space="0"/>
            </w:tcBorders>
            <w:vAlign w:val="center"/>
          </w:tcPr>
          <w:p w14:paraId="01EC34F1">
            <w:pPr>
              <w:spacing w:line="360" w:lineRule="exact"/>
              <w:jc w:val="center"/>
              <w:rPr>
                <w:rFonts w:eastAsia="仿宋_GB2312"/>
                <w:color w:val="auto"/>
                <w:szCs w:val="21"/>
              </w:rPr>
            </w:pPr>
          </w:p>
        </w:tc>
      </w:tr>
      <w:tr w14:paraId="4EADEE10">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61315595">
            <w:pPr>
              <w:jc w:val="center"/>
              <w:rPr>
                <w:rFonts w:ascii="宋体" w:hAnsi="宋体" w:cs="宋体"/>
                <w:b/>
                <w:bCs/>
                <w:color w:val="auto"/>
                <w:kern w:val="0"/>
                <w:sz w:val="20"/>
                <w:szCs w:val="20"/>
              </w:rPr>
            </w:pPr>
            <w:r>
              <w:rPr>
                <w:rFonts w:hint="eastAsia" w:ascii="宋体" w:hAnsi="宋体" w:cs="宋体"/>
                <w:b/>
                <w:bCs/>
                <w:color w:val="auto"/>
                <w:kern w:val="0"/>
                <w:sz w:val="20"/>
                <w:szCs w:val="20"/>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689E06A0">
            <w:pPr>
              <w:jc w:val="center"/>
              <w:rPr>
                <w:rFonts w:ascii="宋体" w:hAnsi="宋体" w:cs="宋体"/>
                <w:b/>
                <w:bCs/>
                <w:color w:val="auto"/>
                <w:kern w:val="0"/>
                <w:sz w:val="20"/>
                <w:szCs w:val="20"/>
              </w:rPr>
            </w:pPr>
          </w:p>
        </w:tc>
      </w:tr>
      <w:tr w14:paraId="42288A92">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5332B250">
            <w:pPr>
              <w:jc w:val="center"/>
              <w:rPr>
                <w:rFonts w:ascii="宋体" w:hAnsi="宋体" w:cs="宋体"/>
                <w:b/>
                <w:bCs/>
                <w:color w:val="auto"/>
                <w:kern w:val="0"/>
                <w:sz w:val="20"/>
                <w:szCs w:val="20"/>
              </w:rPr>
            </w:pPr>
            <w:r>
              <w:rPr>
                <w:rFonts w:hint="eastAsia" w:ascii="宋体" w:hAnsi="宋体" w:cs="宋体"/>
                <w:b/>
                <w:bCs/>
                <w:color w:val="auto"/>
                <w:kern w:val="0"/>
                <w:sz w:val="20"/>
                <w:szCs w:val="20"/>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F9B7E7C">
            <w:pPr>
              <w:jc w:val="center"/>
              <w:rPr>
                <w:rFonts w:ascii="宋体" w:hAnsi="宋体" w:cs="宋体"/>
                <w:b/>
                <w:bCs/>
                <w:color w:val="auto"/>
                <w:kern w:val="0"/>
                <w:sz w:val="20"/>
                <w:szCs w:val="20"/>
              </w:rPr>
            </w:pPr>
          </w:p>
        </w:tc>
      </w:tr>
      <w:tr w14:paraId="1CE88AEB">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57400969">
            <w:pPr>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c>
          <w:tcPr>
            <w:tcW w:w="8800" w:type="dxa"/>
            <w:gridSpan w:val="15"/>
            <w:tcBorders>
              <w:top w:val="single" w:color="auto" w:sz="4" w:space="0"/>
              <w:left w:val="nil"/>
              <w:bottom w:val="single" w:color="auto" w:sz="4" w:space="0"/>
              <w:right w:val="single" w:color="000000" w:sz="4" w:space="0"/>
            </w:tcBorders>
            <w:vAlign w:val="center"/>
          </w:tcPr>
          <w:p w14:paraId="6EF966F8">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供货期限内，按购买方实际的需求量供货，并以实际验收入库物资数量乘以以上对应物资单价结算，交货时间和数量以购买方通知时间为准。</w:t>
            </w:r>
          </w:p>
          <w:p w14:paraId="529684FB">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购买方订购销售方物资到厂验收合格后，检修期结束后或榨季期结束后有剩余未使用的物资需退还给销售方，所退物资必须全新未使用过，发货物流点由销售方指定，产生的运费需购买方承担。</w:t>
            </w:r>
          </w:p>
          <w:p w14:paraId="6BCFCE7C">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购买方所订购的物资属非国标产品及按购买方要求加工的产品不能退货。</w:t>
            </w:r>
          </w:p>
          <w:p w14:paraId="460D14F2">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购买方所订购物资有保质期的，剩余保质期在1个月内的不能退货。</w:t>
            </w:r>
          </w:p>
          <w:p w14:paraId="7F7587B4">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销售方发给购买方的物资若有保质期，原则上保质期必须在12个月以上，具体以物资的实际保质期时间长短为准。</w:t>
            </w:r>
          </w:p>
        </w:tc>
      </w:tr>
      <w:tr w14:paraId="7B98FB42">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085B8635">
            <w:pPr>
              <w:jc w:val="center"/>
              <w:rPr>
                <w:rFonts w:ascii="宋体" w:hAnsi="宋体" w:cs="宋体"/>
                <w:color w:val="auto"/>
                <w:kern w:val="0"/>
                <w:sz w:val="20"/>
                <w:szCs w:val="20"/>
              </w:rPr>
            </w:pPr>
            <w:r>
              <w:rPr>
                <w:rFonts w:hint="eastAsia" w:ascii="宋体" w:hAnsi="宋体" w:cs="宋体"/>
                <w:color w:val="auto"/>
                <w:kern w:val="0"/>
                <w:sz w:val="20"/>
                <w:szCs w:val="20"/>
              </w:rPr>
              <w:t>注</w:t>
            </w:r>
          </w:p>
        </w:tc>
        <w:tc>
          <w:tcPr>
            <w:tcW w:w="4815" w:type="dxa"/>
            <w:gridSpan w:val="3"/>
            <w:tcBorders>
              <w:top w:val="nil"/>
              <w:left w:val="nil"/>
              <w:bottom w:val="nil"/>
              <w:right w:val="nil"/>
            </w:tcBorders>
            <w:vAlign w:val="center"/>
          </w:tcPr>
          <w:p w14:paraId="484D0C16">
            <w:pPr>
              <w:jc w:val="left"/>
              <w:rPr>
                <w:rFonts w:ascii="宋体" w:hAnsi="宋体" w:cs="宋体"/>
                <w:color w:val="auto"/>
                <w:kern w:val="0"/>
                <w:sz w:val="20"/>
                <w:szCs w:val="20"/>
              </w:rPr>
            </w:pPr>
            <w:r>
              <w:rPr>
                <w:rFonts w:hint="eastAsia" w:ascii="宋体" w:hAnsi="宋体" w:cs="宋体"/>
                <w:color w:val="auto"/>
                <w:kern w:val="0"/>
                <w:sz w:val="20"/>
                <w:szCs w:val="20"/>
              </w:rPr>
              <w:t>1、结算量根据采购方实际需求量结算</w:t>
            </w:r>
          </w:p>
        </w:tc>
        <w:tc>
          <w:tcPr>
            <w:tcW w:w="660" w:type="dxa"/>
            <w:tcBorders>
              <w:top w:val="nil"/>
              <w:left w:val="nil"/>
              <w:bottom w:val="nil"/>
              <w:right w:val="nil"/>
            </w:tcBorders>
            <w:vAlign w:val="center"/>
          </w:tcPr>
          <w:p w14:paraId="3D181AAC">
            <w:pPr>
              <w:jc w:val="left"/>
              <w:rPr>
                <w:rFonts w:ascii="宋体" w:hAnsi="宋体" w:cs="宋体"/>
                <w:color w:val="auto"/>
                <w:kern w:val="0"/>
                <w:sz w:val="20"/>
                <w:szCs w:val="20"/>
              </w:rPr>
            </w:pPr>
          </w:p>
        </w:tc>
        <w:tc>
          <w:tcPr>
            <w:tcW w:w="478" w:type="dxa"/>
            <w:tcBorders>
              <w:top w:val="nil"/>
              <w:left w:val="nil"/>
              <w:bottom w:val="nil"/>
              <w:right w:val="nil"/>
            </w:tcBorders>
            <w:vAlign w:val="center"/>
          </w:tcPr>
          <w:p w14:paraId="44AFAEF6">
            <w:pPr>
              <w:jc w:val="left"/>
              <w:rPr>
                <w:rFonts w:ascii="宋体" w:hAnsi="宋体" w:cs="宋体"/>
                <w:color w:val="auto"/>
                <w:kern w:val="0"/>
                <w:sz w:val="20"/>
                <w:szCs w:val="20"/>
              </w:rPr>
            </w:pPr>
          </w:p>
        </w:tc>
        <w:tc>
          <w:tcPr>
            <w:tcW w:w="1245" w:type="dxa"/>
            <w:gridSpan w:val="3"/>
            <w:tcBorders>
              <w:top w:val="nil"/>
              <w:left w:val="nil"/>
              <w:bottom w:val="nil"/>
              <w:right w:val="nil"/>
            </w:tcBorders>
            <w:vAlign w:val="center"/>
          </w:tcPr>
          <w:p w14:paraId="188DEF72">
            <w:pPr>
              <w:jc w:val="left"/>
              <w:rPr>
                <w:rFonts w:ascii="宋体" w:hAnsi="宋体" w:cs="宋体"/>
                <w:color w:val="auto"/>
                <w:kern w:val="0"/>
                <w:sz w:val="20"/>
                <w:szCs w:val="20"/>
              </w:rPr>
            </w:pPr>
          </w:p>
        </w:tc>
        <w:tc>
          <w:tcPr>
            <w:tcW w:w="765" w:type="dxa"/>
            <w:gridSpan w:val="2"/>
            <w:tcBorders>
              <w:top w:val="nil"/>
              <w:left w:val="nil"/>
              <w:bottom w:val="nil"/>
              <w:right w:val="nil"/>
            </w:tcBorders>
            <w:vAlign w:val="center"/>
          </w:tcPr>
          <w:p w14:paraId="0BF6A961">
            <w:pPr>
              <w:jc w:val="left"/>
              <w:rPr>
                <w:rFonts w:ascii="宋体" w:hAnsi="宋体" w:cs="宋体"/>
                <w:color w:val="auto"/>
                <w:kern w:val="0"/>
                <w:sz w:val="20"/>
                <w:szCs w:val="20"/>
              </w:rPr>
            </w:pPr>
          </w:p>
        </w:tc>
        <w:tc>
          <w:tcPr>
            <w:tcW w:w="491" w:type="dxa"/>
            <w:tcBorders>
              <w:top w:val="nil"/>
              <w:left w:val="nil"/>
              <w:bottom w:val="nil"/>
              <w:right w:val="nil"/>
            </w:tcBorders>
            <w:vAlign w:val="center"/>
          </w:tcPr>
          <w:p w14:paraId="4CB051A7">
            <w:pPr>
              <w:jc w:val="left"/>
              <w:rPr>
                <w:rFonts w:ascii="宋体" w:hAnsi="宋体" w:cs="宋体"/>
                <w:color w:val="auto"/>
                <w:kern w:val="0"/>
                <w:sz w:val="20"/>
                <w:szCs w:val="20"/>
              </w:rPr>
            </w:pPr>
          </w:p>
        </w:tc>
        <w:tc>
          <w:tcPr>
            <w:tcW w:w="1099" w:type="dxa"/>
            <w:gridSpan w:val="3"/>
            <w:tcBorders>
              <w:top w:val="nil"/>
              <w:left w:val="nil"/>
              <w:bottom w:val="nil"/>
              <w:right w:val="nil"/>
            </w:tcBorders>
            <w:vAlign w:val="center"/>
          </w:tcPr>
          <w:p w14:paraId="27FDA0EF">
            <w:pPr>
              <w:jc w:val="left"/>
              <w:rPr>
                <w:rFonts w:ascii="宋体" w:hAnsi="宋体" w:cs="宋体"/>
                <w:color w:val="auto"/>
                <w:kern w:val="0"/>
                <w:sz w:val="20"/>
                <w:szCs w:val="20"/>
              </w:rPr>
            </w:pPr>
          </w:p>
        </w:tc>
        <w:tc>
          <w:tcPr>
            <w:tcW w:w="840" w:type="dxa"/>
            <w:gridSpan w:val="4"/>
            <w:tcBorders>
              <w:top w:val="nil"/>
              <w:left w:val="nil"/>
              <w:bottom w:val="nil"/>
              <w:right w:val="nil"/>
            </w:tcBorders>
            <w:vAlign w:val="center"/>
          </w:tcPr>
          <w:p w14:paraId="0A50F8E7">
            <w:pPr>
              <w:jc w:val="left"/>
              <w:rPr>
                <w:rFonts w:ascii="宋体" w:hAnsi="宋体" w:cs="宋体"/>
                <w:color w:val="auto"/>
                <w:kern w:val="0"/>
                <w:sz w:val="20"/>
                <w:szCs w:val="20"/>
              </w:rPr>
            </w:pPr>
          </w:p>
        </w:tc>
        <w:tc>
          <w:tcPr>
            <w:tcW w:w="236" w:type="dxa"/>
            <w:tcBorders>
              <w:top w:val="nil"/>
              <w:left w:val="nil"/>
              <w:bottom w:val="nil"/>
              <w:right w:val="nil"/>
            </w:tcBorders>
            <w:vAlign w:val="center"/>
          </w:tcPr>
          <w:p w14:paraId="34B3B91E">
            <w:pPr>
              <w:jc w:val="left"/>
              <w:rPr>
                <w:rFonts w:ascii="宋体" w:hAnsi="宋体" w:cs="宋体"/>
                <w:color w:val="auto"/>
                <w:kern w:val="0"/>
                <w:sz w:val="20"/>
                <w:szCs w:val="20"/>
              </w:rPr>
            </w:pPr>
          </w:p>
        </w:tc>
      </w:tr>
      <w:tr w14:paraId="35A1E670">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00268E2E">
            <w:pPr>
              <w:jc w:val="center"/>
              <w:rPr>
                <w:rFonts w:ascii="宋体" w:hAnsi="宋体" w:cs="宋体"/>
                <w:color w:val="auto"/>
                <w:kern w:val="0"/>
                <w:sz w:val="20"/>
                <w:szCs w:val="20"/>
              </w:rPr>
            </w:pPr>
          </w:p>
        </w:tc>
        <w:tc>
          <w:tcPr>
            <w:tcW w:w="6165" w:type="dxa"/>
            <w:gridSpan w:val="6"/>
            <w:tcBorders>
              <w:top w:val="nil"/>
              <w:left w:val="nil"/>
              <w:bottom w:val="nil"/>
              <w:right w:val="nil"/>
            </w:tcBorders>
            <w:vAlign w:val="center"/>
          </w:tcPr>
          <w:p w14:paraId="33A04376">
            <w:pPr>
              <w:jc w:val="left"/>
              <w:rPr>
                <w:rFonts w:ascii="宋体" w:hAnsi="宋体" w:cs="宋体"/>
                <w:color w:val="auto"/>
                <w:kern w:val="0"/>
                <w:sz w:val="20"/>
                <w:szCs w:val="20"/>
              </w:rPr>
            </w:pPr>
            <w:r>
              <w:rPr>
                <w:rFonts w:hint="eastAsia" w:ascii="宋体" w:hAnsi="宋体" w:cs="宋体"/>
                <w:color w:val="auto"/>
                <w:kern w:val="0"/>
                <w:sz w:val="20"/>
                <w:szCs w:val="20"/>
              </w:rPr>
              <w:t>2、合同期内超过合同量的供货，按合同同等价结算</w:t>
            </w:r>
          </w:p>
        </w:tc>
        <w:tc>
          <w:tcPr>
            <w:tcW w:w="765" w:type="dxa"/>
            <w:tcBorders>
              <w:top w:val="nil"/>
              <w:left w:val="nil"/>
              <w:bottom w:val="nil"/>
              <w:right w:val="nil"/>
            </w:tcBorders>
            <w:vAlign w:val="center"/>
          </w:tcPr>
          <w:p w14:paraId="5BDA9B19">
            <w:pPr>
              <w:jc w:val="left"/>
              <w:rPr>
                <w:rFonts w:ascii="宋体" w:hAnsi="宋体" w:cs="宋体"/>
                <w:color w:val="auto"/>
                <w:kern w:val="0"/>
                <w:sz w:val="20"/>
                <w:szCs w:val="20"/>
              </w:rPr>
            </w:pPr>
          </w:p>
        </w:tc>
        <w:tc>
          <w:tcPr>
            <w:tcW w:w="881" w:type="dxa"/>
            <w:gridSpan w:val="2"/>
            <w:tcBorders>
              <w:top w:val="nil"/>
              <w:left w:val="nil"/>
              <w:bottom w:val="nil"/>
              <w:right w:val="nil"/>
            </w:tcBorders>
            <w:vAlign w:val="center"/>
          </w:tcPr>
          <w:p w14:paraId="4F229989">
            <w:pPr>
              <w:jc w:val="left"/>
              <w:rPr>
                <w:rFonts w:ascii="宋体" w:hAnsi="宋体" w:cs="宋体"/>
                <w:color w:val="auto"/>
                <w:kern w:val="0"/>
                <w:sz w:val="20"/>
                <w:szCs w:val="20"/>
              </w:rPr>
            </w:pPr>
          </w:p>
        </w:tc>
        <w:tc>
          <w:tcPr>
            <w:tcW w:w="1056" w:type="dxa"/>
            <w:gridSpan w:val="3"/>
            <w:tcBorders>
              <w:top w:val="nil"/>
              <w:left w:val="nil"/>
              <w:bottom w:val="nil"/>
              <w:right w:val="nil"/>
            </w:tcBorders>
            <w:vAlign w:val="center"/>
          </w:tcPr>
          <w:p w14:paraId="5585719A">
            <w:pPr>
              <w:jc w:val="left"/>
              <w:rPr>
                <w:rFonts w:ascii="宋体" w:hAnsi="宋体" w:cs="宋体"/>
                <w:color w:val="auto"/>
                <w:kern w:val="0"/>
                <w:sz w:val="20"/>
                <w:szCs w:val="20"/>
              </w:rPr>
            </w:pPr>
          </w:p>
        </w:tc>
        <w:tc>
          <w:tcPr>
            <w:tcW w:w="236" w:type="dxa"/>
            <w:tcBorders>
              <w:top w:val="nil"/>
              <w:left w:val="nil"/>
              <w:bottom w:val="nil"/>
              <w:right w:val="nil"/>
            </w:tcBorders>
            <w:vAlign w:val="center"/>
          </w:tcPr>
          <w:p w14:paraId="636A28F1">
            <w:pPr>
              <w:jc w:val="left"/>
              <w:rPr>
                <w:rFonts w:ascii="宋体" w:hAnsi="宋体" w:cs="宋体"/>
                <w:color w:val="auto"/>
                <w:kern w:val="0"/>
                <w:sz w:val="20"/>
                <w:szCs w:val="20"/>
              </w:rPr>
            </w:pPr>
          </w:p>
        </w:tc>
        <w:tc>
          <w:tcPr>
            <w:tcW w:w="1005" w:type="dxa"/>
            <w:gridSpan w:val="2"/>
            <w:tcBorders>
              <w:top w:val="nil"/>
              <w:left w:val="nil"/>
              <w:bottom w:val="nil"/>
              <w:right w:val="nil"/>
            </w:tcBorders>
            <w:vAlign w:val="center"/>
          </w:tcPr>
          <w:p w14:paraId="01439429">
            <w:pPr>
              <w:jc w:val="left"/>
              <w:rPr>
                <w:rFonts w:ascii="宋体" w:hAnsi="宋体" w:cs="宋体"/>
                <w:color w:val="auto"/>
                <w:kern w:val="0"/>
                <w:sz w:val="20"/>
                <w:szCs w:val="20"/>
              </w:rPr>
            </w:pPr>
          </w:p>
        </w:tc>
        <w:tc>
          <w:tcPr>
            <w:tcW w:w="236" w:type="dxa"/>
            <w:gridSpan w:val="2"/>
            <w:tcBorders>
              <w:top w:val="nil"/>
              <w:left w:val="nil"/>
              <w:bottom w:val="nil"/>
              <w:right w:val="nil"/>
            </w:tcBorders>
            <w:vAlign w:val="center"/>
          </w:tcPr>
          <w:p w14:paraId="425A4344">
            <w:pPr>
              <w:jc w:val="left"/>
              <w:rPr>
                <w:rFonts w:ascii="宋体" w:hAnsi="宋体" w:cs="宋体"/>
                <w:color w:val="auto"/>
                <w:kern w:val="0"/>
                <w:sz w:val="20"/>
                <w:szCs w:val="20"/>
              </w:rPr>
            </w:pPr>
          </w:p>
        </w:tc>
      </w:tr>
    </w:tbl>
    <w:p w14:paraId="41933C50">
      <w:pPr>
        <w:widowControl/>
        <w:spacing w:line="500" w:lineRule="exact"/>
        <w:jc w:val="center"/>
        <w:rPr>
          <w:rFonts w:hint="eastAsia" w:ascii="仿宋_GB2312" w:hAnsi="黑体" w:eastAsia="仿宋_GB2312"/>
          <w:b/>
          <w:bCs/>
          <w:color w:val="auto"/>
          <w:sz w:val="44"/>
          <w:szCs w:val="44"/>
          <w:u w:val="single"/>
        </w:rPr>
      </w:pPr>
    </w:p>
    <w:p w14:paraId="296D2314">
      <w:pPr>
        <w:pStyle w:val="7"/>
        <w:rPr>
          <w:rFonts w:hint="default"/>
          <w:color w:val="auto"/>
          <w:lang w:val="en-US" w:eastAsia="zh-CN"/>
        </w:rPr>
      </w:pPr>
    </w:p>
    <w:p w14:paraId="20A204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045A21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3C3703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0CBAB3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0F3C47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08C522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29BD0B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23C02E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51C4F9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2222B8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7EF646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rPr>
        <w:t>、廉洁承诺书：</w:t>
      </w:r>
    </w:p>
    <w:p w14:paraId="172A96F1">
      <w:pPr>
        <w:autoSpaceDE w:val="0"/>
        <w:autoSpaceDN w:val="0"/>
        <w:adjustRightInd w:val="0"/>
        <w:ind w:firstLine="640" w:firstLineChars="200"/>
        <w:rPr>
          <w:rFonts w:ascii="Times" w:hAnsi="Times" w:eastAsia="仿宋_GB2312" w:cs="宋体"/>
          <w:color w:val="000000"/>
          <w:kern w:val="0"/>
          <w:sz w:val="32"/>
          <w:szCs w:val="32"/>
          <w:highlight w:val="none"/>
        </w:rPr>
      </w:pPr>
    </w:p>
    <w:p w14:paraId="3FDA4CD4">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2FE96CA2">
      <w:pPr>
        <w:autoSpaceDE w:val="0"/>
        <w:autoSpaceDN w:val="0"/>
        <w:adjustRightInd w:val="0"/>
        <w:ind w:firstLine="720" w:firstLineChars="200"/>
        <w:jc w:val="center"/>
        <w:rPr>
          <w:rFonts w:ascii="Times" w:hAnsi="Times" w:eastAsia="黑体" w:cs="宋体"/>
          <w:color w:val="000000"/>
          <w:kern w:val="0"/>
          <w:sz w:val="36"/>
          <w:szCs w:val="32"/>
          <w:highlight w:val="none"/>
        </w:rPr>
      </w:pPr>
    </w:p>
    <w:p w14:paraId="0D720CC7">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4E1F8736">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203BB41F">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105F6FF1">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5D9DBA2A">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2BB0AFE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271FD27E">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237417EA">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3DFD86D6">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7846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79C3E0E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79DD0911">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1B772ECD">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658A76B6">
      <w:pPr>
        <w:autoSpaceDE w:val="0"/>
        <w:autoSpaceDN w:val="0"/>
        <w:adjustRightInd w:val="0"/>
        <w:ind w:firstLine="640" w:firstLineChars="200"/>
        <w:rPr>
          <w:rFonts w:ascii="Times" w:hAnsi="Times" w:eastAsia="仿宋_GB2312" w:cs="宋体"/>
          <w:color w:val="000000"/>
          <w:kern w:val="0"/>
          <w:sz w:val="32"/>
          <w:szCs w:val="32"/>
          <w:highlight w:val="none"/>
        </w:rPr>
      </w:pPr>
    </w:p>
    <w:p w14:paraId="2864591D">
      <w:pPr>
        <w:autoSpaceDE w:val="0"/>
        <w:autoSpaceDN w:val="0"/>
        <w:adjustRightInd w:val="0"/>
        <w:ind w:firstLine="640" w:firstLineChars="200"/>
        <w:rPr>
          <w:rFonts w:ascii="Times" w:hAnsi="Times" w:eastAsia="仿宋_GB2312" w:cs="宋体"/>
          <w:color w:val="000000"/>
          <w:kern w:val="0"/>
          <w:sz w:val="32"/>
          <w:szCs w:val="32"/>
          <w:highlight w:val="none"/>
        </w:rPr>
      </w:pPr>
    </w:p>
    <w:p w14:paraId="0B53C026">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55979CE1">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76CA4379">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355886C8">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14:paraId="074E02E6">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14:paraId="2352F957">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14:paraId="5CAD35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p>
    <w:p w14:paraId="2648487B">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14:paraId="30AD35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lang w:val="en-US" w:eastAsia="zh-CN"/>
        </w:rPr>
      </w:pPr>
      <w:r>
        <w:rPr>
          <w:rFonts w:hint="eastAsia" w:eastAsia="仿宋" w:cs="Times New Roman"/>
          <w:color w:val="auto"/>
          <w:sz w:val="32"/>
          <w:szCs w:val="32"/>
          <w:lang w:val="en-US" w:eastAsia="zh-CN"/>
        </w:rPr>
        <w:t>1.报价请注明品牌、货期、选择正确税率</w:t>
      </w:r>
      <w:r>
        <w:rPr>
          <w:rFonts w:hint="eastAsia" w:ascii="Times New Roman" w:hAnsi="Times New Roman" w:eastAsia="仿宋" w:cs="Times New Roman"/>
          <w:color w:val="auto"/>
          <w:sz w:val="32"/>
          <w:szCs w:val="32"/>
          <w:lang w:val="en-US" w:eastAsia="zh-CN"/>
        </w:rPr>
        <w:t>。</w:t>
      </w:r>
    </w:p>
    <w:p w14:paraId="4BAC2C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rPr>
      </w:pPr>
      <w:r>
        <w:rPr>
          <w:rFonts w:hint="eastAsia" w:eastAsia="仿宋" w:cs="Times New Roman"/>
          <w:color w:val="auto"/>
          <w:sz w:val="32"/>
          <w:szCs w:val="32"/>
          <w:lang w:val="en-US" w:eastAsia="zh-CN"/>
        </w:rPr>
        <w:t>2.</w:t>
      </w:r>
      <w:r>
        <w:rPr>
          <w:rFonts w:hint="default" w:ascii="Times New Roman" w:hAnsi="Times New Roman" w:eastAsia="仿宋" w:cs="Times New Roman"/>
          <w:color w:val="auto"/>
          <w:sz w:val="32"/>
          <w:szCs w:val="32"/>
        </w:rPr>
        <w:t>联系人：</w:t>
      </w:r>
      <w:r>
        <w:rPr>
          <w:rFonts w:hint="eastAsia" w:eastAsia="仿宋" w:cs="Times New Roman"/>
          <w:color w:val="auto"/>
          <w:sz w:val="32"/>
          <w:szCs w:val="32"/>
          <w:lang w:val="en-US" w:eastAsia="zh-CN"/>
        </w:rPr>
        <w:t>曾建娣</w:t>
      </w:r>
      <w:r>
        <w:rPr>
          <w:rFonts w:hint="default" w:ascii="Times New Roman" w:hAnsi="Times New Roman" w:eastAsia="仿宋" w:cs="Times New Roman"/>
          <w:color w:val="auto"/>
          <w:sz w:val="32"/>
          <w:szCs w:val="32"/>
        </w:rPr>
        <w:t xml:space="preserve">        联系电话 ：</w:t>
      </w:r>
      <w:r>
        <w:rPr>
          <w:rFonts w:hint="eastAsia" w:eastAsia="仿宋" w:cs="Times New Roman"/>
          <w:color w:val="auto"/>
          <w:sz w:val="32"/>
          <w:szCs w:val="32"/>
          <w:lang w:val="en-US" w:eastAsia="zh-CN"/>
        </w:rPr>
        <w:t>15718355560</w:t>
      </w:r>
    </w:p>
    <w:p w14:paraId="1E8D83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望予以最优惠报价为盼。</w:t>
      </w:r>
    </w:p>
    <w:p w14:paraId="3E8EB3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6A5C56F">
      <w:pPr>
        <w:rPr>
          <w:rFonts w:hint="default"/>
          <w:color w:val="auto"/>
        </w:rPr>
      </w:pPr>
    </w:p>
    <w:p w14:paraId="40CFFA9E">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50BC32A7">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7</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26</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244C5">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A731DD"/>
    <w:rsid w:val="05CE05D4"/>
    <w:rsid w:val="09CC39BA"/>
    <w:rsid w:val="09E24C3F"/>
    <w:rsid w:val="0B5B5F2A"/>
    <w:rsid w:val="0C5E4406"/>
    <w:rsid w:val="0C8765F1"/>
    <w:rsid w:val="0D503373"/>
    <w:rsid w:val="10F76265"/>
    <w:rsid w:val="11EB52AD"/>
    <w:rsid w:val="16760CB0"/>
    <w:rsid w:val="1699719C"/>
    <w:rsid w:val="17A653BB"/>
    <w:rsid w:val="1A6701C5"/>
    <w:rsid w:val="1AB63B41"/>
    <w:rsid w:val="1EAF2632"/>
    <w:rsid w:val="213828F8"/>
    <w:rsid w:val="224B26BD"/>
    <w:rsid w:val="25B07058"/>
    <w:rsid w:val="28D46E1C"/>
    <w:rsid w:val="2AF7731C"/>
    <w:rsid w:val="2D187955"/>
    <w:rsid w:val="2DA03510"/>
    <w:rsid w:val="2EF835C5"/>
    <w:rsid w:val="2EF92788"/>
    <w:rsid w:val="30054781"/>
    <w:rsid w:val="31382887"/>
    <w:rsid w:val="31DC465E"/>
    <w:rsid w:val="326A1B73"/>
    <w:rsid w:val="3583388D"/>
    <w:rsid w:val="35B50B1F"/>
    <w:rsid w:val="35B77E4C"/>
    <w:rsid w:val="3A4E546B"/>
    <w:rsid w:val="3BEF5637"/>
    <w:rsid w:val="3CBA408F"/>
    <w:rsid w:val="3CDB4C00"/>
    <w:rsid w:val="3D534311"/>
    <w:rsid w:val="43FE4DFF"/>
    <w:rsid w:val="46FC0E56"/>
    <w:rsid w:val="47CD238C"/>
    <w:rsid w:val="4A05591A"/>
    <w:rsid w:val="4FA84265"/>
    <w:rsid w:val="4FD1313A"/>
    <w:rsid w:val="53CD0F05"/>
    <w:rsid w:val="54BE2A37"/>
    <w:rsid w:val="55DB05F7"/>
    <w:rsid w:val="56590DEF"/>
    <w:rsid w:val="56B25652"/>
    <w:rsid w:val="58744773"/>
    <w:rsid w:val="58EB592E"/>
    <w:rsid w:val="596B1228"/>
    <w:rsid w:val="599E7648"/>
    <w:rsid w:val="5A7C74A0"/>
    <w:rsid w:val="5F4D239A"/>
    <w:rsid w:val="61B41449"/>
    <w:rsid w:val="621809DE"/>
    <w:rsid w:val="629040BC"/>
    <w:rsid w:val="63802CF2"/>
    <w:rsid w:val="64471C00"/>
    <w:rsid w:val="66533321"/>
    <w:rsid w:val="6733208F"/>
    <w:rsid w:val="6BE2426A"/>
    <w:rsid w:val="6BEA35EB"/>
    <w:rsid w:val="6C2377FC"/>
    <w:rsid w:val="6C365F9B"/>
    <w:rsid w:val="6CFC1654"/>
    <w:rsid w:val="6DA036A8"/>
    <w:rsid w:val="71ED62B2"/>
    <w:rsid w:val="72C90324"/>
    <w:rsid w:val="74464579"/>
    <w:rsid w:val="745368A0"/>
    <w:rsid w:val="7B4D1F27"/>
    <w:rsid w:val="7B84415E"/>
    <w:rsid w:val="7C195D8E"/>
    <w:rsid w:val="7C5B6713"/>
    <w:rsid w:val="7C9B36C5"/>
    <w:rsid w:val="7CF6302F"/>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4413</Words>
  <Characters>4607</Characters>
  <Lines>0</Lines>
  <Paragraphs>0</Paragraphs>
  <TotalTime>1</TotalTime>
  <ScaleCrop>false</ScaleCrop>
  <LinksUpToDate>false</LinksUpToDate>
  <CharactersWithSpaces>4847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2024-07-26T09:52:43Z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19474E60F90545CD9EB5CF90B964F3BD_12</vt:lpwstr>
  </property>
</Properties>
</file>