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rPr>
      </w:pPr>
    </w:p>
    <w:p>
      <w:pPr>
        <w:spacing w:line="276" w:lineRule="auto"/>
        <w:rPr>
          <w:rFonts w:eastAsia="仿宋" w:asciiTheme="minorEastAsia" w:hAnsiTheme="minorEastAsia"/>
          <w:snapToGrid w:val="0"/>
          <w:sz w:val="24"/>
          <w:szCs w:val="24"/>
        </w:rPr>
      </w:pPr>
    </w:p>
    <w:p>
      <w:pPr>
        <w:spacing w:line="276" w:lineRule="auto"/>
        <w:rPr>
          <w:rFonts w:eastAsia="仿宋" w:asciiTheme="minorEastAsia" w:hAnsiTheme="minorEastAsia"/>
          <w:snapToGrid w:val="0"/>
          <w:sz w:val="24"/>
          <w:szCs w:val="24"/>
        </w:rPr>
      </w:pPr>
    </w:p>
    <w:p>
      <w:pPr>
        <w:spacing w:line="276" w:lineRule="auto"/>
        <w:rPr>
          <w:rFonts w:ascii="仿宋" w:hAnsi="仿宋" w:eastAsia="仿宋"/>
          <w:b/>
          <w:snapToGrid w:val="0"/>
          <w:sz w:val="32"/>
          <w:szCs w:val="32"/>
          <w:lang w:eastAsia="zh-CN"/>
        </w:rPr>
      </w:pPr>
    </w:p>
    <w:p>
      <w:pPr>
        <w:spacing w:line="276" w:lineRule="auto"/>
        <w:jc w:val="center"/>
        <w:rPr>
          <w:rFonts w:ascii="仿宋" w:hAnsi="仿宋" w:eastAsia="仿宋"/>
          <w:b/>
          <w:snapToGrid w:val="0"/>
          <w:sz w:val="32"/>
          <w:szCs w:val="32"/>
          <w:lang w:eastAsia="zh-CN"/>
        </w:rPr>
      </w:pPr>
      <w:bookmarkStart w:id="0" w:name="扫描"/>
      <w:bookmarkEnd w:id="0"/>
      <w:r>
        <w:rPr>
          <w:rFonts w:hint="eastAsia" w:ascii="仿宋" w:hAnsi="仿宋" w:eastAsia="仿宋"/>
          <w:b/>
          <w:snapToGrid w:val="0"/>
          <w:sz w:val="32"/>
          <w:szCs w:val="32"/>
          <w:lang w:eastAsia="zh-CN"/>
        </w:rPr>
        <w:t>中粮糖业甘蔗糖部</w:t>
      </w:r>
    </w:p>
    <w:p>
      <w:pPr>
        <w:spacing w:line="276" w:lineRule="auto"/>
        <w:jc w:val="center"/>
        <w:rPr>
          <w:rFonts w:ascii="仿宋" w:hAnsi="仿宋" w:eastAsia="仿宋"/>
          <w:b/>
          <w:snapToGrid w:val="0"/>
          <w:sz w:val="32"/>
          <w:szCs w:val="32"/>
          <w:lang w:eastAsia="zh-CN"/>
        </w:rPr>
      </w:pPr>
      <w:r>
        <w:rPr>
          <w:rFonts w:hint="eastAsia" w:ascii="仿宋" w:hAnsi="仿宋" w:eastAsia="仿宋"/>
          <w:b/>
          <w:snapToGrid w:val="0"/>
          <w:sz w:val="32"/>
          <w:szCs w:val="32"/>
          <w:lang w:eastAsia="zh-CN"/>
        </w:rPr>
        <w:t>2024年北海糖业制炼车间丙糖螺旋输送槽大修项目</w:t>
      </w:r>
    </w:p>
    <w:p>
      <w:pPr>
        <w:spacing w:line="276" w:lineRule="auto"/>
        <w:jc w:val="center"/>
        <w:rPr>
          <w:rFonts w:eastAsia="仿宋" w:asciiTheme="minorEastAsia" w:hAnsiTheme="minorEastAsia"/>
          <w:snapToGrid w:val="0"/>
          <w:sz w:val="32"/>
          <w:szCs w:val="32"/>
          <w:lang w:eastAsia="zh-CN"/>
        </w:rPr>
      </w:pPr>
      <w:r>
        <w:rPr>
          <w:rFonts w:eastAsia="仿宋" w:asciiTheme="minorEastAsia" w:hAnsiTheme="minorEastAsia"/>
          <w:snapToGrid w:val="0"/>
          <w:sz w:val="32"/>
          <w:szCs w:val="32"/>
          <w:lang w:eastAsia="zh-CN"/>
        </w:rPr>
        <w:t>（采购编号：）</w:t>
      </w: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jc w:val="center"/>
        <w:rPr>
          <w:rFonts w:eastAsia="仿宋" w:asciiTheme="minorEastAsia" w:hAnsiTheme="minorEastAsia"/>
          <w:b/>
          <w:bCs/>
          <w:snapToGrid w:val="0"/>
          <w:sz w:val="52"/>
          <w:szCs w:val="52"/>
          <w:lang w:eastAsia="zh-CN"/>
        </w:rPr>
      </w:pPr>
      <w:r>
        <w:rPr>
          <w:rFonts w:eastAsia="仿宋" w:asciiTheme="minorEastAsia" w:hAnsiTheme="minorEastAsia"/>
          <w:b/>
          <w:bCs/>
          <w:snapToGrid w:val="0"/>
          <w:sz w:val="52"/>
          <w:szCs w:val="52"/>
          <w:lang w:eastAsia="zh-CN"/>
        </w:rPr>
        <w:t>谈判采购文件</w:t>
      </w: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8"/>
          <w:szCs w:val="28"/>
          <w:lang w:eastAsia="zh-CN"/>
        </w:rPr>
      </w:pPr>
    </w:p>
    <w:p>
      <w:pPr>
        <w:spacing w:line="276" w:lineRule="auto"/>
        <w:jc w:val="center"/>
        <w:rPr>
          <w:rFonts w:eastAsia="仿宋" w:asciiTheme="minorEastAsia" w:hAnsiTheme="minorEastAsia"/>
          <w:snapToGrid w:val="0"/>
          <w:sz w:val="28"/>
          <w:szCs w:val="28"/>
          <w:lang w:eastAsia="zh-CN"/>
        </w:rPr>
      </w:pPr>
      <w:r>
        <w:rPr>
          <w:rFonts w:hint="eastAsia" w:eastAsia="仿宋" w:asciiTheme="minorEastAsia" w:hAnsiTheme="minorEastAsia"/>
          <w:snapToGrid w:val="0"/>
          <w:sz w:val="28"/>
          <w:szCs w:val="28"/>
          <w:lang w:eastAsia="zh-CN"/>
        </w:rPr>
        <w:t>采购人</w:t>
      </w:r>
      <w:r>
        <w:rPr>
          <w:rFonts w:eastAsia="仿宋" w:asciiTheme="minorEastAsia" w:hAnsiTheme="minorEastAsia"/>
          <w:snapToGrid w:val="0"/>
          <w:sz w:val="28"/>
          <w:szCs w:val="28"/>
          <w:lang w:eastAsia="zh-CN"/>
        </w:rPr>
        <w:t>：</w:t>
      </w:r>
      <w:r>
        <w:rPr>
          <w:rFonts w:ascii="仿宋" w:hAnsi="仿宋" w:eastAsia="仿宋"/>
          <w:snapToGrid w:val="0"/>
          <w:sz w:val="28"/>
          <w:szCs w:val="28"/>
          <w:lang w:eastAsia="zh-CN"/>
        </w:rPr>
        <w:t>中粮</w:t>
      </w:r>
      <w:r>
        <w:rPr>
          <w:rFonts w:hint="eastAsia" w:ascii="仿宋" w:hAnsi="仿宋" w:eastAsia="仿宋"/>
          <w:snapToGrid w:val="0"/>
          <w:sz w:val="28"/>
          <w:szCs w:val="28"/>
          <w:lang w:eastAsia="zh-CN"/>
        </w:rPr>
        <w:t>北海糖业</w:t>
      </w:r>
      <w:r>
        <w:rPr>
          <w:rFonts w:ascii="仿宋" w:hAnsi="仿宋" w:eastAsia="仿宋"/>
          <w:snapToGrid w:val="0"/>
          <w:sz w:val="28"/>
          <w:szCs w:val="28"/>
          <w:lang w:eastAsia="zh-CN"/>
        </w:rPr>
        <w:t>有限公司（盖单位公章）</w:t>
      </w:r>
    </w:p>
    <w:p>
      <w:pPr>
        <w:spacing w:line="276" w:lineRule="auto"/>
        <w:jc w:val="center"/>
        <w:rPr>
          <w:rFonts w:eastAsia="仿宋" w:asciiTheme="minorEastAsia" w:hAnsiTheme="minorEastAsia"/>
          <w:snapToGrid w:val="0"/>
          <w:sz w:val="28"/>
          <w:szCs w:val="28"/>
          <w:lang w:eastAsia="zh-CN"/>
        </w:rPr>
      </w:pPr>
    </w:p>
    <w:p>
      <w:pPr>
        <w:spacing w:line="276" w:lineRule="auto"/>
        <w:jc w:val="center"/>
        <w:rPr>
          <w:rFonts w:eastAsia="仿宋" w:asciiTheme="minorEastAsia" w:hAnsiTheme="minorEastAsia"/>
          <w:snapToGrid w:val="0"/>
          <w:sz w:val="28"/>
          <w:szCs w:val="28"/>
          <w:u w:val="single"/>
          <w:lang w:eastAsia="zh-CN"/>
        </w:rPr>
      </w:pPr>
      <w:r>
        <w:rPr>
          <w:rFonts w:hint="eastAsia" w:eastAsia="仿宋" w:asciiTheme="minorEastAsia" w:hAnsiTheme="minorEastAsia"/>
          <w:snapToGrid w:val="0"/>
          <w:sz w:val="28"/>
          <w:szCs w:val="28"/>
          <w:u w:val="single"/>
          <w:lang w:eastAsia="zh-CN"/>
        </w:rPr>
        <w:t>2024年</w:t>
      </w:r>
      <w:r>
        <w:rPr>
          <w:rFonts w:hint="eastAsia" w:eastAsia="仿宋" w:asciiTheme="minorEastAsia" w:hAnsiTheme="minorEastAsia"/>
          <w:snapToGrid w:val="0"/>
          <w:sz w:val="28"/>
          <w:szCs w:val="28"/>
          <w:u w:val="single"/>
          <w:lang w:val="en-US" w:eastAsia="zh-CN"/>
        </w:rPr>
        <w:t>8</w:t>
      </w:r>
      <w:r>
        <w:rPr>
          <w:rFonts w:eastAsia="仿宋" w:asciiTheme="minorEastAsia" w:hAnsiTheme="minorEastAsia"/>
          <w:snapToGrid w:val="0"/>
          <w:sz w:val="28"/>
          <w:szCs w:val="28"/>
          <w:u w:val="single"/>
          <w:lang w:eastAsia="zh-CN"/>
        </w:rPr>
        <w:t>月</w:t>
      </w:r>
      <w:r>
        <w:rPr>
          <w:rFonts w:hint="eastAsia" w:eastAsia="仿宋" w:asciiTheme="minorEastAsia" w:hAnsiTheme="minorEastAsia"/>
          <w:snapToGrid w:val="0"/>
          <w:sz w:val="28"/>
          <w:szCs w:val="28"/>
          <w:u w:val="single"/>
          <w:lang w:val="en-US" w:eastAsia="zh-CN"/>
        </w:rPr>
        <w:t>10</w:t>
      </w:r>
      <w:r>
        <w:rPr>
          <w:rFonts w:hint="eastAsia" w:eastAsia="仿宋" w:asciiTheme="minorEastAsia" w:hAnsiTheme="minorEastAsia"/>
          <w:snapToGrid w:val="0"/>
          <w:sz w:val="28"/>
          <w:szCs w:val="28"/>
          <w:u w:val="single"/>
          <w:lang w:eastAsia="zh-CN"/>
        </w:rPr>
        <w:t>日</w:t>
      </w: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53"/>
        <w:rPr>
          <w:color w:val="auto"/>
        </w:rPr>
      </w:pPr>
      <w:r>
        <w:rPr>
          <w:rFonts w:hint="eastAsia"/>
          <w:color w:val="auto"/>
          <w:lang w:val="zh-CN"/>
        </w:rPr>
        <w:t>目录</w:t>
      </w:r>
    </w:p>
    <w:p>
      <w:pPr>
        <w:pStyle w:val="22"/>
        <w:rPr>
          <w:rFonts w:cstheme="minorBidi"/>
          <w:kern w:val="2"/>
          <w:sz w:val="21"/>
        </w:rPr>
      </w:pPr>
      <w:r>
        <w:rPr>
          <w:rFonts w:hint="eastAsia" w:asciiTheme="minorEastAsia" w:hAnsiTheme="minorEastAsia" w:cstheme="minorEastAsia"/>
        </w:rPr>
        <w:fldChar w:fldCharType="begin"/>
      </w:r>
      <w:r>
        <w:rPr>
          <w:rFonts w:hint="eastAsia" w:asciiTheme="minorEastAsia" w:hAnsiTheme="minorEastAsia" w:cstheme="minorEastAsia"/>
        </w:rPr>
        <w:instrText xml:space="preserve"> TOC \o "1-3" \h \z \u </w:instrText>
      </w:r>
      <w:r>
        <w:rPr>
          <w:rFonts w:hint="eastAsia" w:asciiTheme="minorEastAsia" w:hAnsiTheme="minorEastAsia" w:cstheme="minorEastAsia"/>
        </w:rPr>
        <w:fldChar w:fldCharType="separate"/>
      </w:r>
      <w:r>
        <w:fldChar w:fldCharType="begin"/>
      </w:r>
      <w:r>
        <w:instrText xml:space="preserve"> HYPERLINK \l "_Toc171583998" </w:instrText>
      </w:r>
      <w:r>
        <w:fldChar w:fldCharType="separate"/>
      </w:r>
      <w:r>
        <w:rPr>
          <w:rStyle w:val="35"/>
        </w:rPr>
        <w:t>第一章谈判采购公告</w:t>
      </w:r>
      <w:r>
        <w:tab/>
      </w:r>
      <w:r>
        <w:fldChar w:fldCharType="begin"/>
      </w:r>
      <w:r>
        <w:instrText xml:space="preserve"> PAGEREF _Toc171583998 \h </w:instrText>
      </w:r>
      <w:r>
        <w:fldChar w:fldCharType="separate"/>
      </w:r>
      <w:r>
        <w:t>5</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"_Toc171583999" </w:instrText>
      </w:r>
      <w:r>
        <w:fldChar w:fldCharType="separate"/>
      </w:r>
      <w:r>
        <w:rPr>
          <w:rStyle w:val="35"/>
          <w:rFonts w:asciiTheme="minorEastAsia" w:hAnsiTheme="minorEastAsia" w:cstheme="minorEastAsia"/>
          <w:b/>
          <w:bCs/>
          <w:snapToGrid w:val="0"/>
        </w:rPr>
        <w:t>中粮糖业甘蔗糖部2024年北海糖业制炼车间丙糖螺旋输送槽大修项目谈判采购公告</w:t>
      </w:r>
      <w:r>
        <w:tab/>
      </w:r>
      <w:r>
        <w:fldChar w:fldCharType="begin"/>
      </w:r>
      <w:r>
        <w:instrText xml:space="preserve"> PAGEREF _Toc171583999 \h </w:instrText>
      </w:r>
      <w:r>
        <w:fldChar w:fldCharType="separate"/>
      </w:r>
      <w:r>
        <w:t>6</w:t>
      </w:r>
      <w:r>
        <w:fldChar w:fldCharType="end"/>
      </w:r>
      <w:r>
        <w:fldChar w:fldCharType="end"/>
      </w:r>
    </w:p>
    <w:p>
      <w:pPr>
        <w:pStyle w:val="16"/>
        <w:rPr>
          <w:rFonts w:cstheme="minorBidi"/>
          <w:kern w:val="2"/>
          <w:sz w:val="21"/>
        </w:rPr>
      </w:pPr>
      <w:r>
        <w:fldChar w:fldCharType="begin"/>
      </w:r>
      <w:r>
        <w:instrText xml:space="preserve"> HYPERLINK \l "_Toc171584000" </w:instrText>
      </w:r>
      <w:r>
        <w:fldChar w:fldCharType="separate"/>
      </w:r>
      <w:r>
        <w:rPr>
          <w:rStyle w:val="35"/>
          <w:rFonts w:asciiTheme="minorEastAsia" w:hAnsiTheme="minorEastAsia" w:cstheme="minorEastAsia"/>
          <w:b/>
          <w:snapToGrid w:val="0"/>
        </w:rPr>
        <w:t>1.采购项目简介</w:t>
      </w:r>
      <w:r>
        <w:tab/>
      </w:r>
      <w:r>
        <w:fldChar w:fldCharType="begin"/>
      </w:r>
      <w:r>
        <w:instrText xml:space="preserve"> PAGEREF _Toc171584000 \h </w:instrText>
      </w:r>
      <w:r>
        <w:fldChar w:fldCharType="separate"/>
      </w:r>
      <w:r>
        <w:t>6</w:t>
      </w:r>
      <w:r>
        <w:fldChar w:fldCharType="end"/>
      </w:r>
      <w:r>
        <w:fldChar w:fldCharType="end"/>
      </w:r>
    </w:p>
    <w:p>
      <w:pPr>
        <w:pStyle w:val="16"/>
        <w:rPr>
          <w:rFonts w:cstheme="minorBidi"/>
          <w:kern w:val="2"/>
          <w:sz w:val="21"/>
        </w:rPr>
      </w:pPr>
      <w:r>
        <w:fldChar w:fldCharType="begin"/>
      </w:r>
      <w:r>
        <w:instrText xml:space="preserve"> HYPERLINK \l "_Toc171584001" </w:instrText>
      </w:r>
      <w:r>
        <w:fldChar w:fldCharType="separate"/>
      </w:r>
      <w:r>
        <w:rPr>
          <w:rStyle w:val="35"/>
          <w:rFonts w:asciiTheme="minorEastAsia" w:hAnsiTheme="minorEastAsia" w:cstheme="minorEastAsia"/>
          <w:b/>
          <w:snapToGrid w:val="0"/>
        </w:rPr>
        <w:t>2.采购范围及相关要求</w:t>
      </w:r>
      <w:r>
        <w:tab/>
      </w:r>
      <w:r>
        <w:fldChar w:fldCharType="begin"/>
      </w:r>
      <w:r>
        <w:instrText xml:space="preserve"> PAGEREF _Toc171584001 \h </w:instrText>
      </w:r>
      <w:r>
        <w:fldChar w:fldCharType="separate"/>
      </w:r>
      <w:r>
        <w:t>6</w:t>
      </w:r>
      <w:r>
        <w:fldChar w:fldCharType="end"/>
      </w:r>
      <w:r>
        <w:fldChar w:fldCharType="end"/>
      </w:r>
    </w:p>
    <w:p>
      <w:pPr>
        <w:pStyle w:val="16"/>
        <w:rPr>
          <w:rFonts w:cstheme="minorBidi"/>
          <w:kern w:val="2"/>
          <w:sz w:val="21"/>
        </w:rPr>
      </w:pPr>
      <w:r>
        <w:fldChar w:fldCharType="begin"/>
      </w:r>
      <w:r>
        <w:instrText xml:space="preserve"> HYPERLINK \l "_Toc171584002" </w:instrText>
      </w:r>
      <w:r>
        <w:fldChar w:fldCharType="separate"/>
      </w:r>
      <w:r>
        <w:rPr>
          <w:rStyle w:val="35"/>
          <w:rFonts w:asciiTheme="minorEastAsia" w:hAnsiTheme="minorEastAsia" w:cstheme="minorEastAsia"/>
          <w:b/>
          <w:snapToGrid w:val="0"/>
        </w:rPr>
        <w:t>3.供应商资格要求</w:t>
      </w:r>
      <w:r>
        <w:tab/>
      </w:r>
      <w:r>
        <w:fldChar w:fldCharType="begin"/>
      </w:r>
      <w:r>
        <w:instrText xml:space="preserve"> PAGEREF _Toc171584002 \h </w:instrText>
      </w:r>
      <w:r>
        <w:fldChar w:fldCharType="separate"/>
      </w:r>
      <w:r>
        <w:t>6</w:t>
      </w:r>
      <w:r>
        <w:fldChar w:fldCharType="end"/>
      </w:r>
      <w:r>
        <w:fldChar w:fldCharType="end"/>
      </w:r>
    </w:p>
    <w:p>
      <w:pPr>
        <w:pStyle w:val="16"/>
        <w:rPr>
          <w:rFonts w:cstheme="minorBidi"/>
          <w:kern w:val="2"/>
          <w:sz w:val="21"/>
        </w:rPr>
      </w:pPr>
      <w:r>
        <w:fldChar w:fldCharType="begin"/>
      </w:r>
      <w:r>
        <w:instrText xml:space="preserve"> HYPERLINK \l "_Toc171584003" </w:instrText>
      </w:r>
      <w:r>
        <w:fldChar w:fldCharType="separate"/>
      </w:r>
      <w:r>
        <w:rPr>
          <w:rStyle w:val="35"/>
          <w:rFonts w:asciiTheme="minorEastAsia" w:hAnsiTheme="minorEastAsia" w:cstheme="minorEastAsia"/>
          <w:b/>
          <w:bCs/>
          <w:snapToGrid w:val="0"/>
        </w:rPr>
        <w:t>4.采购文件的获取</w:t>
      </w:r>
      <w:r>
        <w:tab/>
      </w:r>
      <w:r>
        <w:fldChar w:fldCharType="begin"/>
      </w:r>
      <w:r>
        <w:instrText xml:space="preserve"> PAGEREF _Toc171584003 \h </w:instrText>
      </w:r>
      <w:r>
        <w:fldChar w:fldCharType="separate"/>
      </w:r>
      <w:r>
        <w:t>7</w:t>
      </w:r>
      <w:r>
        <w:fldChar w:fldCharType="end"/>
      </w:r>
      <w:r>
        <w:fldChar w:fldCharType="end"/>
      </w:r>
    </w:p>
    <w:p>
      <w:pPr>
        <w:pStyle w:val="16"/>
        <w:rPr>
          <w:rFonts w:cstheme="minorBidi"/>
          <w:kern w:val="2"/>
          <w:sz w:val="21"/>
        </w:rPr>
      </w:pPr>
      <w:r>
        <w:fldChar w:fldCharType="begin"/>
      </w:r>
      <w:r>
        <w:instrText xml:space="preserve"> HYPERLINK \l "_Toc171584004" </w:instrText>
      </w:r>
      <w:r>
        <w:fldChar w:fldCharType="separate"/>
      </w:r>
      <w:r>
        <w:rPr>
          <w:rStyle w:val="35"/>
          <w:rFonts w:asciiTheme="minorEastAsia" w:hAnsiTheme="minorEastAsia" w:cstheme="minorEastAsia"/>
          <w:b/>
          <w:bCs/>
          <w:snapToGrid w:val="0"/>
        </w:rPr>
        <w:t>6.响应文件的上传</w:t>
      </w:r>
      <w:r>
        <w:tab/>
      </w:r>
      <w:r>
        <w:fldChar w:fldCharType="begin"/>
      </w:r>
      <w:r>
        <w:instrText xml:space="preserve"> PAGEREF _Toc171584004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"_Toc171584005" </w:instrText>
      </w:r>
      <w:r>
        <w:fldChar w:fldCharType="separate"/>
      </w:r>
      <w:r>
        <w:rPr>
          <w:rStyle w:val="35"/>
          <w:rFonts w:asciiTheme="minorEastAsia" w:hAnsiTheme="minorEastAsia" w:cstheme="minorEastAsia"/>
          <w:b/>
          <w:bCs/>
          <w:snapToGrid w:val="0"/>
        </w:rPr>
        <w:t>7.响应文件的开启</w:t>
      </w:r>
      <w:r>
        <w:tab/>
      </w:r>
      <w:r>
        <w:fldChar w:fldCharType="begin"/>
      </w:r>
      <w:r>
        <w:instrText xml:space="preserve"> PAGEREF _Toc171584005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"_Toc171584006" </w:instrText>
      </w:r>
      <w:r>
        <w:fldChar w:fldCharType="separate"/>
      </w:r>
      <w:r>
        <w:rPr>
          <w:rStyle w:val="35"/>
          <w:rFonts w:asciiTheme="minorEastAsia" w:hAnsiTheme="minorEastAsia" w:cstheme="minorEastAsia"/>
          <w:b/>
          <w:bCs/>
          <w:snapToGrid w:val="0"/>
        </w:rPr>
        <w:t>8.谈判时间和地点</w:t>
      </w:r>
      <w:r>
        <w:tab/>
      </w:r>
      <w:r>
        <w:fldChar w:fldCharType="begin"/>
      </w:r>
      <w:r>
        <w:instrText xml:space="preserve"> PAGEREF _Toc171584006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"_Toc171584007" </w:instrText>
      </w:r>
      <w:r>
        <w:fldChar w:fldCharType="separate"/>
      </w:r>
      <w:r>
        <w:rPr>
          <w:rStyle w:val="35"/>
          <w:rFonts w:asciiTheme="minorEastAsia" w:hAnsiTheme="minorEastAsia" w:cstheme="minorEastAsia"/>
          <w:b/>
          <w:bCs/>
          <w:snapToGrid w:val="0"/>
        </w:rPr>
        <w:t>9.纪检监督</w:t>
      </w:r>
      <w:r>
        <w:tab/>
      </w:r>
      <w:r>
        <w:fldChar w:fldCharType="begin"/>
      </w:r>
      <w:r>
        <w:instrText xml:space="preserve"> PAGEREF _Toc171584007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"_Toc171584008" </w:instrText>
      </w:r>
      <w:r>
        <w:fldChar w:fldCharType="separate"/>
      </w:r>
      <w:r>
        <w:rPr>
          <w:rStyle w:val="35"/>
          <w:rFonts w:asciiTheme="minorEastAsia" w:hAnsiTheme="minorEastAsia" w:cstheme="minorEastAsia"/>
          <w:b/>
          <w:bCs/>
          <w:snapToGrid w:val="0"/>
        </w:rPr>
        <w:t>10.其他</w:t>
      </w:r>
      <w:r>
        <w:tab/>
      </w:r>
      <w:r>
        <w:fldChar w:fldCharType="begin"/>
      </w:r>
      <w:r>
        <w:instrText xml:space="preserve"> PAGEREF _Toc171584008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"_Toc171584009" </w:instrText>
      </w:r>
      <w:r>
        <w:fldChar w:fldCharType="separate"/>
      </w:r>
      <w:r>
        <w:rPr>
          <w:rStyle w:val="35"/>
          <w:rFonts w:asciiTheme="minorEastAsia" w:hAnsiTheme="minorEastAsia" w:cstheme="minorEastAsia"/>
          <w:b/>
          <w:bCs/>
          <w:snapToGrid w:val="0"/>
        </w:rPr>
        <w:t>11.联系方式</w:t>
      </w:r>
      <w:r>
        <w:tab/>
      </w:r>
      <w:r>
        <w:fldChar w:fldCharType="begin"/>
      </w:r>
      <w:r>
        <w:instrText xml:space="preserve"> PAGEREF _Toc171584009 \h </w:instrText>
      </w:r>
      <w:r>
        <w:fldChar w:fldCharType="separate"/>
      </w:r>
      <w:r>
        <w:t>9</w:t>
      </w:r>
      <w:r>
        <w:fldChar w:fldCharType="end"/>
      </w:r>
      <w:r>
        <w:fldChar w:fldCharType="end"/>
      </w:r>
    </w:p>
    <w:p>
      <w:pPr>
        <w:pStyle w:val="22"/>
        <w:rPr>
          <w:rFonts w:cstheme="minorBidi"/>
          <w:kern w:val="2"/>
          <w:sz w:val="21"/>
        </w:rPr>
      </w:pPr>
      <w:r>
        <w:fldChar w:fldCharType="begin"/>
      </w:r>
      <w:r>
        <w:instrText xml:space="preserve"> HYPERLINK \l "_Toc171584010" </w:instrText>
      </w:r>
      <w:r>
        <w:fldChar w:fldCharType="separate"/>
      </w:r>
      <w:r>
        <w:rPr>
          <w:rStyle w:val="35"/>
        </w:rPr>
        <w:t>第二章供应商须知</w:t>
      </w:r>
      <w:r>
        <w:tab/>
      </w:r>
      <w:r>
        <w:fldChar w:fldCharType="begin"/>
      </w:r>
      <w:r>
        <w:instrText xml:space="preserve"> PAGEREF _Toc171584010 \h </w:instrText>
      </w:r>
      <w:r>
        <w:fldChar w:fldCharType="separate"/>
      </w:r>
      <w:r>
        <w:t>10</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"_Toc171584011" </w:instrText>
      </w:r>
      <w:r>
        <w:fldChar w:fldCharType="separate"/>
      </w:r>
      <w:r>
        <w:rPr>
          <w:rStyle w:val="35"/>
          <w:rFonts w:asciiTheme="minorEastAsia" w:hAnsiTheme="minorEastAsia" w:cstheme="minorEastAsia"/>
          <w:b/>
          <w:bCs/>
          <w:snapToGrid w:val="0"/>
        </w:rPr>
        <w:t>供应商须知前附表</w:t>
      </w:r>
      <w:r>
        <w:tab/>
      </w:r>
      <w:r>
        <w:fldChar w:fldCharType="begin"/>
      </w:r>
      <w:r>
        <w:instrText xml:space="preserve"> PAGEREF _Toc171584011 \h </w:instrText>
      </w:r>
      <w:r>
        <w:fldChar w:fldCharType="separate"/>
      </w:r>
      <w:r>
        <w:t>11</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"_Toc171584012" </w:instrText>
      </w:r>
      <w:r>
        <w:fldChar w:fldCharType="separate"/>
      </w:r>
      <w:r>
        <w:rPr>
          <w:rStyle w:val="35"/>
          <w:rFonts w:asciiTheme="minorEastAsia" w:hAnsiTheme="minorEastAsia" w:cstheme="minorEastAsia"/>
          <w:b/>
          <w:snapToGrid w:val="0"/>
        </w:rPr>
        <w:t>1.总则</w:t>
      </w:r>
      <w:r>
        <w:tab/>
      </w:r>
      <w:r>
        <w:fldChar w:fldCharType="begin"/>
      </w:r>
      <w:r>
        <w:instrText xml:space="preserve"> PAGEREF _Toc171584012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"_Toc171584013" </w:instrText>
      </w:r>
      <w:r>
        <w:fldChar w:fldCharType="separate"/>
      </w:r>
      <w:r>
        <w:rPr>
          <w:rStyle w:val="35"/>
          <w:rFonts w:asciiTheme="minorEastAsia" w:hAnsiTheme="minorEastAsia" w:cstheme="minorEastAsia"/>
          <w:b/>
          <w:bCs/>
          <w:snapToGrid w:val="0"/>
        </w:rPr>
        <w:t>1.1采购方式</w:t>
      </w:r>
      <w:r>
        <w:tab/>
      </w:r>
      <w:r>
        <w:fldChar w:fldCharType="begin"/>
      </w:r>
      <w:r>
        <w:instrText xml:space="preserve"> PAGEREF _Toc171584013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"_Toc171584014" </w:instrText>
      </w:r>
      <w:r>
        <w:fldChar w:fldCharType="separate"/>
      </w:r>
      <w:r>
        <w:rPr>
          <w:rStyle w:val="35"/>
          <w:rFonts w:asciiTheme="minorEastAsia" w:hAnsiTheme="minorEastAsia" w:cstheme="minorEastAsia"/>
          <w:b/>
          <w:bCs/>
          <w:snapToGrid w:val="0"/>
        </w:rPr>
        <w:t>1.2采购项目概况和供应商资格要求</w:t>
      </w:r>
      <w:r>
        <w:tab/>
      </w:r>
      <w:r>
        <w:fldChar w:fldCharType="begin"/>
      </w:r>
      <w:r>
        <w:instrText xml:space="preserve"> PAGEREF _Toc171584014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"_Toc171584015" </w:instrText>
      </w:r>
      <w:r>
        <w:fldChar w:fldCharType="separate"/>
      </w:r>
      <w:r>
        <w:rPr>
          <w:rStyle w:val="35"/>
          <w:rFonts w:asciiTheme="minorEastAsia" w:hAnsiTheme="minorEastAsia" w:cstheme="minorEastAsia"/>
          <w:b/>
          <w:bCs/>
          <w:snapToGrid w:val="0"/>
        </w:rPr>
        <w:t>1.3费用承担</w:t>
      </w:r>
      <w:r>
        <w:tab/>
      </w:r>
      <w:r>
        <w:fldChar w:fldCharType="begin"/>
      </w:r>
      <w:r>
        <w:instrText xml:space="preserve"> PAGEREF _Toc171584015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"_Toc171584016" </w:instrText>
      </w:r>
      <w:r>
        <w:fldChar w:fldCharType="separate"/>
      </w:r>
      <w:r>
        <w:rPr>
          <w:rStyle w:val="35"/>
          <w:rFonts w:asciiTheme="minorEastAsia" w:hAnsiTheme="minorEastAsia" w:cstheme="minorEastAsia"/>
          <w:b/>
          <w:bCs/>
          <w:snapToGrid w:val="0"/>
        </w:rPr>
        <w:t>1.4保密</w:t>
      </w:r>
      <w:r>
        <w:tab/>
      </w:r>
      <w:r>
        <w:fldChar w:fldCharType="begin"/>
      </w:r>
      <w:r>
        <w:instrText xml:space="preserve"> PAGEREF _Toc171584016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"_Toc171584017" </w:instrText>
      </w:r>
      <w:r>
        <w:fldChar w:fldCharType="separate"/>
      </w:r>
      <w:r>
        <w:rPr>
          <w:rStyle w:val="35"/>
          <w:rFonts w:asciiTheme="minorEastAsia" w:hAnsiTheme="minorEastAsia" w:cstheme="minorEastAsia"/>
          <w:b/>
          <w:bCs/>
          <w:snapToGrid w:val="0"/>
        </w:rPr>
        <w:t>1.5语言文字</w:t>
      </w:r>
      <w:r>
        <w:tab/>
      </w:r>
      <w:r>
        <w:fldChar w:fldCharType="begin"/>
      </w:r>
      <w:r>
        <w:instrText xml:space="preserve"> PAGEREF _Toc171584017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"_Toc171584018" </w:instrText>
      </w:r>
      <w:r>
        <w:fldChar w:fldCharType="separate"/>
      </w:r>
      <w:r>
        <w:rPr>
          <w:rStyle w:val="35"/>
          <w:rFonts w:asciiTheme="minorEastAsia" w:hAnsiTheme="minorEastAsia" w:cstheme="minorEastAsia"/>
          <w:b/>
          <w:bCs/>
          <w:snapToGrid w:val="0"/>
        </w:rPr>
        <w:t>1.6计量单位</w:t>
      </w:r>
      <w:r>
        <w:tab/>
      </w:r>
      <w:r>
        <w:fldChar w:fldCharType="begin"/>
      </w:r>
      <w:r>
        <w:instrText xml:space="preserve"> PAGEREF _Toc171584018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"_Toc171584019" </w:instrText>
      </w:r>
      <w:r>
        <w:fldChar w:fldCharType="separate"/>
      </w:r>
      <w:r>
        <w:rPr>
          <w:rStyle w:val="35"/>
          <w:rFonts w:asciiTheme="minorEastAsia" w:hAnsiTheme="minorEastAsia" w:cstheme="minorEastAsia"/>
          <w:b/>
          <w:bCs/>
          <w:snapToGrid w:val="0"/>
        </w:rPr>
        <w:t>1.7踏勘现场</w:t>
      </w:r>
      <w:r>
        <w:tab/>
      </w:r>
      <w:r>
        <w:fldChar w:fldCharType="begin"/>
      </w:r>
      <w:r>
        <w:instrText xml:space="preserve"> PAGEREF _Toc171584019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"_Toc171584020" </w:instrText>
      </w:r>
      <w:r>
        <w:fldChar w:fldCharType="separate"/>
      </w:r>
      <w:r>
        <w:rPr>
          <w:rStyle w:val="35"/>
          <w:rFonts w:asciiTheme="minorEastAsia" w:hAnsiTheme="minorEastAsia" w:cstheme="minorEastAsia"/>
          <w:b/>
          <w:bCs/>
          <w:snapToGrid w:val="0"/>
        </w:rPr>
        <w:t>1.8谈判采购预备会</w:t>
      </w:r>
      <w:r>
        <w:tab/>
      </w:r>
      <w:r>
        <w:fldChar w:fldCharType="begin"/>
      </w:r>
      <w:r>
        <w:instrText xml:space="preserve"> PAGEREF _Toc171584020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"_Toc171584021" </w:instrText>
      </w:r>
      <w:r>
        <w:fldChar w:fldCharType="separate"/>
      </w:r>
      <w:r>
        <w:rPr>
          <w:rStyle w:val="35"/>
          <w:rFonts w:asciiTheme="minorEastAsia" w:hAnsiTheme="minorEastAsia" w:cstheme="minorEastAsia"/>
          <w:b/>
          <w:bCs/>
          <w:snapToGrid w:val="0"/>
        </w:rPr>
        <w:t>1.9分包</w:t>
      </w:r>
      <w:r>
        <w:tab/>
      </w:r>
      <w:r>
        <w:fldChar w:fldCharType="begin"/>
      </w:r>
      <w:r>
        <w:instrText xml:space="preserve"> PAGEREF _Toc171584021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"_Toc171584022" </w:instrText>
      </w:r>
      <w:r>
        <w:fldChar w:fldCharType="separate"/>
      </w:r>
      <w:r>
        <w:rPr>
          <w:rStyle w:val="35"/>
          <w:rFonts w:asciiTheme="minorEastAsia" w:hAnsiTheme="minorEastAsia" w:cstheme="minorEastAsia"/>
          <w:b/>
          <w:bCs/>
          <w:snapToGrid w:val="0"/>
        </w:rPr>
        <w:t>1.10响应和偏差</w:t>
      </w:r>
      <w:r>
        <w:tab/>
      </w:r>
      <w:r>
        <w:fldChar w:fldCharType="begin"/>
      </w:r>
      <w:r>
        <w:instrText xml:space="preserve"> PAGEREF _Toc171584022 \h </w:instrText>
      </w:r>
      <w:r>
        <w:fldChar w:fldCharType="separate"/>
      </w:r>
      <w:r>
        <w:t>16</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"_Toc171584023" </w:instrText>
      </w:r>
      <w:r>
        <w:fldChar w:fldCharType="separate"/>
      </w:r>
      <w:r>
        <w:rPr>
          <w:rStyle w:val="35"/>
          <w:rFonts w:asciiTheme="minorEastAsia" w:hAnsiTheme="minorEastAsia" w:cstheme="minorEastAsia"/>
          <w:b/>
          <w:bCs/>
          <w:snapToGrid w:val="0"/>
        </w:rPr>
        <w:t>2.采购文件</w:t>
      </w:r>
      <w:r>
        <w:tab/>
      </w:r>
      <w:r>
        <w:fldChar w:fldCharType="begin"/>
      </w:r>
      <w:r>
        <w:instrText xml:space="preserve"> PAGEREF _Toc171584023 \h </w:instrText>
      </w:r>
      <w:r>
        <w:fldChar w:fldCharType="separate"/>
      </w:r>
      <w:r>
        <w:t>16</w:t>
      </w:r>
      <w:r>
        <w:fldChar w:fldCharType="end"/>
      </w:r>
      <w:r>
        <w:fldChar w:fldCharType="end"/>
      </w:r>
    </w:p>
    <w:p>
      <w:pPr>
        <w:pStyle w:val="16"/>
        <w:rPr>
          <w:rFonts w:cstheme="minorBidi"/>
          <w:kern w:val="2"/>
          <w:sz w:val="21"/>
        </w:rPr>
      </w:pPr>
      <w:r>
        <w:fldChar w:fldCharType="begin"/>
      </w:r>
      <w:r>
        <w:instrText xml:space="preserve"> HYPERLINK \l "_Toc171584024" </w:instrText>
      </w:r>
      <w:r>
        <w:fldChar w:fldCharType="separate"/>
      </w:r>
      <w:r>
        <w:rPr>
          <w:rStyle w:val="35"/>
          <w:rFonts w:asciiTheme="minorEastAsia" w:hAnsiTheme="minorEastAsia" w:cstheme="minorEastAsia"/>
          <w:b/>
          <w:snapToGrid w:val="0"/>
        </w:rPr>
        <w:t>2.1采购文件的组成</w:t>
      </w:r>
      <w:r>
        <w:tab/>
      </w:r>
      <w:r>
        <w:fldChar w:fldCharType="begin"/>
      </w:r>
      <w:r>
        <w:instrText xml:space="preserve"> PAGEREF _Toc171584024 \h </w:instrText>
      </w:r>
      <w:r>
        <w:fldChar w:fldCharType="separate"/>
      </w:r>
      <w:r>
        <w:t>16</w:t>
      </w:r>
      <w:r>
        <w:fldChar w:fldCharType="end"/>
      </w:r>
      <w:r>
        <w:fldChar w:fldCharType="end"/>
      </w:r>
    </w:p>
    <w:p>
      <w:pPr>
        <w:pStyle w:val="16"/>
        <w:rPr>
          <w:rFonts w:cstheme="minorBidi"/>
          <w:kern w:val="2"/>
          <w:sz w:val="21"/>
        </w:rPr>
      </w:pPr>
      <w:r>
        <w:fldChar w:fldCharType="begin"/>
      </w:r>
      <w:r>
        <w:instrText xml:space="preserve"> HYPERLINK \l "_Toc171584025" </w:instrText>
      </w:r>
      <w:r>
        <w:fldChar w:fldCharType="separate"/>
      </w:r>
      <w:r>
        <w:rPr>
          <w:rStyle w:val="35"/>
          <w:rFonts w:asciiTheme="minorEastAsia" w:hAnsiTheme="minorEastAsia" w:cstheme="minorEastAsia"/>
          <w:b/>
          <w:snapToGrid w:val="0"/>
        </w:rPr>
        <w:t>2.2采购文件的澄清和修改</w:t>
      </w:r>
      <w:r>
        <w:tab/>
      </w:r>
      <w:r>
        <w:fldChar w:fldCharType="begin"/>
      </w:r>
      <w:r>
        <w:instrText xml:space="preserve"> PAGEREF _Toc171584025 \h </w:instrText>
      </w:r>
      <w:r>
        <w:fldChar w:fldCharType="separate"/>
      </w:r>
      <w:r>
        <w:t>16</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"_Toc171584026" </w:instrText>
      </w:r>
      <w:r>
        <w:fldChar w:fldCharType="separate"/>
      </w:r>
      <w:r>
        <w:rPr>
          <w:rStyle w:val="35"/>
          <w:rFonts w:asciiTheme="minorEastAsia" w:hAnsiTheme="minorEastAsia" w:cstheme="minorEastAsia"/>
          <w:b/>
          <w:bCs/>
          <w:snapToGrid w:val="0"/>
        </w:rPr>
        <w:t>3.响应文件</w:t>
      </w:r>
      <w:r>
        <w:tab/>
      </w:r>
      <w:r>
        <w:fldChar w:fldCharType="begin"/>
      </w:r>
      <w:r>
        <w:instrText xml:space="preserve"> PAGEREF _Toc171584026 \h </w:instrText>
      </w:r>
      <w:r>
        <w:fldChar w:fldCharType="separate"/>
      </w:r>
      <w:r>
        <w:t>16</w:t>
      </w:r>
      <w:r>
        <w:fldChar w:fldCharType="end"/>
      </w:r>
      <w:r>
        <w:fldChar w:fldCharType="end"/>
      </w:r>
    </w:p>
    <w:p>
      <w:pPr>
        <w:pStyle w:val="16"/>
        <w:rPr>
          <w:rFonts w:cstheme="minorBidi"/>
          <w:kern w:val="2"/>
          <w:sz w:val="21"/>
        </w:rPr>
      </w:pPr>
      <w:r>
        <w:fldChar w:fldCharType="begin"/>
      </w:r>
      <w:r>
        <w:instrText xml:space="preserve"> HYPERLINK \l "_Toc171584027" </w:instrText>
      </w:r>
      <w:r>
        <w:fldChar w:fldCharType="separate"/>
      </w:r>
      <w:r>
        <w:rPr>
          <w:rStyle w:val="35"/>
          <w:rFonts w:asciiTheme="minorEastAsia" w:hAnsiTheme="minorEastAsia" w:cstheme="minorEastAsia"/>
          <w:b/>
          <w:snapToGrid w:val="0"/>
        </w:rPr>
        <w:t>3.1响应文件的组成</w:t>
      </w:r>
      <w:r>
        <w:tab/>
      </w:r>
      <w:r>
        <w:fldChar w:fldCharType="begin"/>
      </w:r>
      <w:r>
        <w:instrText xml:space="preserve"> PAGEREF _Toc171584027 \h </w:instrText>
      </w:r>
      <w:r>
        <w:fldChar w:fldCharType="separate"/>
      </w:r>
      <w:r>
        <w:t>16</w:t>
      </w:r>
      <w:r>
        <w:fldChar w:fldCharType="end"/>
      </w:r>
      <w:r>
        <w:fldChar w:fldCharType="end"/>
      </w:r>
    </w:p>
    <w:p>
      <w:pPr>
        <w:pStyle w:val="16"/>
        <w:rPr>
          <w:rFonts w:cstheme="minorBidi"/>
          <w:kern w:val="2"/>
          <w:sz w:val="21"/>
        </w:rPr>
      </w:pPr>
      <w:r>
        <w:fldChar w:fldCharType="begin"/>
      </w:r>
      <w:r>
        <w:instrText xml:space="preserve"> HYPERLINK \l "_Toc171584028" </w:instrText>
      </w:r>
      <w:r>
        <w:fldChar w:fldCharType="separate"/>
      </w:r>
      <w:r>
        <w:rPr>
          <w:rStyle w:val="35"/>
          <w:rFonts w:asciiTheme="minorEastAsia" w:hAnsiTheme="minorEastAsia" w:cstheme="minorEastAsia"/>
          <w:b/>
          <w:snapToGrid w:val="0"/>
        </w:rPr>
        <w:t>3.2报价</w:t>
      </w:r>
      <w:r>
        <w:tab/>
      </w:r>
      <w:r>
        <w:fldChar w:fldCharType="begin"/>
      </w:r>
      <w:r>
        <w:instrText xml:space="preserve"> PAGEREF _Toc171584028 \h </w:instrText>
      </w:r>
      <w:r>
        <w:fldChar w:fldCharType="separate"/>
      </w:r>
      <w:r>
        <w:t>17</w:t>
      </w:r>
      <w:r>
        <w:fldChar w:fldCharType="end"/>
      </w:r>
      <w:r>
        <w:fldChar w:fldCharType="end"/>
      </w:r>
    </w:p>
    <w:p>
      <w:pPr>
        <w:pStyle w:val="16"/>
        <w:rPr>
          <w:rFonts w:cstheme="minorBidi"/>
          <w:kern w:val="2"/>
          <w:sz w:val="21"/>
        </w:rPr>
      </w:pPr>
      <w:r>
        <w:fldChar w:fldCharType="begin"/>
      </w:r>
      <w:r>
        <w:instrText xml:space="preserve"> HYPERLINK \l "_Toc171584029" </w:instrText>
      </w:r>
      <w:r>
        <w:fldChar w:fldCharType="separate"/>
      </w:r>
      <w:r>
        <w:rPr>
          <w:rStyle w:val="35"/>
          <w:rFonts w:asciiTheme="minorEastAsia" w:hAnsiTheme="minorEastAsia" w:cstheme="minorEastAsia"/>
          <w:b/>
          <w:snapToGrid w:val="0"/>
        </w:rPr>
        <w:t>3.3响应文件有效期</w:t>
      </w:r>
      <w:r>
        <w:tab/>
      </w:r>
      <w:r>
        <w:fldChar w:fldCharType="begin"/>
      </w:r>
      <w:r>
        <w:instrText xml:space="preserve"> PAGEREF _Toc171584029 \h </w:instrText>
      </w:r>
      <w:r>
        <w:fldChar w:fldCharType="separate"/>
      </w:r>
      <w:r>
        <w:t>17</w:t>
      </w:r>
      <w:r>
        <w:fldChar w:fldCharType="end"/>
      </w:r>
      <w:r>
        <w:fldChar w:fldCharType="end"/>
      </w:r>
    </w:p>
    <w:p>
      <w:pPr>
        <w:pStyle w:val="16"/>
        <w:rPr>
          <w:rFonts w:cstheme="minorBidi"/>
          <w:kern w:val="2"/>
          <w:sz w:val="21"/>
        </w:rPr>
      </w:pPr>
      <w:r>
        <w:fldChar w:fldCharType="begin"/>
      </w:r>
      <w:r>
        <w:instrText xml:space="preserve"> HYPERLINK \l "_Toc171584030" </w:instrText>
      </w:r>
      <w:r>
        <w:fldChar w:fldCharType="separate"/>
      </w:r>
      <w:r>
        <w:rPr>
          <w:rStyle w:val="35"/>
          <w:rFonts w:asciiTheme="minorEastAsia" w:hAnsiTheme="minorEastAsia" w:cstheme="minorEastAsia"/>
          <w:b/>
          <w:snapToGrid w:val="0"/>
        </w:rPr>
        <w:t>3.4响应保证金</w:t>
      </w:r>
      <w:r>
        <w:tab/>
      </w:r>
      <w:r>
        <w:fldChar w:fldCharType="begin"/>
      </w:r>
      <w:r>
        <w:instrText xml:space="preserve"> PAGEREF _Toc171584030 \h </w:instrText>
      </w:r>
      <w:r>
        <w:fldChar w:fldCharType="separate"/>
      </w:r>
      <w:r>
        <w:t>17</w:t>
      </w:r>
      <w:r>
        <w:fldChar w:fldCharType="end"/>
      </w:r>
      <w:r>
        <w:fldChar w:fldCharType="end"/>
      </w:r>
    </w:p>
    <w:p>
      <w:pPr>
        <w:pStyle w:val="16"/>
        <w:rPr>
          <w:rFonts w:cstheme="minorBidi"/>
          <w:kern w:val="2"/>
          <w:sz w:val="21"/>
        </w:rPr>
      </w:pPr>
      <w:r>
        <w:fldChar w:fldCharType="begin"/>
      </w:r>
      <w:r>
        <w:instrText xml:space="preserve"> HYPERLINK \l "_Toc171584031" </w:instrText>
      </w:r>
      <w:r>
        <w:fldChar w:fldCharType="separate"/>
      </w:r>
      <w:r>
        <w:rPr>
          <w:rStyle w:val="35"/>
          <w:rFonts w:asciiTheme="minorEastAsia" w:hAnsiTheme="minorEastAsia" w:cstheme="minorEastAsia"/>
          <w:b/>
          <w:snapToGrid w:val="0"/>
        </w:rPr>
        <w:t>3.5资格审查资料</w:t>
      </w:r>
      <w:r>
        <w:tab/>
      </w:r>
      <w:r>
        <w:fldChar w:fldCharType="begin"/>
      </w:r>
      <w:r>
        <w:instrText xml:space="preserve"> PAGEREF _Toc171584031 \h </w:instrText>
      </w:r>
      <w:r>
        <w:fldChar w:fldCharType="separate"/>
      </w:r>
      <w:r>
        <w:t>18</w:t>
      </w:r>
      <w:r>
        <w:fldChar w:fldCharType="end"/>
      </w:r>
      <w:r>
        <w:fldChar w:fldCharType="end"/>
      </w:r>
    </w:p>
    <w:p>
      <w:pPr>
        <w:pStyle w:val="16"/>
        <w:rPr>
          <w:rFonts w:cstheme="minorBidi"/>
          <w:kern w:val="2"/>
          <w:sz w:val="21"/>
        </w:rPr>
      </w:pPr>
      <w:r>
        <w:fldChar w:fldCharType="begin"/>
      </w:r>
      <w:r>
        <w:instrText xml:space="preserve"> HYPERLINK \l "_Toc171584032" </w:instrText>
      </w:r>
      <w:r>
        <w:fldChar w:fldCharType="separate"/>
      </w:r>
      <w:r>
        <w:rPr>
          <w:rStyle w:val="35"/>
          <w:rFonts w:asciiTheme="minorEastAsia" w:hAnsiTheme="minorEastAsia" w:cstheme="minorEastAsia"/>
          <w:b/>
          <w:snapToGrid w:val="0"/>
        </w:rPr>
        <w:t>3.6响应方案</w:t>
      </w:r>
      <w:r>
        <w:tab/>
      </w:r>
      <w:r>
        <w:fldChar w:fldCharType="begin"/>
      </w:r>
      <w:r>
        <w:instrText xml:space="preserve"> PAGEREF _Toc171584032 \h </w:instrText>
      </w:r>
      <w:r>
        <w:fldChar w:fldCharType="separate"/>
      </w:r>
      <w:r>
        <w:t>18</w:t>
      </w:r>
      <w:r>
        <w:fldChar w:fldCharType="end"/>
      </w:r>
      <w:r>
        <w:fldChar w:fldCharType="end"/>
      </w:r>
    </w:p>
    <w:p>
      <w:pPr>
        <w:pStyle w:val="16"/>
        <w:rPr>
          <w:rFonts w:cstheme="minorBidi"/>
          <w:kern w:val="2"/>
          <w:sz w:val="21"/>
        </w:rPr>
      </w:pPr>
      <w:r>
        <w:fldChar w:fldCharType="begin"/>
      </w:r>
      <w:r>
        <w:instrText xml:space="preserve"> HYPERLINK \l "_Toc171584033" </w:instrText>
      </w:r>
      <w:r>
        <w:fldChar w:fldCharType="separate"/>
      </w:r>
      <w:r>
        <w:rPr>
          <w:rStyle w:val="35"/>
          <w:rFonts w:asciiTheme="minorEastAsia" w:hAnsiTheme="minorEastAsia" w:cstheme="minorEastAsia"/>
          <w:b/>
          <w:snapToGrid w:val="0"/>
        </w:rPr>
        <w:t>3.7响应文件的编制</w:t>
      </w:r>
      <w:r>
        <w:tab/>
      </w:r>
      <w:r>
        <w:fldChar w:fldCharType="begin"/>
      </w:r>
      <w:r>
        <w:instrText xml:space="preserve"> PAGEREF _Toc171584033 \h </w:instrText>
      </w:r>
      <w:r>
        <w:fldChar w:fldCharType="separate"/>
      </w:r>
      <w:r>
        <w:t>18</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"_Toc171584034" </w:instrText>
      </w:r>
      <w:r>
        <w:fldChar w:fldCharType="separate"/>
      </w:r>
      <w:r>
        <w:rPr>
          <w:rStyle w:val="35"/>
          <w:rFonts w:asciiTheme="minorEastAsia" w:hAnsiTheme="minorEastAsia" w:cstheme="minorEastAsia"/>
          <w:b/>
          <w:bCs/>
          <w:snapToGrid w:val="0"/>
        </w:rPr>
        <w:t>4.采购和评审</w:t>
      </w:r>
      <w:r>
        <w:tab/>
      </w:r>
      <w:r>
        <w:fldChar w:fldCharType="begin"/>
      </w:r>
      <w:r>
        <w:instrText xml:space="preserve"> PAGEREF _Toc171584034 \h </w:instrText>
      </w:r>
      <w:r>
        <w:fldChar w:fldCharType="separate"/>
      </w:r>
      <w:r>
        <w:t>19</w:t>
      </w:r>
      <w:r>
        <w:fldChar w:fldCharType="end"/>
      </w:r>
      <w:r>
        <w:fldChar w:fldCharType="end"/>
      </w:r>
    </w:p>
    <w:p>
      <w:pPr>
        <w:pStyle w:val="16"/>
        <w:rPr>
          <w:rFonts w:cstheme="minorBidi"/>
          <w:kern w:val="2"/>
          <w:sz w:val="21"/>
        </w:rPr>
      </w:pPr>
      <w:r>
        <w:fldChar w:fldCharType="begin"/>
      </w:r>
      <w:r>
        <w:instrText xml:space="preserve"> HYPERLINK \l "_Toc171584035" </w:instrText>
      </w:r>
      <w:r>
        <w:fldChar w:fldCharType="separate"/>
      </w:r>
      <w:r>
        <w:rPr>
          <w:rStyle w:val="35"/>
          <w:rFonts w:asciiTheme="minorEastAsia" w:hAnsiTheme="minorEastAsia" w:cstheme="minorEastAsia"/>
          <w:b/>
          <w:snapToGrid w:val="0"/>
        </w:rPr>
        <w:t>4.1采购小组</w:t>
      </w:r>
      <w:r>
        <w:tab/>
      </w:r>
      <w:r>
        <w:fldChar w:fldCharType="begin"/>
      </w:r>
      <w:r>
        <w:instrText xml:space="preserve"> PAGEREF _Toc171584035 \h </w:instrText>
      </w:r>
      <w:r>
        <w:fldChar w:fldCharType="separate"/>
      </w:r>
      <w:r>
        <w:t>19</w:t>
      </w:r>
      <w:r>
        <w:fldChar w:fldCharType="end"/>
      </w:r>
      <w:r>
        <w:fldChar w:fldCharType="end"/>
      </w:r>
    </w:p>
    <w:p>
      <w:pPr>
        <w:pStyle w:val="16"/>
        <w:rPr>
          <w:rFonts w:cstheme="minorBidi"/>
          <w:kern w:val="2"/>
          <w:sz w:val="21"/>
        </w:rPr>
      </w:pPr>
      <w:r>
        <w:fldChar w:fldCharType="begin"/>
      </w:r>
      <w:r>
        <w:instrText xml:space="preserve"> HYPERLINK \l "_Toc171584036" </w:instrText>
      </w:r>
      <w:r>
        <w:fldChar w:fldCharType="separate"/>
      </w:r>
      <w:r>
        <w:rPr>
          <w:rStyle w:val="35"/>
          <w:rFonts w:asciiTheme="minorEastAsia" w:hAnsiTheme="minorEastAsia" w:cstheme="minorEastAsia"/>
          <w:b/>
          <w:snapToGrid w:val="0"/>
        </w:rPr>
        <w:t>4.2初步评审</w:t>
      </w:r>
      <w:r>
        <w:tab/>
      </w:r>
      <w:r>
        <w:fldChar w:fldCharType="begin"/>
      </w:r>
      <w:r>
        <w:instrText xml:space="preserve"> PAGEREF _Toc171584036 \h </w:instrText>
      </w:r>
      <w:r>
        <w:fldChar w:fldCharType="separate"/>
      </w:r>
      <w:r>
        <w:t>19</w:t>
      </w:r>
      <w:r>
        <w:fldChar w:fldCharType="end"/>
      </w:r>
      <w:r>
        <w:fldChar w:fldCharType="end"/>
      </w:r>
    </w:p>
    <w:p>
      <w:pPr>
        <w:pStyle w:val="16"/>
        <w:rPr>
          <w:rFonts w:cstheme="minorBidi"/>
          <w:kern w:val="2"/>
          <w:sz w:val="21"/>
        </w:rPr>
      </w:pPr>
      <w:r>
        <w:fldChar w:fldCharType="begin"/>
      </w:r>
      <w:r>
        <w:instrText xml:space="preserve"> HYPERLINK \l "_Toc171584037" </w:instrText>
      </w:r>
      <w:r>
        <w:fldChar w:fldCharType="separate"/>
      </w:r>
      <w:r>
        <w:rPr>
          <w:rStyle w:val="35"/>
          <w:rFonts w:asciiTheme="minorEastAsia" w:hAnsiTheme="minorEastAsia" w:cstheme="minorEastAsia"/>
          <w:b/>
          <w:snapToGrid w:val="0"/>
        </w:rPr>
        <w:t>4.3谈判</w:t>
      </w:r>
      <w:r>
        <w:tab/>
      </w:r>
      <w:r>
        <w:fldChar w:fldCharType="begin"/>
      </w:r>
      <w:r>
        <w:instrText xml:space="preserve"> PAGEREF _Toc171584037 \h </w:instrText>
      </w:r>
      <w:r>
        <w:fldChar w:fldCharType="separate"/>
      </w:r>
      <w:r>
        <w:t>20</w:t>
      </w:r>
      <w:r>
        <w:fldChar w:fldCharType="end"/>
      </w:r>
      <w:r>
        <w:fldChar w:fldCharType="end"/>
      </w:r>
    </w:p>
    <w:p>
      <w:pPr>
        <w:pStyle w:val="16"/>
        <w:rPr>
          <w:rFonts w:cstheme="minorBidi"/>
          <w:kern w:val="2"/>
          <w:sz w:val="21"/>
        </w:rPr>
      </w:pPr>
      <w:r>
        <w:fldChar w:fldCharType="begin"/>
      </w:r>
      <w:r>
        <w:instrText xml:space="preserve"> HYPERLINK \l "_Toc171584038" </w:instrText>
      </w:r>
      <w:r>
        <w:fldChar w:fldCharType="separate"/>
      </w:r>
      <w:r>
        <w:rPr>
          <w:rStyle w:val="35"/>
          <w:rFonts w:asciiTheme="minorEastAsia" w:hAnsiTheme="minorEastAsia" w:cstheme="minorEastAsia"/>
          <w:b/>
          <w:snapToGrid w:val="0"/>
        </w:rPr>
        <w:t>4.4递交补充响应文件</w:t>
      </w:r>
      <w:r>
        <w:tab/>
      </w:r>
      <w:r>
        <w:fldChar w:fldCharType="begin"/>
      </w:r>
      <w:r>
        <w:instrText xml:space="preserve"> PAGEREF _Toc171584038 \h </w:instrText>
      </w:r>
      <w:r>
        <w:fldChar w:fldCharType="separate"/>
      </w:r>
      <w:r>
        <w:t>20</w:t>
      </w:r>
      <w:r>
        <w:fldChar w:fldCharType="end"/>
      </w:r>
      <w:r>
        <w:fldChar w:fldCharType="end"/>
      </w:r>
    </w:p>
    <w:p>
      <w:pPr>
        <w:pStyle w:val="16"/>
        <w:rPr>
          <w:rFonts w:cstheme="minorBidi"/>
          <w:kern w:val="2"/>
          <w:sz w:val="21"/>
        </w:rPr>
      </w:pPr>
      <w:r>
        <w:fldChar w:fldCharType="begin"/>
      </w:r>
      <w:r>
        <w:instrText xml:space="preserve"> HYPERLINK \l "_Toc171584039" </w:instrText>
      </w:r>
      <w:r>
        <w:fldChar w:fldCharType="separate"/>
      </w:r>
      <w:r>
        <w:rPr>
          <w:rStyle w:val="35"/>
          <w:rFonts w:asciiTheme="minorEastAsia" w:hAnsiTheme="minorEastAsia" w:cstheme="minorEastAsia"/>
          <w:b/>
          <w:snapToGrid w:val="0"/>
        </w:rPr>
        <w:t>4.5递交最终报价</w:t>
      </w:r>
      <w:r>
        <w:tab/>
      </w:r>
      <w:r>
        <w:fldChar w:fldCharType="begin"/>
      </w:r>
      <w:r>
        <w:instrText xml:space="preserve"> PAGEREF _Toc171584039 \h </w:instrText>
      </w:r>
      <w:r>
        <w:fldChar w:fldCharType="separate"/>
      </w:r>
      <w:r>
        <w:t>20</w:t>
      </w:r>
      <w:r>
        <w:fldChar w:fldCharType="end"/>
      </w:r>
      <w:r>
        <w:fldChar w:fldCharType="end"/>
      </w:r>
    </w:p>
    <w:p>
      <w:pPr>
        <w:pStyle w:val="16"/>
        <w:rPr>
          <w:rFonts w:cstheme="minorBidi"/>
          <w:kern w:val="2"/>
          <w:sz w:val="21"/>
        </w:rPr>
      </w:pPr>
      <w:r>
        <w:fldChar w:fldCharType="begin"/>
      </w:r>
      <w:r>
        <w:instrText xml:space="preserve"> HYPERLINK \l "_Toc171584040" </w:instrText>
      </w:r>
      <w:r>
        <w:fldChar w:fldCharType="separate"/>
      </w:r>
      <w:r>
        <w:rPr>
          <w:rStyle w:val="35"/>
          <w:rFonts w:asciiTheme="minorEastAsia" w:hAnsiTheme="minorEastAsia" w:cstheme="minorEastAsia"/>
          <w:b/>
          <w:snapToGrid w:val="0"/>
        </w:rPr>
        <w:t>4.6详细评审及推荐成交供应商</w:t>
      </w:r>
      <w:r>
        <w:tab/>
      </w:r>
      <w:r>
        <w:fldChar w:fldCharType="begin"/>
      </w:r>
      <w:r>
        <w:instrText xml:space="preserve"> PAGEREF _Toc171584040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"_Toc171584041" </w:instrText>
      </w:r>
      <w:r>
        <w:fldChar w:fldCharType="separate"/>
      </w:r>
      <w:r>
        <w:rPr>
          <w:rStyle w:val="35"/>
          <w:rFonts w:asciiTheme="minorEastAsia" w:hAnsiTheme="minorEastAsia" w:cstheme="minorEastAsia"/>
          <w:b/>
          <w:snapToGrid w:val="0"/>
        </w:rPr>
        <w:t>4.7 特殊情形处理</w:t>
      </w:r>
      <w:r>
        <w:tab/>
      </w:r>
      <w:r>
        <w:fldChar w:fldCharType="begin"/>
      </w:r>
      <w:r>
        <w:instrText xml:space="preserve"> PAGEREF _Toc171584041 \h </w:instrText>
      </w:r>
      <w:r>
        <w:fldChar w:fldCharType="separate"/>
      </w:r>
      <w:r>
        <w:t>21</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"_Toc171584042" </w:instrText>
      </w:r>
      <w:r>
        <w:fldChar w:fldCharType="separate"/>
      </w:r>
      <w:r>
        <w:rPr>
          <w:rStyle w:val="35"/>
          <w:rFonts w:asciiTheme="minorEastAsia" w:hAnsiTheme="minorEastAsia" w:cstheme="minorEastAsia"/>
          <w:b/>
          <w:bCs/>
          <w:snapToGrid w:val="0"/>
        </w:rPr>
        <w:t>5．合同授予</w:t>
      </w:r>
      <w:r>
        <w:tab/>
      </w:r>
      <w:r>
        <w:fldChar w:fldCharType="begin"/>
      </w:r>
      <w:r>
        <w:instrText xml:space="preserve"> PAGEREF _Toc171584042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"_Toc171584043" </w:instrText>
      </w:r>
      <w:r>
        <w:fldChar w:fldCharType="separate"/>
      </w:r>
      <w:r>
        <w:rPr>
          <w:rStyle w:val="35"/>
          <w:rFonts w:asciiTheme="minorEastAsia" w:hAnsiTheme="minorEastAsia" w:cstheme="minorEastAsia"/>
          <w:b/>
          <w:snapToGrid w:val="0"/>
        </w:rPr>
        <w:t>5.1发出成交通知书</w:t>
      </w:r>
      <w:r>
        <w:tab/>
      </w:r>
      <w:r>
        <w:fldChar w:fldCharType="begin"/>
      </w:r>
      <w:r>
        <w:instrText xml:space="preserve"> PAGEREF _Toc171584043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"_Toc171584044" </w:instrText>
      </w:r>
      <w:r>
        <w:fldChar w:fldCharType="separate"/>
      </w:r>
      <w:r>
        <w:rPr>
          <w:rStyle w:val="35"/>
          <w:rFonts w:asciiTheme="minorEastAsia" w:hAnsiTheme="minorEastAsia" w:cstheme="minorEastAsia"/>
          <w:b/>
          <w:snapToGrid w:val="0"/>
        </w:rPr>
        <w:t>5.2履约保证金</w:t>
      </w:r>
      <w:r>
        <w:tab/>
      </w:r>
      <w:r>
        <w:fldChar w:fldCharType="begin"/>
      </w:r>
      <w:r>
        <w:instrText xml:space="preserve"> PAGEREF _Toc171584044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"_Toc171584045" </w:instrText>
      </w:r>
      <w:r>
        <w:fldChar w:fldCharType="separate"/>
      </w:r>
      <w:r>
        <w:rPr>
          <w:rStyle w:val="35"/>
          <w:rFonts w:asciiTheme="minorEastAsia" w:hAnsiTheme="minorEastAsia" w:cstheme="minorEastAsia"/>
          <w:b/>
          <w:snapToGrid w:val="0"/>
        </w:rPr>
        <w:t>5.3 签订合同</w:t>
      </w:r>
      <w:r>
        <w:tab/>
      </w:r>
      <w:r>
        <w:fldChar w:fldCharType="begin"/>
      </w:r>
      <w:r>
        <w:instrText xml:space="preserve"> PAGEREF _Toc171584045 \h </w:instrText>
      </w:r>
      <w:r>
        <w:fldChar w:fldCharType="separate"/>
      </w:r>
      <w:r>
        <w:t>21</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"_Toc171584046" </w:instrText>
      </w:r>
      <w:r>
        <w:fldChar w:fldCharType="separate"/>
      </w:r>
      <w:r>
        <w:rPr>
          <w:rStyle w:val="35"/>
          <w:rFonts w:asciiTheme="minorEastAsia" w:hAnsiTheme="minorEastAsia" w:cstheme="minorEastAsia"/>
          <w:b/>
          <w:snapToGrid w:val="0"/>
        </w:rPr>
        <w:t>6．纪律要求</w:t>
      </w:r>
      <w:r>
        <w:tab/>
      </w:r>
      <w:r>
        <w:fldChar w:fldCharType="begin"/>
      </w:r>
      <w:r>
        <w:instrText xml:space="preserve"> PAGEREF _Toc171584046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"_Toc171584047" </w:instrText>
      </w:r>
      <w:r>
        <w:fldChar w:fldCharType="separate"/>
      </w:r>
      <w:r>
        <w:rPr>
          <w:rStyle w:val="35"/>
          <w:rFonts w:asciiTheme="minorEastAsia" w:hAnsiTheme="minorEastAsia" w:cstheme="minorEastAsia"/>
          <w:b/>
          <w:snapToGrid w:val="0"/>
        </w:rPr>
        <w:t>6.1对采购人的纪律要求</w:t>
      </w:r>
      <w:r>
        <w:tab/>
      </w:r>
      <w:r>
        <w:fldChar w:fldCharType="begin"/>
      </w:r>
      <w:r>
        <w:instrText xml:space="preserve"> PAGEREF _Toc171584047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"_Toc171584048" </w:instrText>
      </w:r>
      <w:r>
        <w:fldChar w:fldCharType="separate"/>
      </w:r>
      <w:r>
        <w:rPr>
          <w:rStyle w:val="35"/>
          <w:rFonts w:asciiTheme="minorEastAsia" w:hAnsiTheme="minorEastAsia" w:cstheme="minorEastAsia"/>
          <w:b/>
          <w:snapToGrid w:val="0"/>
        </w:rPr>
        <w:t>6.2对供应商的纪律要求</w:t>
      </w:r>
      <w:r>
        <w:tab/>
      </w:r>
      <w:r>
        <w:fldChar w:fldCharType="begin"/>
      </w:r>
      <w:r>
        <w:instrText xml:space="preserve"> PAGEREF _Toc171584048 \h </w:instrText>
      </w:r>
      <w:r>
        <w:fldChar w:fldCharType="separate"/>
      </w:r>
      <w:r>
        <w:t>22</w:t>
      </w:r>
      <w:r>
        <w:fldChar w:fldCharType="end"/>
      </w:r>
      <w:r>
        <w:fldChar w:fldCharType="end"/>
      </w:r>
    </w:p>
    <w:p>
      <w:pPr>
        <w:pStyle w:val="16"/>
        <w:rPr>
          <w:rFonts w:cstheme="minorBidi"/>
          <w:kern w:val="2"/>
          <w:sz w:val="21"/>
        </w:rPr>
      </w:pPr>
      <w:r>
        <w:fldChar w:fldCharType="begin"/>
      </w:r>
      <w:r>
        <w:instrText xml:space="preserve"> HYPERLINK \l "_Toc171584049" </w:instrText>
      </w:r>
      <w:r>
        <w:fldChar w:fldCharType="separate"/>
      </w:r>
      <w:r>
        <w:rPr>
          <w:rStyle w:val="35"/>
          <w:rFonts w:asciiTheme="minorEastAsia" w:hAnsiTheme="minorEastAsia" w:cstheme="minorEastAsia"/>
          <w:b/>
          <w:snapToGrid w:val="0"/>
        </w:rPr>
        <w:t>6.3对采购小组成员的纪律要求</w:t>
      </w:r>
      <w:r>
        <w:tab/>
      </w:r>
      <w:r>
        <w:fldChar w:fldCharType="begin"/>
      </w:r>
      <w:r>
        <w:instrText xml:space="preserve"> PAGEREF _Toc171584049 \h </w:instrText>
      </w:r>
      <w:r>
        <w:fldChar w:fldCharType="separate"/>
      </w:r>
      <w:r>
        <w:t>22</w:t>
      </w:r>
      <w:r>
        <w:fldChar w:fldCharType="end"/>
      </w:r>
      <w:r>
        <w:fldChar w:fldCharType="end"/>
      </w:r>
    </w:p>
    <w:p>
      <w:pPr>
        <w:pStyle w:val="16"/>
        <w:rPr>
          <w:rFonts w:cstheme="minorBidi"/>
          <w:kern w:val="2"/>
          <w:sz w:val="21"/>
        </w:rPr>
      </w:pPr>
      <w:r>
        <w:fldChar w:fldCharType="begin"/>
      </w:r>
      <w:r>
        <w:instrText xml:space="preserve"> HYPERLINK \l "_Toc171584050" </w:instrText>
      </w:r>
      <w:r>
        <w:fldChar w:fldCharType="separate"/>
      </w:r>
      <w:r>
        <w:rPr>
          <w:rStyle w:val="35"/>
          <w:rFonts w:asciiTheme="minorEastAsia" w:hAnsiTheme="minorEastAsia" w:cstheme="minorEastAsia"/>
          <w:b/>
          <w:snapToGrid w:val="0"/>
        </w:rPr>
        <w:t>6.4对与采购活动有关的工作人员的纪律要求</w:t>
      </w:r>
      <w:r>
        <w:tab/>
      </w:r>
      <w:r>
        <w:fldChar w:fldCharType="begin"/>
      </w:r>
      <w:r>
        <w:instrText xml:space="preserve"> PAGEREF _Toc171584050 \h </w:instrText>
      </w:r>
      <w:r>
        <w:fldChar w:fldCharType="separate"/>
      </w:r>
      <w:r>
        <w:t>22</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"_Toc171584051" </w:instrText>
      </w:r>
      <w:r>
        <w:fldChar w:fldCharType="separate"/>
      </w:r>
      <w:r>
        <w:rPr>
          <w:rStyle w:val="35"/>
          <w:rFonts w:asciiTheme="minorEastAsia" w:hAnsiTheme="minorEastAsia" w:cstheme="minorEastAsia"/>
          <w:b/>
          <w:snapToGrid w:val="0"/>
        </w:rPr>
        <w:t>7．需要补充的其他内容</w:t>
      </w:r>
      <w:r>
        <w:tab/>
      </w:r>
      <w:r>
        <w:fldChar w:fldCharType="begin"/>
      </w:r>
      <w:r>
        <w:instrText xml:space="preserve"> PAGEREF _Toc171584051 \h </w:instrText>
      </w:r>
      <w:r>
        <w:fldChar w:fldCharType="separate"/>
      </w:r>
      <w:r>
        <w:t>22</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"_Toc171584052" </w:instrText>
      </w:r>
      <w:r>
        <w:fldChar w:fldCharType="separate"/>
      </w:r>
      <w:r>
        <w:rPr>
          <w:rStyle w:val="35"/>
          <w:rFonts w:asciiTheme="minorEastAsia" w:hAnsiTheme="minorEastAsia" w:cstheme="minorEastAsia"/>
          <w:snapToGrid w:val="0"/>
        </w:rPr>
        <w:t>附件1问题澄清通知</w:t>
      </w:r>
      <w:r>
        <w:tab/>
      </w:r>
      <w:r>
        <w:fldChar w:fldCharType="begin"/>
      </w:r>
      <w:r>
        <w:instrText xml:space="preserve"> PAGEREF _Toc171584052 \h </w:instrText>
      </w:r>
      <w:r>
        <w:fldChar w:fldCharType="separate"/>
      </w:r>
      <w:r>
        <w:t>23</w:t>
      </w:r>
      <w:r>
        <w:fldChar w:fldCharType="end"/>
      </w:r>
      <w:r>
        <w:fldChar w:fldCharType="end"/>
      </w:r>
    </w:p>
    <w:p>
      <w:pPr>
        <w:pStyle w:val="16"/>
        <w:rPr>
          <w:rFonts w:cstheme="minorBidi"/>
          <w:kern w:val="2"/>
          <w:sz w:val="21"/>
        </w:rPr>
      </w:pPr>
      <w:r>
        <w:fldChar w:fldCharType="begin"/>
      </w:r>
      <w:r>
        <w:instrText xml:space="preserve"> HYPERLINK \l "_Toc171584053" </w:instrText>
      </w:r>
      <w:r>
        <w:fldChar w:fldCharType="separate"/>
      </w:r>
      <w:r>
        <w:rPr>
          <w:rStyle w:val="35"/>
          <w:rFonts w:asciiTheme="minorEastAsia" w:hAnsiTheme="minorEastAsia" w:cstheme="minorEastAsia"/>
          <w:b/>
          <w:bCs/>
          <w:snapToGrid w:val="0"/>
        </w:rPr>
        <w:t>问题澄清通知</w:t>
      </w:r>
      <w:r>
        <w:tab/>
      </w:r>
      <w:r>
        <w:fldChar w:fldCharType="begin"/>
      </w:r>
      <w:r>
        <w:instrText xml:space="preserve"> PAGEREF _Toc171584053 \h </w:instrText>
      </w:r>
      <w:r>
        <w:fldChar w:fldCharType="separate"/>
      </w:r>
      <w:r>
        <w:t>23</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"_Toc171584054" </w:instrText>
      </w:r>
      <w:r>
        <w:fldChar w:fldCharType="separate"/>
      </w:r>
      <w:r>
        <w:rPr>
          <w:rStyle w:val="35"/>
          <w:rFonts w:asciiTheme="minorEastAsia" w:hAnsiTheme="minorEastAsia" w:cstheme="minorEastAsia"/>
          <w:snapToGrid w:val="0"/>
        </w:rPr>
        <w:t>附件</w:t>
      </w:r>
      <w:r>
        <w:rPr>
          <w:rStyle w:val="35"/>
          <w:rFonts w:asciiTheme="minorEastAsia" w:hAnsiTheme="minorEastAsia" w:cstheme="minorEastAsia"/>
          <w:b/>
          <w:snapToGrid w:val="0"/>
        </w:rPr>
        <w:t>2</w:t>
      </w:r>
      <w:r>
        <w:rPr>
          <w:rStyle w:val="35"/>
          <w:rFonts w:asciiTheme="minorEastAsia" w:hAnsiTheme="minorEastAsia" w:cstheme="minorEastAsia"/>
          <w:snapToGrid w:val="0"/>
        </w:rPr>
        <w:t>问题的澄清</w:t>
      </w:r>
      <w:r>
        <w:tab/>
      </w:r>
      <w:r>
        <w:fldChar w:fldCharType="begin"/>
      </w:r>
      <w:r>
        <w:instrText xml:space="preserve"> PAGEREF _Toc171584054 \h </w:instrText>
      </w:r>
      <w:r>
        <w:fldChar w:fldCharType="separate"/>
      </w:r>
      <w:r>
        <w:t>24</w:t>
      </w:r>
      <w:r>
        <w:fldChar w:fldCharType="end"/>
      </w:r>
      <w:r>
        <w:fldChar w:fldCharType="end"/>
      </w:r>
    </w:p>
    <w:p>
      <w:pPr>
        <w:pStyle w:val="16"/>
        <w:rPr>
          <w:rFonts w:cstheme="minorBidi"/>
          <w:kern w:val="2"/>
          <w:sz w:val="21"/>
        </w:rPr>
      </w:pPr>
      <w:r>
        <w:fldChar w:fldCharType="begin"/>
      </w:r>
      <w:r>
        <w:instrText xml:space="preserve"> HYPERLINK \l "_Toc171584055" </w:instrText>
      </w:r>
      <w:r>
        <w:fldChar w:fldCharType="separate"/>
      </w:r>
      <w:r>
        <w:rPr>
          <w:rStyle w:val="35"/>
          <w:rFonts w:asciiTheme="minorEastAsia" w:hAnsiTheme="minorEastAsia" w:cstheme="minorEastAsia"/>
          <w:b/>
          <w:bCs/>
          <w:snapToGrid w:val="0"/>
        </w:rPr>
        <w:t>问题的澄清</w:t>
      </w:r>
      <w:r>
        <w:tab/>
      </w:r>
      <w:r>
        <w:fldChar w:fldCharType="begin"/>
      </w:r>
      <w:r>
        <w:instrText xml:space="preserve"> PAGEREF _Toc171584055 \h </w:instrText>
      </w:r>
      <w:r>
        <w:fldChar w:fldCharType="separate"/>
      </w:r>
      <w:r>
        <w:t>24</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"_Toc171584056" </w:instrText>
      </w:r>
      <w:r>
        <w:fldChar w:fldCharType="separate"/>
      </w:r>
      <w:r>
        <w:rPr>
          <w:rStyle w:val="35"/>
          <w:rFonts w:asciiTheme="minorEastAsia" w:hAnsiTheme="minorEastAsia" w:cstheme="minorEastAsia"/>
          <w:snapToGrid w:val="0"/>
        </w:rPr>
        <w:t>附件3成交通知书</w:t>
      </w:r>
      <w:r>
        <w:tab/>
      </w:r>
      <w:r>
        <w:fldChar w:fldCharType="begin"/>
      </w:r>
      <w:r>
        <w:instrText xml:space="preserve"> PAGEREF _Toc171584056 \h </w:instrText>
      </w:r>
      <w:r>
        <w:fldChar w:fldCharType="separate"/>
      </w:r>
      <w:r>
        <w:t>25</w:t>
      </w:r>
      <w:r>
        <w:fldChar w:fldCharType="end"/>
      </w:r>
      <w:r>
        <w:fldChar w:fldCharType="end"/>
      </w:r>
    </w:p>
    <w:p>
      <w:pPr>
        <w:pStyle w:val="16"/>
        <w:rPr>
          <w:rFonts w:cstheme="minorBidi"/>
          <w:kern w:val="2"/>
          <w:sz w:val="21"/>
        </w:rPr>
      </w:pPr>
      <w:r>
        <w:fldChar w:fldCharType="begin"/>
      </w:r>
      <w:r>
        <w:instrText xml:space="preserve"> HYPERLINK \l "_Toc171584057" </w:instrText>
      </w:r>
      <w:r>
        <w:fldChar w:fldCharType="separate"/>
      </w:r>
      <w:r>
        <w:rPr>
          <w:rStyle w:val="35"/>
          <w:rFonts w:asciiTheme="minorEastAsia" w:hAnsiTheme="minorEastAsia" w:cstheme="minorEastAsia"/>
          <w:b/>
          <w:bCs/>
          <w:snapToGrid w:val="0"/>
        </w:rPr>
        <w:t>成交通知书</w:t>
      </w:r>
      <w:r>
        <w:tab/>
      </w:r>
      <w:r>
        <w:fldChar w:fldCharType="begin"/>
      </w:r>
      <w:r>
        <w:instrText xml:space="preserve"> PAGEREF _Toc171584057 \h </w:instrText>
      </w:r>
      <w:r>
        <w:fldChar w:fldCharType="separate"/>
      </w:r>
      <w:r>
        <w:t>25</w:t>
      </w:r>
      <w:r>
        <w:fldChar w:fldCharType="end"/>
      </w:r>
      <w:r>
        <w:fldChar w:fldCharType="end"/>
      </w:r>
    </w:p>
    <w:p>
      <w:pPr>
        <w:pStyle w:val="22"/>
        <w:rPr>
          <w:rFonts w:cstheme="minorBidi"/>
          <w:kern w:val="2"/>
          <w:sz w:val="21"/>
        </w:rPr>
      </w:pPr>
      <w:r>
        <w:fldChar w:fldCharType="begin"/>
      </w:r>
      <w:r>
        <w:instrText xml:space="preserve"> HYPERLINK \l "_Toc171584058" </w:instrText>
      </w:r>
      <w:r>
        <w:fldChar w:fldCharType="separate"/>
      </w:r>
      <w:r>
        <w:rPr>
          <w:rStyle w:val="35"/>
        </w:rPr>
        <w:t>第三章评审办法</w:t>
      </w:r>
      <w:r>
        <w:tab/>
      </w:r>
      <w:r>
        <w:fldChar w:fldCharType="begin"/>
      </w:r>
      <w:r>
        <w:instrText xml:space="preserve"> PAGEREF _Toc171584058 \h </w:instrText>
      </w:r>
      <w:r>
        <w:fldChar w:fldCharType="separate"/>
      </w:r>
      <w:r>
        <w:t>26</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"_Toc171584059" </w:instrText>
      </w:r>
      <w:r>
        <w:fldChar w:fldCharType="separate"/>
      </w:r>
      <w:r>
        <w:rPr>
          <w:rStyle w:val="35"/>
          <w:rFonts w:asciiTheme="minorEastAsia" w:hAnsiTheme="minorEastAsia" w:cstheme="minorEastAsia"/>
          <w:b/>
          <w:bCs/>
          <w:snapToGrid w:val="0"/>
        </w:rPr>
        <w:t>评审办法前附表</w:t>
      </w:r>
      <w:r>
        <w:tab/>
      </w:r>
      <w:r>
        <w:fldChar w:fldCharType="begin"/>
      </w:r>
      <w:r>
        <w:instrText xml:space="preserve"> PAGEREF _Toc171584059 \h </w:instrText>
      </w:r>
      <w:r>
        <w:fldChar w:fldCharType="separate"/>
      </w:r>
      <w:r>
        <w:t>27</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"_Toc171584060" </w:instrText>
      </w:r>
      <w:r>
        <w:fldChar w:fldCharType="separate"/>
      </w:r>
      <w:r>
        <w:rPr>
          <w:rStyle w:val="35"/>
          <w:rFonts w:asciiTheme="minorEastAsia" w:hAnsiTheme="minorEastAsia" w:cstheme="minorEastAsia"/>
          <w:b/>
          <w:bCs/>
          <w:snapToGrid w:val="0"/>
        </w:rPr>
        <w:t>1.评审方法（综合评分法）</w:t>
      </w:r>
      <w:r>
        <w:tab/>
      </w:r>
      <w:r>
        <w:fldChar w:fldCharType="begin"/>
      </w:r>
      <w:r>
        <w:instrText xml:space="preserve"> PAGEREF _Toc171584060 \h </w:instrText>
      </w:r>
      <w:r>
        <w:fldChar w:fldCharType="separate"/>
      </w:r>
      <w:r>
        <w:t>29</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"_Toc171584061" </w:instrText>
      </w:r>
      <w:r>
        <w:fldChar w:fldCharType="separate"/>
      </w:r>
      <w:r>
        <w:rPr>
          <w:rStyle w:val="35"/>
          <w:rFonts w:asciiTheme="minorEastAsia" w:hAnsiTheme="minorEastAsia" w:cstheme="minorEastAsia"/>
          <w:b/>
          <w:snapToGrid w:val="0"/>
        </w:rPr>
        <w:t>2.初步评审标准和程序</w:t>
      </w:r>
      <w:r>
        <w:tab/>
      </w:r>
      <w:r>
        <w:fldChar w:fldCharType="begin"/>
      </w:r>
      <w:r>
        <w:instrText xml:space="preserve"> PAGEREF _Toc171584061 \h </w:instrText>
      </w:r>
      <w:r>
        <w:fldChar w:fldCharType="separate"/>
      </w:r>
      <w:r>
        <w:t>29</w:t>
      </w:r>
      <w:r>
        <w:fldChar w:fldCharType="end"/>
      </w:r>
      <w:r>
        <w:fldChar w:fldCharType="end"/>
      </w:r>
    </w:p>
    <w:p>
      <w:pPr>
        <w:pStyle w:val="16"/>
        <w:rPr>
          <w:rFonts w:cstheme="minorBidi"/>
          <w:kern w:val="2"/>
          <w:sz w:val="21"/>
        </w:rPr>
      </w:pPr>
      <w:r>
        <w:fldChar w:fldCharType="begin"/>
      </w:r>
      <w:r>
        <w:instrText xml:space="preserve"> HYPERLINK \l "_Toc171584062" </w:instrText>
      </w:r>
      <w:r>
        <w:fldChar w:fldCharType="separate"/>
      </w:r>
      <w:r>
        <w:rPr>
          <w:rStyle w:val="35"/>
          <w:rFonts w:asciiTheme="minorEastAsia" w:hAnsiTheme="minorEastAsia" w:cstheme="minorEastAsia"/>
          <w:b/>
          <w:snapToGrid w:val="0"/>
        </w:rPr>
        <w:t>2.1初步评审标准</w:t>
      </w:r>
      <w:r>
        <w:tab/>
      </w:r>
      <w:r>
        <w:fldChar w:fldCharType="begin"/>
      </w:r>
      <w:r>
        <w:instrText xml:space="preserve"> PAGEREF _Toc171584062 \h </w:instrText>
      </w:r>
      <w:r>
        <w:fldChar w:fldCharType="separate"/>
      </w:r>
      <w:r>
        <w:t>29</w:t>
      </w:r>
      <w:r>
        <w:fldChar w:fldCharType="end"/>
      </w:r>
      <w:r>
        <w:fldChar w:fldCharType="end"/>
      </w:r>
    </w:p>
    <w:p>
      <w:pPr>
        <w:pStyle w:val="16"/>
        <w:rPr>
          <w:rFonts w:cstheme="minorBidi"/>
          <w:kern w:val="2"/>
          <w:sz w:val="21"/>
        </w:rPr>
      </w:pPr>
      <w:r>
        <w:fldChar w:fldCharType="begin"/>
      </w:r>
      <w:r>
        <w:instrText xml:space="preserve"> HYPERLINK \l "_Toc171584063" </w:instrText>
      </w:r>
      <w:r>
        <w:fldChar w:fldCharType="separate"/>
      </w:r>
      <w:r>
        <w:rPr>
          <w:rStyle w:val="35"/>
          <w:rFonts w:asciiTheme="minorEastAsia" w:hAnsiTheme="minorEastAsia" w:cstheme="minorEastAsia"/>
          <w:b/>
          <w:snapToGrid w:val="0"/>
        </w:rPr>
        <w:t>2.2初步评审程序</w:t>
      </w:r>
      <w:r>
        <w:tab/>
      </w:r>
      <w:r>
        <w:fldChar w:fldCharType="begin"/>
      </w:r>
      <w:r>
        <w:instrText xml:space="preserve"> PAGEREF _Toc171584063 \h </w:instrText>
      </w:r>
      <w:r>
        <w:fldChar w:fldCharType="separate"/>
      </w:r>
      <w:r>
        <w:t>29</w:t>
      </w:r>
      <w:r>
        <w:fldChar w:fldCharType="end"/>
      </w:r>
      <w:r>
        <w:fldChar w:fldCharType="end"/>
      </w:r>
    </w:p>
    <w:p>
      <w:pPr>
        <w:pStyle w:val="16"/>
        <w:rPr>
          <w:rFonts w:cstheme="minorBidi"/>
          <w:kern w:val="2"/>
          <w:sz w:val="21"/>
        </w:rPr>
      </w:pPr>
      <w:r>
        <w:fldChar w:fldCharType="begin"/>
      </w:r>
      <w:r>
        <w:instrText xml:space="preserve"> HYPERLINK \l "_Toc171584064" </w:instrText>
      </w:r>
      <w:r>
        <w:fldChar w:fldCharType="separate"/>
      </w:r>
      <w:r>
        <w:rPr>
          <w:rStyle w:val="35"/>
          <w:rFonts w:asciiTheme="minorEastAsia" w:hAnsiTheme="minorEastAsia" w:cstheme="minorEastAsia"/>
          <w:b/>
          <w:snapToGrid w:val="0"/>
        </w:rPr>
        <w:t>3.详细评审标准和程序</w:t>
      </w:r>
      <w:r>
        <w:tab/>
      </w:r>
      <w:r>
        <w:fldChar w:fldCharType="begin"/>
      </w:r>
      <w:r>
        <w:instrText xml:space="preserve"> PAGEREF _Toc171584064 \h </w:instrText>
      </w:r>
      <w:r>
        <w:fldChar w:fldCharType="separate"/>
      </w:r>
      <w:r>
        <w:t>31</w:t>
      </w:r>
      <w:r>
        <w:fldChar w:fldCharType="end"/>
      </w:r>
      <w:r>
        <w:fldChar w:fldCharType="end"/>
      </w:r>
    </w:p>
    <w:p>
      <w:pPr>
        <w:pStyle w:val="16"/>
        <w:rPr>
          <w:rFonts w:cstheme="minorBidi"/>
          <w:kern w:val="2"/>
          <w:sz w:val="21"/>
        </w:rPr>
      </w:pPr>
      <w:r>
        <w:fldChar w:fldCharType="begin"/>
      </w:r>
      <w:r>
        <w:instrText xml:space="preserve"> HYPERLINK \l "_Toc171584065" </w:instrText>
      </w:r>
      <w:r>
        <w:fldChar w:fldCharType="separate"/>
      </w:r>
      <w:r>
        <w:rPr>
          <w:rStyle w:val="35"/>
          <w:rFonts w:asciiTheme="minorEastAsia" w:hAnsiTheme="minorEastAsia" w:cstheme="minorEastAsia"/>
          <w:b/>
          <w:snapToGrid w:val="0"/>
        </w:rPr>
        <w:t>3.1评审价格确定</w:t>
      </w:r>
      <w:r>
        <w:tab/>
      </w:r>
      <w:r>
        <w:fldChar w:fldCharType="begin"/>
      </w:r>
      <w:r>
        <w:instrText xml:space="preserve"> PAGEREF _Toc171584065 \h </w:instrText>
      </w:r>
      <w:r>
        <w:fldChar w:fldCharType="separate"/>
      </w:r>
      <w:r>
        <w:t>31</w:t>
      </w:r>
      <w:r>
        <w:fldChar w:fldCharType="end"/>
      </w:r>
      <w:r>
        <w:fldChar w:fldCharType="end"/>
      </w:r>
    </w:p>
    <w:p>
      <w:pPr>
        <w:pStyle w:val="16"/>
        <w:rPr>
          <w:rFonts w:cstheme="minorBidi"/>
          <w:kern w:val="2"/>
          <w:sz w:val="21"/>
        </w:rPr>
      </w:pPr>
      <w:r>
        <w:fldChar w:fldCharType="begin"/>
      </w:r>
      <w:r>
        <w:instrText xml:space="preserve"> HYPERLINK \l "_Toc171584066" </w:instrText>
      </w:r>
      <w:r>
        <w:fldChar w:fldCharType="separate"/>
      </w:r>
      <w:r>
        <w:rPr>
          <w:rStyle w:val="35"/>
          <w:rFonts w:asciiTheme="minorEastAsia" w:hAnsiTheme="minorEastAsia" w:cstheme="minorEastAsia"/>
          <w:b/>
          <w:snapToGrid w:val="0"/>
        </w:rPr>
        <w:t>3.2综合评分和排序(综合评分法)</w:t>
      </w:r>
      <w:r>
        <w:tab/>
      </w:r>
      <w:r>
        <w:fldChar w:fldCharType="begin"/>
      </w:r>
      <w:r>
        <w:instrText xml:space="preserve"> PAGEREF _Toc171584066 \h </w:instrText>
      </w:r>
      <w:r>
        <w:fldChar w:fldCharType="separate"/>
      </w:r>
      <w:r>
        <w:t>31</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"_Toc171584067" </w:instrText>
      </w:r>
      <w:r>
        <w:fldChar w:fldCharType="separate"/>
      </w:r>
      <w:r>
        <w:rPr>
          <w:rStyle w:val="35"/>
          <w:rFonts w:asciiTheme="minorEastAsia" w:hAnsiTheme="minorEastAsia" w:cstheme="minorEastAsia"/>
          <w:b/>
          <w:bCs/>
          <w:snapToGrid w:val="0"/>
        </w:rPr>
        <w:t>4.评审结果</w:t>
      </w:r>
      <w:r>
        <w:tab/>
      </w:r>
      <w:r>
        <w:fldChar w:fldCharType="begin"/>
      </w:r>
      <w:r>
        <w:instrText xml:space="preserve"> PAGEREF _Toc171584067 \h </w:instrText>
      </w:r>
      <w:r>
        <w:fldChar w:fldCharType="separate"/>
      </w:r>
      <w:r>
        <w:t>32</w:t>
      </w:r>
      <w:r>
        <w:fldChar w:fldCharType="end"/>
      </w:r>
      <w:r>
        <w:fldChar w:fldCharType="end"/>
      </w:r>
    </w:p>
    <w:p>
      <w:pPr>
        <w:pStyle w:val="16"/>
        <w:rPr>
          <w:rFonts w:cstheme="minorBidi"/>
          <w:kern w:val="2"/>
          <w:sz w:val="21"/>
        </w:rPr>
      </w:pPr>
      <w:r>
        <w:fldChar w:fldCharType="begin"/>
      </w:r>
      <w:r>
        <w:instrText xml:space="preserve"> HYPERLINK \l "_Toc171584068" </w:instrText>
      </w:r>
      <w:r>
        <w:fldChar w:fldCharType="separate"/>
      </w:r>
      <w:r>
        <w:rPr>
          <w:rStyle w:val="35"/>
          <w:rFonts w:asciiTheme="minorEastAsia" w:hAnsiTheme="minorEastAsia" w:cstheme="minorEastAsia"/>
          <w:b/>
          <w:snapToGrid w:val="0"/>
        </w:rPr>
        <w:t>4.1推荐成交供应商</w:t>
      </w:r>
      <w:r>
        <w:tab/>
      </w:r>
      <w:r>
        <w:fldChar w:fldCharType="begin"/>
      </w:r>
      <w:r>
        <w:instrText xml:space="preserve"> PAGEREF _Toc171584068 \h </w:instrText>
      </w:r>
      <w:r>
        <w:fldChar w:fldCharType="separate"/>
      </w:r>
      <w:r>
        <w:t>32</w:t>
      </w:r>
      <w:r>
        <w:fldChar w:fldCharType="end"/>
      </w:r>
      <w:r>
        <w:fldChar w:fldCharType="end"/>
      </w:r>
    </w:p>
    <w:p>
      <w:pPr>
        <w:pStyle w:val="22"/>
        <w:rPr>
          <w:rFonts w:cstheme="minorBidi"/>
          <w:kern w:val="2"/>
          <w:sz w:val="21"/>
        </w:rPr>
      </w:pPr>
      <w:r>
        <w:fldChar w:fldCharType="begin"/>
      </w:r>
      <w:r>
        <w:instrText xml:space="preserve"> HYPERLINK \l "_Toc171584069" </w:instrText>
      </w:r>
      <w:r>
        <w:fldChar w:fldCharType="separate"/>
      </w:r>
      <w:r>
        <w:rPr>
          <w:rStyle w:val="35"/>
        </w:rPr>
        <w:t>第四章 合同</w:t>
      </w:r>
      <w:r>
        <w:tab/>
      </w:r>
      <w:r>
        <w:fldChar w:fldCharType="begin"/>
      </w:r>
      <w:r>
        <w:instrText xml:space="preserve"> PAGEREF _Toc171584069 \h </w:instrText>
      </w:r>
      <w:r>
        <w:fldChar w:fldCharType="separate"/>
      </w:r>
      <w:r>
        <w:t>33</w:t>
      </w:r>
      <w:r>
        <w:fldChar w:fldCharType="end"/>
      </w:r>
      <w:r>
        <w:fldChar w:fldCharType="end"/>
      </w:r>
    </w:p>
    <w:p>
      <w:pPr>
        <w:pStyle w:val="22"/>
        <w:rPr>
          <w:rFonts w:cstheme="minorBidi"/>
          <w:kern w:val="2"/>
          <w:sz w:val="21"/>
        </w:rPr>
      </w:pPr>
      <w:r>
        <w:fldChar w:fldCharType="begin"/>
      </w:r>
      <w:r>
        <w:instrText xml:space="preserve"> HYPERLINK \l "_Toc171584070" </w:instrText>
      </w:r>
      <w:r>
        <w:fldChar w:fldCharType="separate"/>
      </w:r>
      <w:r>
        <w:rPr>
          <w:rStyle w:val="35"/>
        </w:rPr>
        <w:t>技术协议</w:t>
      </w:r>
      <w:r>
        <w:tab/>
      </w:r>
      <w:r>
        <w:fldChar w:fldCharType="begin"/>
      </w:r>
      <w:r>
        <w:instrText xml:space="preserve"> PAGEREF _Toc171584070 \h </w:instrText>
      </w:r>
      <w:r>
        <w:fldChar w:fldCharType="separate"/>
      </w:r>
      <w:r>
        <w:t>40</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"_Toc171584071" </w:instrText>
      </w:r>
      <w:r>
        <w:fldChar w:fldCharType="separate"/>
      </w:r>
      <w:r>
        <w:rPr>
          <w:rStyle w:val="35"/>
          <w:rFonts w:ascii="仿宋" w:hAnsi="仿宋" w:eastAsia="仿宋" w:cs="仿宋"/>
        </w:rPr>
        <w:t>本规范及要求作为项目标书及合同附件执行，中标方或施工方按照要求和相关规范来执行，采购方按照要求来进行验收</w:t>
      </w:r>
      <w:r>
        <w:tab/>
      </w:r>
      <w:r>
        <w:fldChar w:fldCharType="begin"/>
      </w:r>
      <w:r>
        <w:instrText xml:space="preserve"> PAGEREF _Toc171584071 \h </w:instrText>
      </w:r>
      <w:r>
        <w:fldChar w:fldCharType="separate"/>
      </w:r>
      <w:r>
        <w:t>71</w:t>
      </w:r>
      <w:r>
        <w:fldChar w:fldCharType="end"/>
      </w:r>
      <w:r>
        <w:fldChar w:fldCharType="end"/>
      </w:r>
    </w:p>
    <w:p>
      <w:pPr>
        <w:pStyle w:val="22"/>
        <w:rPr>
          <w:rFonts w:cstheme="minorBidi"/>
          <w:kern w:val="2"/>
          <w:sz w:val="21"/>
        </w:rPr>
      </w:pPr>
      <w:r>
        <w:fldChar w:fldCharType="begin"/>
      </w:r>
      <w:r>
        <w:instrText xml:space="preserve"> HYPERLINK \l "_Toc171584072" </w:instrText>
      </w:r>
      <w:r>
        <w:fldChar w:fldCharType="separate"/>
      </w:r>
      <w:r>
        <w:rPr>
          <w:rStyle w:val="35"/>
        </w:rPr>
        <w:t>第五章 采购需求</w:t>
      </w:r>
      <w:r>
        <w:tab/>
      </w:r>
      <w:r>
        <w:fldChar w:fldCharType="begin"/>
      </w:r>
      <w:r>
        <w:instrText xml:space="preserve"> PAGEREF _Toc171584072 \h </w:instrText>
      </w:r>
      <w:r>
        <w:fldChar w:fldCharType="separate"/>
      </w:r>
      <w:r>
        <w:t>72</w:t>
      </w:r>
      <w:r>
        <w:fldChar w:fldCharType="end"/>
      </w:r>
      <w:r>
        <w:fldChar w:fldCharType="end"/>
      </w:r>
    </w:p>
    <w:p>
      <w:pPr>
        <w:pStyle w:val="22"/>
        <w:rPr>
          <w:rFonts w:cstheme="minorBidi"/>
          <w:kern w:val="2"/>
          <w:sz w:val="21"/>
        </w:rPr>
      </w:pPr>
      <w:r>
        <w:fldChar w:fldCharType="begin"/>
      </w:r>
      <w:r>
        <w:instrText xml:space="preserve"> HYPERLINK \l "_Toc171584073" </w:instrText>
      </w:r>
      <w:r>
        <w:fldChar w:fldCharType="separate"/>
      </w:r>
      <w:r>
        <w:rPr>
          <w:rStyle w:val="35"/>
        </w:rPr>
        <w:t>第六章响应文件格式</w:t>
      </w:r>
      <w:r>
        <w:tab/>
      </w:r>
      <w:r>
        <w:fldChar w:fldCharType="begin"/>
      </w:r>
      <w:r>
        <w:instrText xml:space="preserve"> PAGEREF _Toc171584073 \h </w:instrText>
      </w:r>
      <w:r>
        <w:fldChar w:fldCharType="separate"/>
      </w:r>
      <w:r>
        <w:t>74</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"_Toc171584074" </w:instrText>
      </w:r>
      <w:r>
        <w:fldChar w:fldCharType="separate"/>
      </w:r>
      <w:r>
        <w:rPr>
          <w:rStyle w:val="35"/>
          <w:rFonts w:eastAsia="仿宋" w:asciiTheme="minorEastAsia" w:hAnsiTheme="minorEastAsia"/>
          <w:b/>
          <w:bCs/>
          <w:snapToGrid w:val="0"/>
        </w:rPr>
        <w:t>—、响应函</w:t>
      </w:r>
      <w:r>
        <w:tab/>
      </w:r>
      <w:r>
        <w:fldChar w:fldCharType="begin"/>
      </w:r>
      <w:r>
        <w:instrText xml:space="preserve"> PAGEREF _Toc171584074 \h </w:instrText>
      </w:r>
      <w:r>
        <w:fldChar w:fldCharType="separate"/>
      </w:r>
      <w:r>
        <w:t>77</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"_Toc171584075" </w:instrText>
      </w:r>
      <w:r>
        <w:fldChar w:fldCharType="separate"/>
      </w:r>
      <w:r>
        <w:rPr>
          <w:rStyle w:val="35"/>
          <w:rFonts w:eastAsia="仿宋" w:asciiTheme="minorEastAsia" w:hAnsiTheme="minorEastAsia"/>
          <w:b/>
          <w:bCs/>
          <w:snapToGrid w:val="0"/>
        </w:rPr>
        <w:t>二、授权委托书</w:t>
      </w:r>
      <w:r>
        <w:tab/>
      </w:r>
      <w:r>
        <w:fldChar w:fldCharType="begin"/>
      </w:r>
      <w:r>
        <w:instrText xml:space="preserve"> PAGEREF _Toc171584075 \h </w:instrText>
      </w:r>
      <w:r>
        <w:fldChar w:fldCharType="separate"/>
      </w:r>
      <w:r>
        <w:t>78</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"_Toc171584076" </w:instrText>
      </w:r>
      <w:r>
        <w:fldChar w:fldCharType="separate"/>
      </w:r>
      <w:r>
        <w:rPr>
          <w:rStyle w:val="35"/>
          <w:rFonts w:eastAsia="仿宋" w:asciiTheme="minorEastAsia" w:hAnsiTheme="minorEastAsia"/>
          <w:b/>
          <w:bCs/>
          <w:snapToGrid w:val="0"/>
        </w:rPr>
        <w:t>四、响应保证金</w:t>
      </w:r>
      <w:r>
        <w:tab/>
      </w:r>
      <w:r>
        <w:fldChar w:fldCharType="begin"/>
      </w:r>
      <w:r>
        <w:instrText xml:space="preserve"> PAGEREF _Toc171584076 \h </w:instrText>
      </w:r>
      <w:r>
        <w:fldChar w:fldCharType="separate"/>
      </w:r>
      <w:r>
        <w:t>79</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"_Toc171584077" </w:instrText>
      </w:r>
      <w:r>
        <w:fldChar w:fldCharType="separate"/>
      </w:r>
      <w:r>
        <w:rPr>
          <w:rStyle w:val="35"/>
          <w:rFonts w:eastAsia="仿宋" w:asciiTheme="minorEastAsia" w:hAnsiTheme="minorEastAsia"/>
          <w:b/>
          <w:bCs/>
          <w:snapToGrid w:val="0"/>
        </w:rPr>
        <w:t>六、报价一览表</w:t>
      </w:r>
      <w:r>
        <w:tab/>
      </w:r>
      <w:r>
        <w:fldChar w:fldCharType="begin"/>
      </w:r>
      <w:r>
        <w:instrText xml:space="preserve"> PAGEREF _Toc171584077 \h </w:instrText>
      </w:r>
      <w:r>
        <w:fldChar w:fldCharType="separate"/>
      </w:r>
      <w:r>
        <w:t>81</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"_Toc171584078" </w:instrText>
      </w:r>
      <w:r>
        <w:fldChar w:fldCharType="separate"/>
      </w:r>
      <w:r>
        <w:rPr>
          <w:rStyle w:val="35"/>
          <w:rFonts w:eastAsia="仿宋" w:asciiTheme="minorEastAsia" w:hAnsiTheme="minorEastAsia"/>
          <w:b/>
          <w:bCs/>
          <w:snapToGrid w:val="0"/>
        </w:rPr>
        <w:t>七、资格审查资料</w:t>
      </w:r>
      <w:r>
        <w:tab/>
      </w:r>
      <w:r>
        <w:fldChar w:fldCharType="begin"/>
      </w:r>
      <w:r>
        <w:instrText xml:space="preserve"> PAGEREF _Toc171584078 \h </w:instrText>
      </w:r>
      <w:r>
        <w:fldChar w:fldCharType="separate"/>
      </w:r>
      <w:r>
        <w:t>82</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"_Toc171584079" </w:instrText>
      </w:r>
      <w:r>
        <w:fldChar w:fldCharType="separate"/>
      </w:r>
      <w:r>
        <w:rPr>
          <w:rStyle w:val="35"/>
          <w:rFonts w:eastAsia="仿宋" w:asciiTheme="minorEastAsia" w:hAnsiTheme="minorEastAsia"/>
          <w:b/>
          <w:bCs/>
          <w:snapToGrid w:val="0"/>
        </w:rPr>
        <w:t>八、响应方案</w:t>
      </w:r>
      <w:r>
        <w:tab/>
      </w:r>
      <w:r>
        <w:fldChar w:fldCharType="begin"/>
      </w:r>
      <w:r>
        <w:instrText xml:space="preserve"> PAGEREF _Toc171584079 \h </w:instrText>
      </w:r>
      <w:r>
        <w:fldChar w:fldCharType="separate"/>
      </w:r>
      <w:r>
        <w:t>86</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"_Toc171584080" </w:instrText>
      </w:r>
      <w:r>
        <w:fldChar w:fldCharType="separate"/>
      </w:r>
      <w:r>
        <w:rPr>
          <w:rStyle w:val="35"/>
          <w:rFonts w:eastAsia="仿宋" w:asciiTheme="minorEastAsia" w:hAnsiTheme="minorEastAsia"/>
          <w:b/>
          <w:bCs/>
          <w:snapToGrid w:val="0"/>
        </w:rPr>
        <w:t>十、廉洁承诺书</w:t>
      </w:r>
      <w:r>
        <w:tab/>
      </w:r>
      <w:r>
        <w:fldChar w:fldCharType="begin"/>
      </w:r>
      <w:r>
        <w:instrText xml:space="preserve"> PAGEREF _Toc171584080 \h </w:instrText>
      </w:r>
      <w:r>
        <w:fldChar w:fldCharType="separate"/>
      </w:r>
      <w:r>
        <w:t>87</w:t>
      </w:r>
      <w:r>
        <w:fldChar w:fldCharType="end"/>
      </w:r>
      <w:r>
        <w:fldChar w:fldCharType="end"/>
      </w:r>
    </w:p>
    <w:p>
      <w:pPr>
        <w:pStyle w:val="26"/>
        <w:tabs>
          <w:tab w:val="right" w:leader="dot" w:pos="9060"/>
        </w:tabs>
        <w:rPr>
          <w:rFonts w:cstheme="minorBidi"/>
          <w:kern w:val="2"/>
          <w:sz w:val="21"/>
        </w:rPr>
      </w:pPr>
      <w:r>
        <w:fldChar w:fldCharType="begin"/>
      </w:r>
      <w:r>
        <w:instrText xml:space="preserve"> HYPERLINK \l "_Toc171584081" </w:instrText>
      </w:r>
      <w:r>
        <w:fldChar w:fldCharType="separate"/>
      </w:r>
      <w:r>
        <w:rPr>
          <w:rStyle w:val="35"/>
          <w:rFonts w:eastAsia="仿宋" w:asciiTheme="minorEastAsia" w:hAnsiTheme="minorEastAsia"/>
          <w:b/>
          <w:bCs/>
          <w:snapToGrid w:val="0"/>
        </w:rPr>
        <w:t>十一、保密承诺书</w:t>
      </w:r>
      <w:r>
        <w:tab/>
      </w:r>
      <w:r>
        <w:fldChar w:fldCharType="begin"/>
      </w:r>
      <w:r>
        <w:instrText xml:space="preserve"> PAGEREF _Toc171584081 \h </w:instrText>
      </w:r>
      <w:r>
        <w:fldChar w:fldCharType="separate"/>
      </w:r>
      <w:r>
        <w:t>88</w:t>
      </w:r>
      <w:r>
        <w:fldChar w:fldCharType="end"/>
      </w:r>
      <w:r>
        <w:fldChar w:fldCharType="end"/>
      </w:r>
    </w:p>
    <w:p>
      <w:pPr>
        <w:rPr>
          <w:rFonts w:asciiTheme="minorEastAsia" w:hAnsiTheme="minorEastAsia" w:eastAsiaTheme="minorEastAsia" w:cstheme="minorEastAsia"/>
          <w:lang w:eastAsia="zh-CN"/>
        </w:rPr>
      </w:pPr>
      <w:r>
        <w:rPr>
          <w:rFonts w:hint="eastAsia" w:asciiTheme="minorEastAsia" w:hAnsiTheme="minorEastAsia" w:eastAsiaTheme="minorEastAsia" w:cstheme="minorEastAsia"/>
          <w:bCs/>
          <w:lang w:val="zh-CN"/>
        </w:rPr>
        <w:fldChar w:fldCharType="end"/>
      </w:r>
    </w:p>
    <w:p>
      <w:pPr>
        <w:rPr>
          <w:rFonts w:asciiTheme="minorEastAsia" w:hAnsiTheme="minorEastAsia" w:eastAsiaTheme="minorEastAsia" w:cstheme="minorEastAsia"/>
          <w:snapToGrid w:val="0"/>
          <w:sz w:val="24"/>
          <w:szCs w:val="24"/>
          <w:lang w:eastAsia="zh-CN"/>
        </w:rPr>
      </w:pPr>
      <w:bookmarkStart w:id="1" w:name="扫描0001"/>
      <w:bookmarkEnd w:id="1"/>
      <w:r>
        <w:rPr>
          <w:rFonts w:hint="eastAsia" w:asciiTheme="minorEastAsia" w:hAnsiTheme="minorEastAsia" w:eastAsiaTheme="minorEastAsia" w:cstheme="minorEastAsia"/>
          <w:snapToGrid w:val="0"/>
          <w:sz w:val="24"/>
          <w:szCs w:val="24"/>
          <w:lang w:eastAsia="zh-CN"/>
        </w:rPr>
        <w:br w:type="page"/>
      </w: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pStyle w:val="4"/>
      </w:pPr>
      <w:bookmarkStart w:id="2" w:name="扫描0006"/>
      <w:bookmarkEnd w:id="2"/>
      <w:bookmarkStart w:id="3" w:name="_Toc171583998"/>
      <w:r>
        <w:rPr>
          <w:rFonts w:hint="eastAsia"/>
        </w:rPr>
        <w:t>第一章谈判采购公告</w:t>
      </w:r>
      <w:bookmarkEnd w:id="3"/>
    </w:p>
    <w:p>
      <w:pPr>
        <w:spacing w:line="276"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br w:type="page"/>
      </w:r>
    </w:p>
    <w:p>
      <w:pPr>
        <w:pStyle w:val="5"/>
        <w:spacing w:line="360" w:lineRule="auto"/>
        <w:jc w:val="center"/>
        <w:rPr>
          <w:rFonts w:asciiTheme="minorEastAsia" w:hAnsiTheme="minorEastAsia" w:eastAsiaTheme="minorEastAsia" w:cstheme="minorEastAsia"/>
          <w:b/>
          <w:bCs/>
          <w:snapToGrid w:val="0"/>
          <w:sz w:val="32"/>
          <w:szCs w:val="32"/>
          <w:lang w:eastAsia="zh-CN"/>
        </w:rPr>
      </w:pPr>
      <w:bookmarkStart w:id="4" w:name="扫描0007"/>
      <w:bookmarkEnd w:id="4"/>
      <w:bookmarkStart w:id="5" w:name="_Toc171583999"/>
      <w:bookmarkStart w:id="6" w:name="_Toc17169"/>
      <w:r>
        <w:rPr>
          <w:rFonts w:hint="eastAsia" w:asciiTheme="minorEastAsia" w:hAnsiTheme="minorEastAsia" w:eastAsiaTheme="minorEastAsia" w:cstheme="minorEastAsia"/>
          <w:b/>
          <w:bCs/>
          <w:snapToGrid w:val="0"/>
          <w:sz w:val="32"/>
          <w:szCs w:val="32"/>
          <w:lang w:eastAsia="zh-CN"/>
        </w:rPr>
        <w:t>中粮糖业甘蔗糖部</w:t>
      </w:r>
      <w:r>
        <w:rPr>
          <w:rFonts w:asciiTheme="minorEastAsia" w:hAnsiTheme="minorEastAsia" w:eastAsiaTheme="minorEastAsia" w:cstheme="minorEastAsia"/>
          <w:b/>
          <w:bCs/>
          <w:snapToGrid w:val="0"/>
          <w:sz w:val="32"/>
          <w:szCs w:val="32"/>
          <w:lang w:eastAsia="zh-CN"/>
        </w:rPr>
        <w:t>2024年北海糖业制炼车间丙糖螺旋输送槽大修项目</w:t>
      </w:r>
      <w:r>
        <w:rPr>
          <w:rFonts w:hint="eastAsia" w:asciiTheme="minorEastAsia" w:hAnsiTheme="minorEastAsia" w:eastAsiaTheme="minorEastAsia" w:cstheme="minorEastAsia"/>
          <w:b/>
          <w:bCs/>
          <w:snapToGrid w:val="0"/>
          <w:sz w:val="32"/>
          <w:szCs w:val="32"/>
          <w:lang w:eastAsia="zh-CN"/>
        </w:rPr>
        <w:t>谈判采购公告</w:t>
      </w:r>
      <w:bookmarkEnd w:id="5"/>
      <w:bookmarkEnd w:id="6"/>
    </w:p>
    <w:p>
      <w:pPr>
        <w:spacing w:line="400" w:lineRule="exact"/>
        <w:rPr>
          <w:rFonts w:asciiTheme="minorEastAsia" w:hAnsiTheme="minorEastAsia" w:eastAsiaTheme="minorEastAsia" w:cstheme="minorEastAsia"/>
          <w:snapToGrid w:val="0"/>
          <w:sz w:val="24"/>
          <w:szCs w:val="24"/>
          <w:u w:val="single"/>
          <w:shd w:val="clear" w:color="auto" w:fill="FFFF00"/>
          <w:lang w:eastAsia="zh-CN"/>
        </w:rPr>
      </w:pP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中粮糖业甘蔗糖部2024年北海糖业制炼车间丙糖螺旋输送槽大修项目已具备采购条件，现公开邀请供应商参加谈判采购活动。</w:t>
      </w:r>
    </w:p>
    <w:p>
      <w:pPr>
        <w:spacing w:line="400" w:lineRule="exact"/>
        <w:ind w:firstLine="480" w:firstLineChars="200"/>
        <w:rPr>
          <w:rFonts w:asciiTheme="minorEastAsia" w:hAnsiTheme="minorEastAsia" w:eastAsiaTheme="minorEastAsia" w:cstheme="minorEastAsia"/>
          <w:snapToGrid w:val="0"/>
          <w:sz w:val="24"/>
          <w:szCs w:val="24"/>
          <w:lang w:eastAsia="zh-CN"/>
        </w:rPr>
      </w:pPr>
    </w:p>
    <w:p>
      <w:pPr>
        <w:pStyle w:val="6"/>
        <w:spacing w:line="400" w:lineRule="exact"/>
        <w:ind w:left="0" w:firstLine="482" w:firstLineChars="200"/>
        <w:rPr>
          <w:rFonts w:asciiTheme="minorEastAsia" w:hAnsiTheme="minorEastAsia" w:eastAsiaTheme="minorEastAsia" w:cstheme="minorEastAsia"/>
          <w:b/>
          <w:snapToGrid w:val="0"/>
          <w:sz w:val="24"/>
          <w:szCs w:val="24"/>
          <w:lang w:eastAsia="zh-CN"/>
        </w:rPr>
      </w:pPr>
      <w:bookmarkStart w:id="7" w:name="_Toc171584000"/>
      <w:r>
        <w:rPr>
          <w:rFonts w:hint="eastAsia" w:asciiTheme="minorEastAsia" w:hAnsiTheme="minorEastAsia" w:eastAsiaTheme="minorEastAsia" w:cstheme="minorEastAsia"/>
          <w:b/>
          <w:snapToGrid w:val="0"/>
          <w:sz w:val="24"/>
          <w:szCs w:val="24"/>
          <w:lang w:eastAsia="zh-CN"/>
        </w:rPr>
        <w:t>1.采购项目简介</w:t>
      </w:r>
      <w:bookmarkEnd w:id="7"/>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1.1采购项目名称：中粮糖业甘蔗糖部2024年北海糖业制炼车间丙糖螺旋输送槽大修项目。</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1.2采购人：中粮北海糖业有限公司。</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1.3采购项目资金落实情况：已落实。</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1.4采购项目概况：</w:t>
      </w:r>
      <w:bookmarkStart w:id="8" w:name="_Hlk91559762"/>
      <w:r>
        <w:rPr>
          <w:rFonts w:hint="eastAsia" w:asciiTheme="minorEastAsia" w:hAnsiTheme="minorEastAsia" w:eastAsiaTheme="minorEastAsia" w:cstheme="minorEastAsia"/>
          <w:snapToGrid w:val="0"/>
          <w:sz w:val="24"/>
          <w:szCs w:val="24"/>
          <w:lang w:eastAsia="zh-CN"/>
        </w:rPr>
        <w:t>对丙糖螺旋输送槽大修等。</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1.5</w:t>
      </w:r>
      <w:bookmarkEnd w:id="8"/>
      <w:r>
        <w:rPr>
          <w:rFonts w:hint="eastAsia" w:asciiTheme="minorEastAsia" w:hAnsiTheme="minorEastAsia" w:eastAsiaTheme="minorEastAsia" w:cstheme="minorEastAsia"/>
          <w:snapToGrid w:val="0"/>
          <w:sz w:val="24"/>
          <w:szCs w:val="24"/>
          <w:lang w:eastAsia="zh-CN"/>
        </w:rPr>
        <w:t>最高限价：见供应商须知前附表3.2.3。</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1.6项目完工期限：见合同条款。</w:t>
      </w:r>
    </w:p>
    <w:p>
      <w:pPr>
        <w:pStyle w:val="6"/>
        <w:spacing w:line="400" w:lineRule="exact"/>
        <w:ind w:left="0" w:firstLine="482" w:firstLineChars="200"/>
        <w:rPr>
          <w:rFonts w:asciiTheme="minorEastAsia" w:hAnsiTheme="minorEastAsia" w:eastAsiaTheme="minorEastAsia" w:cstheme="minorEastAsia"/>
          <w:b/>
          <w:snapToGrid w:val="0"/>
          <w:sz w:val="24"/>
          <w:szCs w:val="24"/>
          <w:lang w:eastAsia="zh-CN"/>
        </w:rPr>
      </w:pPr>
      <w:bookmarkStart w:id="9" w:name="_Toc171584001"/>
      <w:r>
        <w:rPr>
          <w:rFonts w:hint="eastAsia" w:asciiTheme="minorEastAsia" w:hAnsiTheme="minorEastAsia" w:eastAsiaTheme="minorEastAsia" w:cstheme="minorEastAsia"/>
          <w:b/>
          <w:snapToGrid w:val="0"/>
          <w:sz w:val="24"/>
          <w:szCs w:val="24"/>
          <w:lang w:eastAsia="zh-CN"/>
        </w:rPr>
        <w:t>2.采购范围及相关要求</w:t>
      </w:r>
      <w:bookmarkEnd w:id="9"/>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2.1采购范围：拆丙糖螺旋输送槽到中标单位厂内维修好后重新安装，详见采购范围及合同附</w:t>
      </w:r>
      <w:r>
        <w:rPr>
          <w:rFonts w:asciiTheme="minorEastAsia" w:hAnsiTheme="minorEastAsia" w:eastAsiaTheme="minorEastAsia" w:cstheme="minorEastAsia"/>
          <w:snapToGrid w:val="0"/>
          <w:sz w:val="24"/>
          <w:szCs w:val="24"/>
          <w:lang w:eastAsia="zh-CN"/>
        </w:rPr>
        <w:t>件</w:t>
      </w:r>
      <w:r>
        <w:rPr>
          <w:rFonts w:hint="eastAsia" w:asciiTheme="minorEastAsia" w:hAnsiTheme="minorEastAsia" w:eastAsiaTheme="minorEastAsia" w:cstheme="minorEastAsia"/>
          <w:snapToGrid w:val="0"/>
          <w:sz w:val="24"/>
          <w:szCs w:val="24"/>
          <w:lang w:eastAsia="zh-CN"/>
        </w:rPr>
        <w:t>1技术协议。</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2.2交货地点：中粮北海糖业有限公司</w:t>
      </w:r>
    </w:p>
    <w:p>
      <w:pPr>
        <w:spacing w:line="400" w:lineRule="exact"/>
        <w:ind w:firstLine="480" w:firstLineChars="200"/>
        <w:rPr>
          <w:rFonts w:asciiTheme="minorEastAsia" w:hAnsiTheme="minorEastAsia" w:eastAsiaTheme="minorEastAsia" w:cstheme="minorEastAsia"/>
          <w:snapToGrid w:val="0"/>
          <w:sz w:val="24"/>
          <w:szCs w:val="24"/>
          <w:u w:val="single"/>
          <w:lang w:eastAsia="zh-CN"/>
        </w:rPr>
      </w:pPr>
      <w:r>
        <w:rPr>
          <w:rFonts w:hint="eastAsia" w:asciiTheme="minorEastAsia" w:hAnsiTheme="minorEastAsia" w:eastAsiaTheme="minorEastAsia" w:cstheme="minorEastAsia"/>
          <w:snapToGrid w:val="0"/>
          <w:sz w:val="24"/>
          <w:szCs w:val="24"/>
          <w:lang w:eastAsia="zh-CN"/>
        </w:rPr>
        <w:t>2.3质量要求或服务标准：详见合同附</w:t>
      </w:r>
      <w:r>
        <w:rPr>
          <w:rFonts w:asciiTheme="minorEastAsia" w:hAnsiTheme="minorEastAsia" w:eastAsiaTheme="minorEastAsia" w:cstheme="minorEastAsia"/>
          <w:snapToGrid w:val="0"/>
          <w:sz w:val="24"/>
          <w:szCs w:val="24"/>
          <w:lang w:eastAsia="zh-CN"/>
        </w:rPr>
        <w:t>件</w:t>
      </w:r>
      <w:r>
        <w:rPr>
          <w:rFonts w:hint="eastAsia" w:asciiTheme="minorEastAsia" w:hAnsiTheme="minorEastAsia" w:eastAsiaTheme="minorEastAsia" w:cstheme="minorEastAsia"/>
          <w:snapToGrid w:val="0"/>
          <w:sz w:val="24"/>
          <w:szCs w:val="24"/>
          <w:lang w:eastAsia="zh-CN"/>
        </w:rPr>
        <w:t>1技术协议。</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2.4质保期：见合同条款。</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 xml:space="preserve">2.5是否集采： </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□是，集采-统签（集中采购，采购成交后单一采购人与成交人统一签订合同）</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□是，集采-分签（集中采购，采购成交后多方联合采购人与成交人分别签订合同）</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☑否</w:t>
      </w:r>
    </w:p>
    <w:p>
      <w:pPr>
        <w:pStyle w:val="6"/>
        <w:spacing w:line="400" w:lineRule="exact"/>
        <w:ind w:left="0" w:firstLine="482" w:firstLineChars="200"/>
        <w:rPr>
          <w:rFonts w:asciiTheme="minorEastAsia" w:hAnsiTheme="minorEastAsia" w:eastAsiaTheme="minorEastAsia" w:cstheme="minorEastAsia"/>
          <w:b/>
          <w:snapToGrid w:val="0"/>
          <w:sz w:val="24"/>
          <w:szCs w:val="24"/>
          <w:lang w:eastAsia="zh-CN"/>
        </w:rPr>
      </w:pPr>
      <w:bookmarkStart w:id="10" w:name="_Toc171584002"/>
      <w:r>
        <w:rPr>
          <w:rFonts w:hint="eastAsia" w:asciiTheme="minorEastAsia" w:hAnsiTheme="minorEastAsia" w:eastAsiaTheme="minorEastAsia" w:cstheme="minorEastAsia"/>
          <w:b/>
          <w:snapToGrid w:val="0"/>
          <w:sz w:val="24"/>
          <w:szCs w:val="24"/>
          <w:lang w:eastAsia="zh-CN"/>
        </w:rPr>
        <w:t>3.供应商资格要求</w:t>
      </w:r>
      <w:bookmarkEnd w:id="10"/>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3.1供应商应依法设立且满足如下要求：</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（1）资质要求：具备独立签订合同能力，为中华人民共和国境内注册的企业法人或其他组织和自然人，具有通用机械设备制造安装能力的厂商或供应商”。</w:t>
      </w:r>
    </w:p>
    <w:p>
      <w:pPr>
        <w:pStyle w:val="12"/>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（2）业绩要求：近三年内（2021年1月1日至响应截止日期）</w:t>
      </w:r>
      <w:r>
        <w:rPr>
          <w:rFonts w:hint="eastAsia" w:asciiTheme="minorEastAsia" w:hAnsiTheme="minorEastAsia" w:eastAsiaTheme="minorEastAsia" w:cstheme="minorEastAsia"/>
          <w:snapToGrid w:val="0"/>
          <w:color w:val="0000FF"/>
          <w:sz w:val="24"/>
          <w:szCs w:val="24"/>
          <w:u w:val="single"/>
          <w:lang w:eastAsia="zh-CN"/>
        </w:rPr>
        <w:t>至少有2项机械设备生产制造或维修的服务业绩。</w:t>
      </w:r>
    </w:p>
    <w:p>
      <w:pPr>
        <w:pStyle w:val="12"/>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w:t>
      </w:r>
      <w:r>
        <w:rPr>
          <w:rFonts w:asciiTheme="minorEastAsia" w:hAnsiTheme="minorEastAsia" w:eastAsiaTheme="minorEastAsia" w:cstheme="minorEastAsia"/>
          <w:snapToGrid w:val="0"/>
          <w:sz w:val="24"/>
          <w:szCs w:val="24"/>
          <w:lang w:eastAsia="zh-CN"/>
        </w:rPr>
        <w:t>3</w:t>
      </w:r>
      <w:r>
        <w:rPr>
          <w:rFonts w:hint="eastAsia" w:asciiTheme="minorEastAsia" w:hAnsiTheme="minorEastAsia" w:eastAsiaTheme="minorEastAsia" w:cstheme="minorEastAsia"/>
          <w:snapToGrid w:val="0"/>
          <w:sz w:val="24"/>
          <w:szCs w:val="24"/>
          <w:lang w:eastAsia="zh-CN"/>
        </w:rPr>
        <w:t>）信誉及管理体系认证要求：</w:t>
      </w:r>
    </w:p>
    <w:p>
      <w:pPr>
        <w:pStyle w:val="12"/>
        <w:spacing w:line="400" w:lineRule="exact"/>
        <w:ind w:firstLine="480" w:firstLineChars="200"/>
        <w:outlineLvl w:val="4"/>
        <w:rPr>
          <w:rFonts w:asciiTheme="minorEastAsia" w:hAnsiTheme="minorEastAsia" w:eastAsiaTheme="minorEastAsia" w:cstheme="minorEastAsia"/>
          <w:snapToGrid w:val="0"/>
          <w:sz w:val="24"/>
          <w:szCs w:val="24"/>
          <w:u w:val="single"/>
          <w:lang w:eastAsia="zh-CN"/>
        </w:rPr>
      </w:pPr>
      <w:r>
        <w:rPr>
          <w:rFonts w:hint="eastAsia" w:asciiTheme="minorEastAsia" w:hAnsiTheme="minorEastAsia" w:eastAsiaTheme="minorEastAsia" w:cstheme="minorEastAsia"/>
          <w:snapToGrid w:val="0"/>
          <w:sz w:val="24"/>
          <w:szCs w:val="24"/>
          <w:lang w:eastAsia="zh-CN"/>
        </w:rPr>
        <w:t>☑信誉要求：</w:t>
      </w:r>
      <w:r>
        <w:rPr>
          <w:rFonts w:hint="eastAsia" w:asciiTheme="minorEastAsia" w:hAnsiTheme="minorEastAsia" w:eastAsiaTheme="minorEastAsia" w:cstheme="minorEastAsia"/>
          <w:snapToGrid w:val="0"/>
          <w:sz w:val="24"/>
          <w:szCs w:val="24"/>
          <w:u w:val="single"/>
          <w:lang w:eastAsia="zh-CN"/>
        </w:rPr>
        <w:t>在信用中国网查无不良信息记录；在中国政府采购网查无严重违法失信行为</w:t>
      </w:r>
      <w:r>
        <w:rPr>
          <w:rFonts w:hint="eastAsia" w:asciiTheme="minorEastAsia" w:hAnsiTheme="minorEastAsia" w:eastAsiaTheme="minorEastAsia" w:cstheme="minorEastAsia"/>
          <w:snapToGrid w:val="0"/>
          <w:color w:val="0000FF"/>
          <w:sz w:val="24"/>
          <w:szCs w:val="24"/>
          <w:u w:val="single"/>
          <w:lang w:eastAsia="zh-CN"/>
        </w:rPr>
        <w:t>，不在中粮集团、中粮糖业黑名单供应商</w:t>
      </w:r>
      <w:r>
        <w:rPr>
          <w:rFonts w:asciiTheme="minorEastAsia" w:hAnsiTheme="minorEastAsia" w:eastAsiaTheme="minorEastAsia" w:cstheme="minorEastAsia"/>
          <w:snapToGrid w:val="0"/>
          <w:color w:val="0000FF"/>
          <w:sz w:val="24"/>
          <w:szCs w:val="24"/>
          <w:u w:val="single"/>
          <w:lang w:eastAsia="zh-CN"/>
        </w:rPr>
        <w:t>目录</w:t>
      </w:r>
      <w:r>
        <w:rPr>
          <w:rFonts w:hint="eastAsia" w:asciiTheme="minorEastAsia" w:hAnsiTheme="minorEastAsia" w:eastAsiaTheme="minorEastAsia" w:cstheme="minorEastAsia"/>
          <w:snapToGrid w:val="0"/>
          <w:color w:val="0000FF"/>
          <w:sz w:val="24"/>
          <w:szCs w:val="24"/>
          <w:u w:val="single"/>
          <w:lang w:eastAsia="zh-CN"/>
        </w:rPr>
        <w:t>（见附件《公司失信客商名单表-第1-4期》）</w:t>
      </w:r>
      <w:r>
        <w:rPr>
          <w:rFonts w:hint="eastAsia" w:asciiTheme="minorEastAsia" w:hAnsiTheme="minorEastAsia" w:eastAsiaTheme="minorEastAsia" w:cstheme="minorEastAsia"/>
          <w:snapToGrid w:val="0"/>
          <w:sz w:val="24"/>
          <w:szCs w:val="24"/>
          <w:u w:val="single"/>
          <w:lang w:eastAsia="zh-CN"/>
        </w:rPr>
        <w:t xml:space="preserve">。 </w:t>
      </w:r>
    </w:p>
    <w:p>
      <w:pPr>
        <w:pStyle w:val="12"/>
        <w:spacing w:line="32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□具备GB/T19001系列/IS09001系列质量管理体系认证证书，且在有效期内的；</w:t>
      </w:r>
    </w:p>
    <w:p>
      <w:pPr>
        <w:pStyle w:val="66"/>
        <w:spacing w:before="240" w:after="240" w:line="320" w:lineRule="exact"/>
        <w:ind w:firstLine="480" w:firstLineChars="200"/>
        <w:rPr>
          <w:rFonts w:asciiTheme="minorEastAsia" w:hAnsiTheme="minorEastAsia" w:cstheme="minorEastAsia"/>
          <w:snapToGrid w:val="0"/>
        </w:rPr>
      </w:pPr>
      <w:r>
        <w:rPr>
          <w:rFonts w:hint="eastAsia" w:asciiTheme="minorEastAsia" w:hAnsiTheme="minorEastAsia" w:cstheme="minorEastAsia"/>
          <w:snapToGrid w:val="0"/>
        </w:rPr>
        <w:t>□具备GB/T28001系列/OHSAS18001系列职业健康安全管理体系认证证书，且在有效期内的；</w:t>
      </w:r>
    </w:p>
    <w:p>
      <w:pPr>
        <w:pStyle w:val="66"/>
        <w:spacing w:before="240" w:after="240" w:line="320" w:lineRule="exact"/>
        <w:ind w:firstLine="480" w:firstLineChars="200"/>
        <w:rPr>
          <w:rFonts w:asciiTheme="minorEastAsia" w:hAnsiTheme="minorEastAsia" w:cstheme="minorEastAsia"/>
          <w:snapToGrid w:val="0"/>
        </w:rPr>
      </w:pPr>
      <w:r>
        <w:rPr>
          <w:rFonts w:hint="eastAsia" w:asciiTheme="minorEastAsia" w:hAnsiTheme="minorEastAsia" w:cstheme="minorEastAsia"/>
          <w:snapToGrid w:val="0"/>
        </w:rPr>
        <w:t>□具备GB/T24001系列或ISO14001系列环境管理体系认证证书，且在有效期内的；</w:t>
      </w:r>
    </w:p>
    <w:p>
      <w:pPr>
        <w:spacing w:line="400" w:lineRule="exact"/>
        <w:ind w:firstLine="480" w:firstLineChars="2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（5）设备要求：详见合同技术协议。</w:t>
      </w:r>
    </w:p>
    <w:p>
      <w:pPr>
        <w:spacing w:line="400" w:lineRule="exact"/>
        <w:ind w:firstLine="480" w:firstLineChars="2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（6）产品质量要求：满足国家相关产品质量标准要求。</w:t>
      </w:r>
    </w:p>
    <w:p>
      <w:pPr>
        <w:spacing w:line="400" w:lineRule="exact"/>
        <w:ind w:firstLine="480" w:firstLineChars="200"/>
        <w:outlineLvl w:val="3"/>
        <w:rPr>
          <w:rFonts w:asciiTheme="minorEastAsia" w:hAnsiTheme="minorEastAsia" w:eastAsiaTheme="minorEastAsia" w:cstheme="minorEastAsia"/>
          <w:snapToGrid w:val="0"/>
          <w:sz w:val="24"/>
          <w:szCs w:val="24"/>
          <w:u w:val="single"/>
          <w:lang w:eastAsia="zh-CN"/>
        </w:rPr>
      </w:pPr>
      <w:r>
        <w:rPr>
          <w:rFonts w:hint="eastAsia" w:asciiTheme="minorEastAsia" w:hAnsiTheme="minorEastAsia" w:eastAsiaTheme="minorEastAsia" w:cstheme="minorEastAsia"/>
          <w:snapToGrid w:val="0"/>
          <w:sz w:val="24"/>
          <w:szCs w:val="24"/>
          <w:lang w:eastAsia="zh-CN"/>
        </w:rPr>
        <w:t>（7）其他要求：</w:t>
      </w:r>
      <w:r>
        <w:rPr>
          <w:rFonts w:hint="eastAsia" w:asciiTheme="minorEastAsia" w:hAnsiTheme="minorEastAsia" w:eastAsiaTheme="minorEastAsia" w:cstheme="minorEastAsia"/>
          <w:snapToGrid w:val="0"/>
          <w:sz w:val="24"/>
          <w:szCs w:val="24"/>
          <w:u w:val="single"/>
          <w:lang w:eastAsia="zh-CN"/>
        </w:rPr>
        <w:t>授权委托人需提供所在单位社保缴纳证明或以法人身份参与。</w:t>
      </w:r>
    </w:p>
    <w:p>
      <w:pPr>
        <w:spacing w:line="400" w:lineRule="exact"/>
        <w:ind w:firstLine="480" w:firstLineChars="2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3.2供应商不得存在下列情形之一：</w:t>
      </w:r>
    </w:p>
    <w:p>
      <w:pPr>
        <w:pStyle w:val="12"/>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（1）处于被责令停产停业、暂扣或者吊销执照、暂扣或者吊销许可证、吊销资质证书状态；</w:t>
      </w:r>
    </w:p>
    <w:p>
      <w:pPr>
        <w:pStyle w:val="12"/>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（2）进入清算程序，或被宣告破产，或其他丧失履约能力的情形；</w:t>
      </w:r>
    </w:p>
    <w:p>
      <w:pPr>
        <w:pStyle w:val="12"/>
        <w:spacing w:line="400" w:lineRule="exact"/>
        <w:ind w:firstLine="480" w:firstLineChars="200"/>
        <w:outlineLvl w:val="4"/>
        <w:rPr>
          <w:rFonts w:asciiTheme="minorEastAsia" w:hAnsiTheme="minorEastAsia" w:eastAsiaTheme="minorEastAsia" w:cstheme="minorEastAsia"/>
          <w:snapToGrid w:val="0"/>
          <w:sz w:val="24"/>
          <w:szCs w:val="24"/>
          <w:lang w:eastAsia="zh-CN"/>
        </w:rPr>
      </w:pPr>
      <w:bookmarkStart w:id="11" w:name="_Hlk95776019"/>
      <w:r>
        <w:rPr>
          <w:rFonts w:hint="eastAsia" w:asciiTheme="minorEastAsia" w:hAnsiTheme="minorEastAsia" w:eastAsiaTheme="minorEastAsia" w:cstheme="minorEastAsia"/>
          <w:snapToGrid w:val="0"/>
          <w:sz w:val="24"/>
          <w:szCs w:val="24"/>
          <w:lang w:eastAsia="zh-CN"/>
        </w:rPr>
        <w:t>（3）近三年内（202</w:t>
      </w:r>
      <w:r>
        <w:rPr>
          <w:rFonts w:asciiTheme="minorEastAsia" w:hAnsiTheme="minorEastAsia" w:eastAsiaTheme="minorEastAsia" w:cstheme="minorEastAsia"/>
          <w:snapToGrid w:val="0"/>
          <w:sz w:val="24"/>
          <w:szCs w:val="24"/>
          <w:lang w:eastAsia="zh-CN"/>
        </w:rPr>
        <w:t>1</w:t>
      </w:r>
      <w:r>
        <w:rPr>
          <w:rFonts w:hint="eastAsia" w:asciiTheme="minorEastAsia" w:hAnsiTheme="minorEastAsia" w:eastAsiaTheme="minorEastAsia" w:cstheme="minorEastAsia"/>
          <w:snapToGrid w:val="0"/>
          <w:sz w:val="24"/>
          <w:szCs w:val="24"/>
          <w:lang w:eastAsia="zh-CN"/>
        </w:rPr>
        <w:t>年1月1日至响应截止日期），被列入失信惩戒对象（供应商需提供通过“信用中国”网站查询的信用信息查询记录网页截图件并加盖供应商公章）；</w:t>
      </w:r>
    </w:p>
    <w:p>
      <w:pPr>
        <w:pStyle w:val="12"/>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（4）近三年内（202</w:t>
      </w:r>
      <w:r>
        <w:rPr>
          <w:rFonts w:asciiTheme="minorEastAsia" w:hAnsiTheme="minorEastAsia" w:eastAsiaTheme="minorEastAsia" w:cstheme="minorEastAsia"/>
          <w:snapToGrid w:val="0"/>
          <w:sz w:val="24"/>
          <w:szCs w:val="24"/>
          <w:lang w:eastAsia="zh-CN"/>
        </w:rPr>
        <w:t>1</w:t>
      </w:r>
      <w:r>
        <w:rPr>
          <w:rFonts w:hint="eastAsia" w:asciiTheme="minorEastAsia" w:hAnsiTheme="minorEastAsia" w:eastAsiaTheme="minorEastAsia" w:cstheme="minorEastAsia"/>
          <w:snapToGrid w:val="0"/>
          <w:sz w:val="24"/>
          <w:szCs w:val="24"/>
          <w:lang w:eastAsia="zh-CN"/>
        </w:rPr>
        <w:t>年1月1日至响应截止日期），有骗取中标（成交）和严重违约及重大质量、安全问题（供应商须提供无相关问题承诺书）；</w:t>
      </w:r>
    </w:p>
    <w:bookmarkEnd w:id="11"/>
    <w:p>
      <w:pPr>
        <w:pStyle w:val="12"/>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（4）其他：无。</w:t>
      </w:r>
    </w:p>
    <w:p>
      <w:pPr>
        <w:spacing w:line="400" w:lineRule="exact"/>
        <w:ind w:firstLine="480" w:firstLineChars="2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3.3本次采购是否接受联合体：</w:t>
      </w:r>
    </w:p>
    <w:p>
      <w:pPr>
        <w:spacing w:line="400" w:lineRule="exact"/>
        <w:ind w:firstLine="480" w:firstLineChars="2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□是</w:t>
      </w:r>
    </w:p>
    <w:p>
      <w:pPr>
        <w:spacing w:line="400" w:lineRule="exact"/>
        <w:ind w:firstLine="480" w:firstLineChars="2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☑否</w:t>
      </w:r>
    </w:p>
    <w:p>
      <w:pPr>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联合体的资格认定标准如下：</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(注：此部分应明确由同一专业或不同专业组成的联合体中各专业的资质、财务、业绩、信誉、主要人员等的认定方法，以最终认定联合体的资格。)</w:t>
      </w:r>
    </w:p>
    <w:p>
      <w:pPr>
        <w:spacing w:line="400" w:lineRule="exact"/>
        <w:ind w:firstLine="464" w:firstLineChars="200"/>
        <w:outlineLvl w:val="4"/>
        <w:rPr>
          <w:rFonts w:asciiTheme="minorEastAsia" w:hAnsiTheme="minorEastAsia" w:eastAsiaTheme="minorEastAsia" w:cstheme="minorEastAsia"/>
          <w:snapToGrid w:val="0"/>
          <w:spacing w:val="-4"/>
          <w:sz w:val="24"/>
          <w:szCs w:val="24"/>
          <w:lang w:eastAsia="zh-CN"/>
        </w:rPr>
      </w:pPr>
      <w:r>
        <w:rPr>
          <w:rFonts w:hint="eastAsia" w:asciiTheme="minorEastAsia" w:hAnsiTheme="minorEastAsia" w:eastAsiaTheme="minorEastAsia" w:cstheme="minorEastAsia"/>
          <w:snapToGrid w:val="0"/>
          <w:spacing w:val="-4"/>
          <w:sz w:val="24"/>
          <w:szCs w:val="24"/>
          <w:lang w:eastAsia="zh-CN"/>
        </w:rPr>
        <w:t>联合体应递交联合体协议书，且联合体各方不得再以自己名义单独或参加其他联合体参与本谈判采购项目，同时项目负责人任职单位必须为牵头单位，否则相关响应文件均无效。</w:t>
      </w:r>
    </w:p>
    <w:p>
      <w:pPr>
        <w:pStyle w:val="2"/>
        <w:rPr>
          <w:rFonts w:asciiTheme="minorEastAsia" w:hAnsiTheme="minorEastAsia" w:eastAsiaTheme="minorEastAsia" w:cstheme="minorEastAsia"/>
        </w:rPr>
      </w:pPr>
    </w:p>
    <w:p>
      <w:pPr>
        <w:pStyle w:val="6"/>
        <w:spacing w:line="400" w:lineRule="exact"/>
        <w:ind w:left="0" w:firstLine="482" w:firstLineChars="200"/>
        <w:rPr>
          <w:rFonts w:asciiTheme="minorEastAsia" w:hAnsiTheme="minorEastAsia" w:eastAsiaTheme="minorEastAsia" w:cstheme="minorEastAsia"/>
          <w:b/>
          <w:bCs/>
          <w:snapToGrid w:val="0"/>
          <w:sz w:val="24"/>
          <w:szCs w:val="24"/>
          <w:lang w:eastAsia="zh-CN"/>
        </w:rPr>
      </w:pPr>
      <w:bookmarkStart w:id="12" w:name="_Toc171584003"/>
      <w:r>
        <w:rPr>
          <w:rFonts w:hint="eastAsia" w:asciiTheme="minorEastAsia" w:hAnsiTheme="minorEastAsia" w:eastAsiaTheme="minorEastAsia" w:cstheme="minorEastAsia"/>
          <w:b/>
          <w:bCs/>
          <w:snapToGrid w:val="0"/>
          <w:sz w:val="24"/>
          <w:szCs w:val="24"/>
          <w:lang w:eastAsia="zh-CN"/>
        </w:rPr>
        <w:t>4.采购文件的获取</w:t>
      </w:r>
      <w:bookmarkEnd w:id="12"/>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4.1有意参加谈判采购活动的单位，需在</w:t>
      </w:r>
      <w:r>
        <w:rPr>
          <w:rFonts w:hint="eastAsia" w:asciiTheme="minorEastAsia" w:hAnsiTheme="minorEastAsia" w:eastAsiaTheme="minorEastAsia" w:cstheme="minorEastAsia"/>
          <w:b/>
          <w:snapToGrid w:val="0"/>
          <w:sz w:val="24"/>
          <w:szCs w:val="24"/>
          <w:u w:val="single"/>
          <w:lang w:eastAsia="zh-CN"/>
        </w:rPr>
        <w:t>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16</w:t>
      </w:r>
      <w:r>
        <w:rPr>
          <w:rFonts w:hint="eastAsia" w:asciiTheme="minorEastAsia" w:hAnsiTheme="minorEastAsia" w:eastAsiaTheme="minorEastAsia" w:cstheme="minorEastAsia"/>
          <w:b/>
          <w:snapToGrid w:val="0"/>
          <w:sz w:val="24"/>
          <w:szCs w:val="24"/>
          <w:u w:val="single"/>
          <w:lang w:eastAsia="zh-CN"/>
        </w:rPr>
        <w:t>日</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时</w:t>
      </w:r>
      <w:r>
        <w:rPr>
          <w:rFonts w:hint="eastAsia" w:asciiTheme="minorEastAsia" w:hAnsiTheme="minorEastAsia" w:eastAsiaTheme="minorEastAsia" w:cstheme="minorEastAsia"/>
          <w:b/>
          <w:snapToGrid w:val="0"/>
          <w:sz w:val="24"/>
          <w:szCs w:val="24"/>
          <w:u w:val="single"/>
          <w:lang w:val="en-US" w:eastAsia="zh-CN"/>
        </w:rPr>
        <w:t>00</w:t>
      </w:r>
      <w:r>
        <w:rPr>
          <w:rFonts w:hint="eastAsia" w:asciiTheme="minorEastAsia" w:hAnsiTheme="minorEastAsia" w:eastAsiaTheme="minorEastAsia" w:cstheme="minorEastAsia"/>
          <w:b/>
          <w:snapToGrid w:val="0"/>
          <w:sz w:val="24"/>
          <w:szCs w:val="24"/>
          <w:u w:val="single"/>
          <w:lang w:eastAsia="zh-CN"/>
        </w:rPr>
        <w:t>分</w:t>
      </w:r>
      <w:r>
        <w:rPr>
          <w:rFonts w:hint="eastAsia" w:asciiTheme="minorEastAsia" w:hAnsiTheme="minorEastAsia" w:eastAsiaTheme="minorEastAsia" w:cstheme="minorEastAsia"/>
          <w:snapToGrid w:val="0"/>
          <w:sz w:val="24"/>
          <w:szCs w:val="24"/>
          <w:lang w:eastAsia="zh-CN"/>
        </w:rPr>
        <w:t>前在中粮糖业EPS电子采购平台（网址https://eps.tunhe.com/Supplier/ForeSupplier/QwRegStepStart）完成注册报名；采购人组织资格审查合格后，供应商于</w:t>
      </w:r>
      <w:r>
        <w:rPr>
          <w:rFonts w:hint="eastAsia" w:asciiTheme="minorEastAsia" w:hAnsiTheme="minorEastAsia" w:eastAsiaTheme="minorEastAsia" w:cstheme="minorEastAsia"/>
          <w:b/>
          <w:snapToGrid w:val="0"/>
          <w:sz w:val="24"/>
          <w:szCs w:val="24"/>
          <w:u w:val="single"/>
          <w:lang w:eastAsia="zh-CN"/>
        </w:rPr>
        <w:t>22024年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16</w:t>
      </w:r>
      <w:r>
        <w:rPr>
          <w:rFonts w:hint="eastAsia" w:asciiTheme="minorEastAsia" w:hAnsiTheme="minorEastAsia" w:eastAsiaTheme="minorEastAsia" w:cstheme="minorEastAsia"/>
          <w:b/>
          <w:snapToGrid w:val="0"/>
          <w:sz w:val="24"/>
          <w:szCs w:val="24"/>
          <w:u w:val="single"/>
          <w:lang w:eastAsia="zh-CN"/>
        </w:rPr>
        <w:t>日</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时</w:t>
      </w:r>
      <w:r>
        <w:rPr>
          <w:rFonts w:hint="eastAsia" w:asciiTheme="minorEastAsia" w:hAnsiTheme="minorEastAsia" w:eastAsiaTheme="minorEastAsia" w:cstheme="minorEastAsia"/>
          <w:b/>
          <w:snapToGrid w:val="0"/>
          <w:sz w:val="24"/>
          <w:szCs w:val="24"/>
          <w:u w:val="single"/>
          <w:lang w:val="en-US" w:eastAsia="zh-CN"/>
        </w:rPr>
        <w:t>00</w:t>
      </w:r>
      <w:r>
        <w:rPr>
          <w:rFonts w:hint="eastAsia" w:asciiTheme="minorEastAsia" w:hAnsiTheme="minorEastAsia" w:eastAsiaTheme="minorEastAsia" w:cstheme="minorEastAsia"/>
          <w:b/>
          <w:snapToGrid w:val="0"/>
          <w:sz w:val="24"/>
          <w:szCs w:val="24"/>
          <w:u w:val="single"/>
          <w:lang w:eastAsia="zh-CN"/>
        </w:rPr>
        <w:t>分</w:t>
      </w:r>
      <w:r>
        <w:rPr>
          <w:rFonts w:hint="eastAsia" w:asciiTheme="minorEastAsia" w:hAnsiTheme="minorEastAsia" w:eastAsiaTheme="minorEastAsia" w:cstheme="minorEastAsia"/>
          <w:snapToGrid w:val="0"/>
          <w:sz w:val="24"/>
          <w:szCs w:val="24"/>
          <w:lang w:eastAsia="zh-CN"/>
        </w:rPr>
        <w:t>后通过中粮糖业EPS电子采购平台获取/购买采购文件。</w:t>
      </w:r>
    </w:p>
    <w:p>
      <w:pPr>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4.2采购文件每套售价</w:t>
      </w:r>
      <w:r>
        <w:rPr>
          <w:rFonts w:hint="eastAsia" w:asciiTheme="minorEastAsia" w:hAnsiTheme="minorEastAsia" w:eastAsiaTheme="minorEastAsia" w:cstheme="minorEastAsia"/>
          <w:snapToGrid w:val="0"/>
          <w:sz w:val="24"/>
          <w:szCs w:val="24"/>
          <w:u w:val="single"/>
          <w:lang w:eastAsia="zh-CN"/>
        </w:rPr>
        <w:t xml:space="preserve"> 0</w:t>
      </w:r>
      <w:r>
        <w:rPr>
          <w:rFonts w:asciiTheme="minorEastAsia" w:hAnsiTheme="minorEastAsia" w:eastAsiaTheme="minorEastAsia" w:cstheme="minorEastAsia"/>
          <w:snapToGrid w:val="0"/>
          <w:sz w:val="24"/>
          <w:szCs w:val="24"/>
          <w:u w:val="single"/>
          <w:lang w:eastAsia="zh-CN"/>
        </w:rPr>
        <w:t xml:space="preserve"> </w:t>
      </w:r>
      <w:r>
        <w:rPr>
          <w:rFonts w:hint="eastAsia" w:asciiTheme="minorEastAsia" w:hAnsiTheme="minorEastAsia" w:eastAsiaTheme="minorEastAsia" w:cstheme="minorEastAsia"/>
          <w:snapToGrid w:val="0"/>
          <w:sz w:val="24"/>
          <w:szCs w:val="24"/>
          <w:lang w:eastAsia="zh-CN"/>
        </w:rPr>
        <w:t>元，售后不退。</w:t>
      </w:r>
    </w:p>
    <w:p>
      <w:pPr>
        <w:spacing w:line="400" w:lineRule="exact"/>
        <w:rPr>
          <w:rFonts w:asciiTheme="minorEastAsia" w:hAnsiTheme="minorEastAsia" w:eastAsiaTheme="minorEastAsia" w:cstheme="minorEastAsia"/>
          <w:lang w:eastAsia="zh-CN"/>
        </w:rPr>
      </w:pPr>
    </w:p>
    <w:p>
      <w:pPr>
        <w:spacing w:line="400" w:lineRule="exact"/>
        <w:ind w:firstLine="482"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b/>
          <w:bCs/>
          <w:snapToGrid w:val="0"/>
          <w:sz w:val="24"/>
          <w:szCs w:val="24"/>
          <w:lang w:eastAsia="zh-CN"/>
        </w:rPr>
        <w:t>5.响应保证金：</w:t>
      </w:r>
      <w:r>
        <w:rPr>
          <w:rFonts w:hint="eastAsia" w:asciiTheme="minorEastAsia" w:hAnsiTheme="minorEastAsia" w:eastAsiaTheme="minorEastAsia" w:cstheme="minorEastAsia"/>
          <w:snapToGrid w:val="0"/>
          <w:sz w:val="24"/>
          <w:szCs w:val="24"/>
          <w:lang w:eastAsia="zh-CN"/>
        </w:rPr>
        <w:t>详见供应商须知前附表</w:t>
      </w:r>
      <w:r>
        <w:rPr>
          <w:rFonts w:hint="eastAsia" w:asciiTheme="minorEastAsia" w:hAnsiTheme="minorEastAsia" w:eastAsiaTheme="minorEastAsia" w:cstheme="minorEastAsia"/>
          <w:snapToGrid w:val="0"/>
          <w:sz w:val="21"/>
          <w:szCs w:val="21"/>
          <w:lang w:eastAsia="zh-CN"/>
        </w:rPr>
        <w:t>3.4.1</w:t>
      </w:r>
      <w:r>
        <w:rPr>
          <w:rFonts w:hint="eastAsia" w:asciiTheme="minorEastAsia" w:hAnsiTheme="minorEastAsia" w:eastAsiaTheme="minorEastAsia" w:cstheme="minorEastAsia"/>
          <w:snapToGrid w:val="0"/>
          <w:sz w:val="24"/>
          <w:szCs w:val="24"/>
          <w:lang w:eastAsia="zh-CN"/>
        </w:rPr>
        <w:t>。</w:t>
      </w:r>
    </w:p>
    <w:p>
      <w:pPr>
        <w:pStyle w:val="2"/>
      </w:pPr>
    </w:p>
    <w:p>
      <w:pPr>
        <w:pStyle w:val="6"/>
        <w:spacing w:line="400" w:lineRule="exact"/>
        <w:ind w:left="0" w:firstLine="482" w:firstLineChars="200"/>
        <w:rPr>
          <w:rFonts w:asciiTheme="minorEastAsia" w:hAnsiTheme="minorEastAsia" w:eastAsiaTheme="minorEastAsia" w:cstheme="minorEastAsia"/>
          <w:b/>
          <w:bCs/>
          <w:snapToGrid w:val="0"/>
          <w:sz w:val="24"/>
          <w:szCs w:val="24"/>
          <w:lang w:eastAsia="zh-CN"/>
        </w:rPr>
      </w:pPr>
      <w:bookmarkStart w:id="13" w:name="_Toc171584004"/>
      <w:r>
        <w:rPr>
          <w:rFonts w:hint="eastAsia" w:asciiTheme="minorEastAsia" w:hAnsiTheme="minorEastAsia" w:eastAsiaTheme="minorEastAsia" w:cstheme="minorEastAsia"/>
          <w:b/>
          <w:bCs/>
          <w:snapToGrid w:val="0"/>
          <w:sz w:val="24"/>
          <w:szCs w:val="24"/>
          <w:lang w:eastAsia="zh-CN"/>
        </w:rPr>
        <w:t>6.响应文件的上传</w:t>
      </w:r>
      <w:bookmarkEnd w:id="13"/>
    </w:p>
    <w:p>
      <w:pPr>
        <w:spacing w:line="400" w:lineRule="exact"/>
        <w:ind w:firstLine="480" w:firstLineChars="200"/>
        <w:outlineLvl w:val="4"/>
        <w:rPr>
          <w:rFonts w:asciiTheme="minorEastAsia" w:hAnsiTheme="minorEastAsia" w:eastAsiaTheme="minorEastAsia" w:cstheme="minorEastAsia"/>
          <w:snapToGrid w:val="0"/>
          <w:sz w:val="24"/>
          <w:szCs w:val="24"/>
          <w:u w:val="single"/>
          <w:lang w:eastAsia="zh-CN"/>
        </w:rPr>
      </w:pPr>
      <w:r>
        <w:rPr>
          <w:rFonts w:hint="eastAsia" w:asciiTheme="minorEastAsia" w:hAnsiTheme="minorEastAsia" w:eastAsiaTheme="minorEastAsia" w:cstheme="minorEastAsia"/>
          <w:snapToGrid w:val="0"/>
          <w:sz w:val="24"/>
          <w:szCs w:val="24"/>
          <w:lang w:eastAsia="zh-CN"/>
        </w:rPr>
        <w:t>6.1响应文件上传的截止时间为</w:t>
      </w:r>
      <w:r>
        <w:rPr>
          <w:rFonts w:hint="eastAsia" w:asciiTheme="minorEastAsia" w:hAnsiTheme="minorEastAsia" w:eastAsiaTheme="minorEastAsia" w:cstheme="minorEastAsia"/>
          <w:b/>
          <w:snapToGrid w:val="0"/>
          <w:sz w:val="24"/>
          <w:szCs w:val="24"/>
          <w:u w:val="single"/>
          <w:lang w:eastAsia="zh-CN"/>
        </w:rPr>
        <w:t>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19</w:t>
      </w:r>
      <w:r>
        <w:rPr>
          <w:rFonts w:hint="eastAsia" w:asciiTheme="minorEastAsia" w:hAnsiTheme="minorEastAsia" w:eastAsiaTheme="minorEastAsia" w:cstheme="minorEastAsia"/>
          <w:b/>
          <w:snapToGrid w:val="0"/>
          <w:sz w:val="24"/>
          <w:szCs w:val="24"/>
          <w:u w:val="single"/>
          <w:lang w:eastAsia="zh-CN"/>
        </w:rPr>
        <w:t>日</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时</w:t>
      </w:r>
      <w:r>
        <w:rPr>
          <w:rFonts w:hint="eastAsia" w:asciiTheme="minorEastAsia" w:hAnsiTheme="minorEastAsia" w:eastAsiaTheme="minorEastAsia" w:cstheme="minorEastAsia"/>
          <w:b/>
          <w:snapToGrid w:val="0"/>
          <w:sz w:val="24"/>
          <w:szCs w:val="24"/>
          <w:u w:val="single"/>
          <w:lang w:val="en-US" w:eastAsia="zh-CN"/>
        </w:rPr>
        <w:t>00</w:t>
      </w:r>
      <w:r>
        <w:rPr>
          <w:rFonts w:hint="eastAsia" w:asciiTheme="minorEastAsia" w:hAnsiTheme="minorEastAsia" w:eastAsiaTheme="minorEastAsia" w:cstheme="minorEastAsia"/>
          <w:b/>
          <w:snapToGrid w:val="0"/>
          <w:sz w:val="24"/>
          <w:szCs w:val="24"/>
          <w:u w:val="single"/>
          <w:lang w:eastAsia="zh-CN"/>
        </w:rPr>
        <w:t>分</w:t>
      </w:r>
      <w:r>
        <w:rPr>
          <w:rFonts w:hint="eastAsia" w:asciiTheme="minorEastAsia" w:hAnsiTheme="minorEastAsia" w:eastAsiaTheme="minorEastAsia" w:cstheme="minorEastAsia"/>
          <w:snapToGrid w:val="0"/>
          <w:sz w:val="24"/>
          <w:szCs w:val="24"/>
          <w:lang w:eastAsia="zh-CN"/>
        </w:rPr>
        <w:t>，上传至中粮糖业EPS电子采购平台。</w:t>
      </w:r>
    </w:p>
    <w:p>
      <w:pPr>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6.2逾期未上传至中粮糖业EPS电子采购平台的响应文件，采购人将拒绝接收。</w:t>
      </w:r>
    </w:p>
    <w:p>
      <w:pPr>
        <w:spacing w:line="400" w:lineRule="exact"/>
        <w:ind w:firstLine="440" w:firstLineChars="200"/>
        <w:rPr>
          <w:rFonts w:asciiTheme="minorEastAsia" w:hAnsiTheme="minorEastAsia" w:eastAsiaTheme="minorEastAsia" w:cstheme="minorEastAsia"/>
          <w:lang w:eastAsia="zh-CN"/>
        </w:rPr>
      </w:pPr>
    </w:p>
    <w:p>
      <w:pPr>
        <w:pStyle w:val="6"/>
        <w:spacing w:line="400" w:lineRule="exact"/>
        <w:ind w:left="0" w:firstLine="482" w:firstLineChars="200"/>
        <w:rPr>
          <w:rFonts w:asciiTheme="minorEastAsia" w:hAnsiTheme="minorEastAsia" w:eastAsiaTheme="minorEastAsia" w:cstheme="minorEastAsia"/>
          <w:b/>
          <w:bCs/>
          <w:snapToGrid w:val="0"/>
          <w:sz w:val="24"/>
          <w:szCs w:val="24"/>
          <w:lang w:eastAsia="zh-CN"/>
        </w:rPr>
      </w:pPr>
      <w:bookmarkStart w:id="14" w:name="_Toc171584005"/>
      <w:r>
        <w:rPr>
          <w:rFonts w:hint="eastAsia" w:asciiTheme="minorEastAsia" w:hAnsiTheme="minorEastAsia" w:eastAsiaTheme="minorEastAsia" w:cstheme="minorEastAsia"/>
          <w:b/>
          <w:bCs/>
          <w:snapToGrid w:val="0"/>
          <w:sz w:val="24"/>
          <w:szCs w:val="24"/>
          <w:lang w:eastAsia="zh-CN"/>
        </w:rPr>
        <w:t>7.响应文件的开启</w:t>
      </w:r>
      <w:bookmarkEnd w:id="14"/>
    </w:p>
    <w:p>
      <w:pPr>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开启地点：中粮糖业EPS电子采购平台（https://eps.tunhe.com/Supplier/ForeSupplier/QwRegStepStart）网上开启响应文件</w:t>
      </w:r>
    </w:p>
    <w:p>
      <w:pPr>
        <w:spacing w:line="400" w:lineRule="exact"/>
        <w:ind w:firstLine="480" w:firstLineChars="2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开启时间：</w:t>
      </w:r>
      <w:r>
        <w:rPr>
          <w:rFonts w:hint="eastAsia" w:asciiTheme="minorEastAsia" w:hAnsiTheme="minorEastAsia" w:eastAsiaTheme="minorEastAsia" w:cstheme="minorEastAsia"/>
          <w:b/>
          <w:snapToGrid w:val="0"/>
          <w:sz w:val="24"/>
          <w:szCs w:val="24"/>
          <w:u w:val="single"/>
          <w:lang w:eastAsia="zh-CN"/>
        </w:rPr>
        <w:t>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19</w:t>
      </w:r>
      <w:r>
        <w:rPr>
          <w:rFonts w:hint="eastAsia" w:asciiTheme="minorEastAsia" w:hAnsiTheme="minorEastAsia" w:eastAsiaTheme="minorEastAsia" w:cstheme="minorEastAsia"/>
          <w:b/>
          <w:snapToGrid w:val="0"/>
          <w:sz w:val="24"/>
          <w:szCs w:val="24"/>
          <w:u w:val="single"/>
          <w:lang w:eastAsia="zh-CN"/>
        </w:rPr>
        <w:t>日</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时</w:t>
      </w:r>
      <w:r>
        <w:rPr>
          <w:rFonts w:hint="eastAsia" w:asciiTheme="minorEastAsia" w:hAnsiTheme="minorEastAsia" w:eastAsiaTheme="minorEastAsia" w:cstheme="minorEastAsia"/>
          <w:b/>
          <w:snapToGrid w:val="0"/>
          <w:sz w:val="24"/>
          <w:szCs w:val="24"/>
          <w:u w:val="single"/>
          <w:lang w:val="en-US" w:eastAsia="zh-CN"/>
        </w:rPr>
        <w:t>00</w:t>
      </w:r>
      <w:r>
        <w:rPr>
          <w:rFonts w:hint="eastAsia" w:asciiTheme="minorEastAsia" w:hAnsiTheme="minorEastAsia" w:eastAsiaTheme="minorEastAsia" w:cstheme="minorEastAsia"/>
          <w:b/>
          <w:snapToGrid w:val="0"/>
          <w:sz w:val="24"/>
          <w:szCs w:val="24"/>
          <w:u w:val="single"/>
          <w:lang w:eastAsia="zh-CN"/>
        </w:rPr>
        <w:t>分</w:t>
      </w:r>
      <w:r>
        <w:rPr>
          <w:rFonts w:hint="eastAsia" w:asciiTheme="minorEastAsia" w:hAnsiTheme="minorEastAsia" w:eastAsiaTheme="minorEastAsia" w:cstheme="minorEastAsia"/>
          <w:snapToGrid w:val="0"/>
          <w:sz w:val="24"/>
          <w:szCs w:val="24"/>
          <w:lang w:eastAsia="zh-CN"/>
        </w:rPr>
        <w:t>。</w:t>
      </w:r>
    </w:p>
    <w:p>
      <w:pPr>
        <w:spacing w:line="400" w:lineRule="exact"/>
        <w:ind w:firstLine="480" w:firstLineChars="200"/>
        <w:outlineLvl w:val="4"/>
        <w:rPr>
          <w:rFonts w:asciiTheme="minorEastAsia" w:hAnsiTheme="minorEastAsia" w:eastAsiaTheme="minorEastAsia" w:cstheme="minorEastAsia"/>
          <w:snapToGrid w:val="0"/>
          <w:sz w:val="24"/>
          <w:szCs w:val="24"/>
          <w:lang w:eastAsia="zh-CN"/>
        </w:rPr>
      </w:pPr>
    </w:p>
    <w:p>
      <w:pPr>
        <w:pStyle w:val="6"/>
        <w:spacing w:line="400" w:lineRule="exact"/>
        <w:ind w:left="0" w:firstLine="482" w:firstLineChars="200"/>
        <w:rPr>
          <w:rFonts w:asciiTheme="minorEastAsia" w:hAnsiTheme="minorEastAsia" w:eastAsiaTheme="minorEastAsia" w:cstheme="minorEastAsia"/>
          <w:b/>
          <w:bCs/>
          <w:snapToGrid w:val="0"/>
          <w:sz w:val="24"/>
          <w:szCs w:val="24"/>
          <w:lang w:eastAsia="zh-CN"/>
        </w:rPr>
      </w:pPr>
      <w:bookmarkStart w:id="15" w:name="_Toc171584006"/>
      <w:r>
        <w:rPr>
          <w:rFonts w:hint="eastAsia" w:asciiTheme="minorEastAsia" w:hAnsiTheme="minorEastAsia" w:eastAsiaTheme="minorEastAsia" w:cstheme="minorEastAsia"/>
          <w:b/>
          <w:bCs/>
          <w:snapToGrid w:val="0"/>
          <w:sz w:val="24"/>
          <w:szCs w:val="24"/>
          <w:lang w:eastAsia="zh-CN"/>
        </w:rPr>
        <w:t>8.谈判时间和地点</w:t>
      </w:r>
      <w:bookmarkEnd w:id="15"/>
    </w:p>
    <w:p>
      <w:pPr>
        <w:adjustRightInd w:val="0"/>
        <w:snapToGrid w:val="0"/>
        <w:spacing w:line="360" w:lineRule="auto"/>
        <w:ind w:firstLine="440" w:firstLineChars="200"/>
        <w:rPr>
          <w:rFonts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lang w:eastAsia="zh-CN"/>
        </w:rPr>
        <w:t>上传响应文件的供应商应委派代表准时参加采购活动，谈判开始时间预计为</w:t>
      </w:r>
      <w:r>
        <w:rPr>
          <w:rFonts w:hint="eastAsia" w:asciiTheme="minorEastAsia" w:hAnsiTheme="minorEastAsia" w:eastAsiaTheme="minorEastAsia" w:cstheme="minorEastAsia"/>
          <w:b/>
          <w:snapToGrid w:val="0"/>
          <w:sz w:val="24"/>
          <w:szCs w:val="24"/>
          <w:u w:val="single"/>
          <w:lang w:eastAsia="zh-CN"/>
        </w:rPr>
        <w:t>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19</w:t>
      </w:r>
      <w:r>
        <w:rPr>
          <w:rFonts w:hint="eastAsia" w:asciiTheme="minorEastAsia" w:hAnsiTheme="minorEastAsia" w:eastAsiaTheme="minorEastAsia" w:cstheme="minorEastAsia"/>
          <w:b/>
          <w:snapToGrid w:val="0"/>
          <w:sz w:val="24"/>
          <w:szCs w:val="24"/>
          <w:u w:val="single"/>
          <w:lang w:eastAsia="zh-CN"/>
        </w:rPr>
        <w:t>日</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时</w:t>
      </w:r>
      <w:r>
        <w:rPr>
          <w:rFonts w:hint="eastAsia" w:asciiTheme="minorEastAsia" w:hAnsiTheme="minorEastAsia" w:eastAsiaTheme="minorEastAsia" w:cstheme="minorEastAsia"/>
          <w:b/>
          <w:snapToGrid w:val="0"/>
          <w:sz w:val="24"/>
          <w:szCs w:val="24"/>
          <w:u w:val="single"/>
          <w:lang w:val="en-US" w:eastAsia="zh-CN"/>
        </w:rPr>
        <w:t>00</w:t>
      </w:r>
      <w:r>
        <w:rPr>
          <w:rFonts w:hint="eastAsia" w:asciiTheme="minorEastAsia" w:hAnsiTheme="minorEastAsia" w:eastAsiaTheme="minorEastAsia" w:cstheme="minorEastAsia"/>
          <w:b/>
          <w:snapToGrid w:val="0"/>
          <w:sz w:val="24"/>
          <w:szCs w:val="24"/>
          <w:u w:val="single"/>
          <w:lang w:eastAsia="zh-CN"/>
        </w:rPr>
        <w:t>分</w:t>
      </w:r>
      <w:r>
        <w:rPr>
          <w:rFonts w:hint="eastAsia" w:asciiTheme="minorEastAsia" w:hAnsiTheme="minorEastAsia" w:eastAsiaTheme="minorEastAsia" w:cstheme="minorEastAsia"/>
          <w:snapToGrid w:val="0"/>
          <w:lang w:eastAsia="zh-CN"/>
        </w:rPr>
        <w:t>，与每一供应商进行谈判，谈判地点为</w:t>
      </w:r>
      <w:r>
        <w:rPr>
          <w:rFonts w:hint="eastAsia" w:asciiTheme="minorEastAsia" w:hAnsiTheme="minorEastAsia" w:eastAsiaTheme="minorEastAsia" w:cstheme="minorEastAsia"/>
          <w:snapToGrid w:val="0"/>
          <w:u w:val="single"/>
          <w:lang w:eastAsia="zh-CN"/>
        </w:rPr>
        <w:t>中粮北海糖业有限公司会议室</w:t>
      </w:r>
      <w:r>
        <w:rPr>
          <w:rFonts w:hint="eastAsia" w:asciiTheme="minorEastAsia" w:hAnsiTheme="minorEastAsia" w:eastAsiaTheme="minorEastAsia" w:cstheme="minorEastAsia"/>
          <w:snapToGrid w:val="0"/>
          <w:lang w:eastAsia="zh-CN"/>
        </w:rPr>
        <w:t>（如有变动，另行通知）。</w:t>
      </w:r>
    </w:p>
    <w:p>
      <w:pPr>
        <w:pStyle w:val="2"/>
      </w:pPr>
    </w:p>
    <w:p>
      <w:pPr>
        <w:pStyle w:val="6"/>
        <w:spacing w:line="400" w:lineRule="exact"/>
        <w:ind w:left="0" w:firstLine="482" w:firstLineChars="200"/>
        <w:rPr>
          <w:rFonts w:asciiTheme="minorEastAsia" w:hAnsiTheme="minorEastAsia" w:eastAsiaTheme="minorEastAsia" w:cstheme="minorEastAsia"/>
          <w:b/>
          <w:bCs/>
          <w:snapToGrid w:val="0"/>
          <w:sz w:val="24"/>
          <w:szCs w:val="24"/>
          <w:lang w:eastAsia="zh-CN"/>
        </w:rPr>
      </w:pPr>
      <w:bookmarkStart w:id="16" w:name="_Toc1009"/>
      <w:r>
        <w:rPr>
          <w:rFonts w:hint="eastAsia" w:asciiTheme="minorEastAsia" w:hAnsiTheme="minorEastAsia" w:eastAsiaTheme="minorEastAsia" w:cstheme="minorEastAsia"/>
          <w:b/>
          <w:bCs/>
          <w:snapToGrid w:val="0"/>
          <w:sz w:val="24"/>
          <w:szCs w:val="24"/>
          <w:lang w:eastAsia="zh-CN"/>
        </w:rPr>
        <w:t>9</w:t>
      </w:r>
      <w:bookmarkEnd w:id="16"/>
      <w:r>
        <w:rPr>
          <w:rFonts w:hint="eastAsia" w:asciiTheme="minorEastAsia" w:hAnsiTheme="minorEastAsia" w:eastAsiaTheme="minorEastAsia" w:cstheme="minorEastAsia"/>
          <w:b/>
          <w:bCs/>
          <w:snapToGrid w:val="0"/>
          <w:sz w:val="24"/>
          <w:szCs w:val="24"/>
          <w:lang w:eastAsia="zh-CN"/>
        </w:rPr>
        <w:t>.信访举报电话及举报范围</w:t>
      </w:r>
    </w:p>
    <w:p>
      <w:pPr>
        <w:adjustRightInd w:val="0"/>
        <w:snapToGrid w:val="0"/>
        <w:spacing w:line="360" w:lineRule="auto"/>
        <w:ind w:firstLine="440" w:firstLineChars="200"/>
        <w:rPr>
          <w:rFonts w:hint="eastAsia"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lang w:eastAsia="zh-CN"/>
        </w:rPr>
        <w:t>1.信访举报电话：010-85017235。</w:t>
      </w:r>
    </w:p>
    <w:p>
      <w:pPr>
        <w:adjustRightInd w:val="0"/>
        <w:snapToGrid w:val="0"/>
        <w:spacing w:line="360" w:lineRule="auto"/>
        <w:ind w:firstLine="440" w:firstLineChars="200"/>
        <w:rPr>
          <w:rFonts w:hint="eastAsia"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lang w:eastAsia="zh-CN"/>
        </w:rPr>
        <w:t>2.举报范围：招投标活动过程中涉嫌贪污贿赂、滥用职权、玩忽职守、权力寻租、利益输送、徇私舞弊以及浪费国家资财等问题的检举控告。</w:t>
      </w:r>
    </w:p>
    <w:p>
      <w:pPr>
        <w:adjustRightInd w:val="0"/>
        <w:snapToGrid w:val="0"/>
        <w:spacing w:line="360" w:lineRule="auto"/>
        <w:ind w:firstLine="440" w:firstLineChars="200"/>
        <w:rPr>
          <w:rFonts w:hint="eastAsia"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lang w:eastAsia="zh-CN"/>
        </w:rPr>
        <w:t xml:space="preserve">          </w:t>
      </w:r>
    </w:p>
    <w:p>
      <w:pPr>
        <w:pStyle w:val="6"/>
        <w:spacing w:line="400" w:lineRule="exact"/>
        <w:ind w:left="0" w:firstLine="482" w:firstLineChars="200"/>
        <w:rPr>
          <w:rFonts w:asciiTheme="minorEastAsia" w:hAnsiTheme="minorEastAsia" w:eastAsiaTheme="minorEastAsia" w:cstheme="minorEastAsia"/>
          <w:b/>
          <w:bCs/>
          <w:snapToGrid w:val="0"/>
          <w:sz w:val="24"/>
          <w:szCs w:val="24"/>
          <w:lang w:eastAsia="zh-CN"/>
        </w:rPr>
      </w:pPr>
      <w:bookmarkStart w:id="17" w:name="_Toc171584008"/>
      <w:r>
        <w:rPr>
          <w:rFonts w:hint="eastAsia" w:asciiTheme="minorEastAsia" w:hAnsiTheme="minorEastAsia" w:eastAsiaTheme="minorEastAsia" w:cstheme="minorEastAsia"/>
          <w:b/>
          <w:bCs/>
          <w:snapToGrid w:val="0"/>
          <w:sz w:val="24"/>
          <w:szCs w:val="24"/>
          <w:lang w:eastAsia="zh-CN"/>
        </w:rPr>
        <w:t>10.其他</w:t>
      </w:r>
      <w:bookmarkEnd w:id="17"/>
    </w:p>
    <w:p>
      <w:pPr>
        <w:spacing w:line="400" w:lineRule="exact"/>
        <w:rPr>
          <w:rFonts w:asciiTheme="minorEastAsia" w:hAnsiTheme="minorEastAsia" w:eastAsiaTheme="minorEastAsia" w:cstheme="minorEastAsia"/>
          <w:b/>
          <w:snapToGrid w:val="0"/>
          <w:sz w:val="24"/>
          <w:szCs w:val="24"/>
          <w:lang w:eastAsia="zh-CN"/>
        </w:rPr>
      </w:pPr>
      <w:r>
        <w:rPr>
          <w:rFonts w:hint="eastAsia" w:asciiTheme="minorEastAsia" w:hAnsiTheme="minorEastAsia" w:eastAsiaTheme="minorEastAsia" w:cstheme="minorEastAsia"/>
          <w:b/>
          <w:snapToGrid w:val="0"/>
          <w:sz w:val="24"/>
          <w:szCs w:val="24"/>
          <w:lang w:eastAsia="zh-CN"/>
        </w:rPr>
        <w:t>供应商需同时在中粮糖业EPS电子采购平台（网址：</w:t>
      </w:r>
      <w:r>
        <w:rPr>
          <w:rFonts w:hint="eastAsia" w:asciiTheme="minorEastAsia" w:hAnsiTheme="minorEastAsia" w:eastAsiaTheme="minorEastAsia" w:cstheme="minorEastAsia"/>
          <w:b/>
          <w:snapToGrid w:val="0"/>
          <w:spacing w:val="-6"/>
          <w:sz w:val="24"/>
          <w:szCs w:val="24"/>
          <w:lang w:eastAsia="zh-CN"/>
        </w:rPr>
        <w:t>https://eps.tunhe.com/Supplier/ForeSupplier/QwRegStepStart）中，按项目明细填写报价。</w:t>
      </w:r>
    </w:p>
    <w:p>
      <w:pPr>
        <w:spacing w:line="400" w:lineRule="exact"/>
        <w:ind w:firstLine="480" w:firstLineChars="2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（注：可根据项目情况简述采购项目评审方法等其他需要说明的内容。）</w:t>
      </w:r>
    </w:p>
    <w:p>
      <w:pPr>
        <w:spacing w:line="400" w:lineRule="exact"/>
        <w:ind w:firstLine="440" w:firstLineChars="200"/>
        <w:rPr>
          <w:rFonts w:asciiTheme="minorEastAsia" w:hAnsiTheme="minorEastAsia" w:eastAsiaTheme="minorEastAsia" w:cstheme="minorEastAsia"/>
        </w:rPr>
      </w:pPr>
    </w:p>
    <w:p>
      <w:pPr>
        <w:pStyle w:val="6"/>
        <w:spacing w:line="400" w:lineRule="exact"/>
        <w:ind w:left="0" w:firstLine="482" w:firstLineChars="200"/>
        <w:rPr>
          <w:rFonts w:asciiTheme="minorEastAsia" w:hAnsiTheme="minorEastAsia" w:eastAsiaTheme="minorEastAsia" w:cstheme="minorEastAsia"/>
          <w:b/>
          <w:bCs/>
          <w:snapToGrid w:val="0"/>
          <w:sz w:val="24"/>
          <w:szCs w:val="24"/>
          <w:lang w:eastAsia="zh-CN"/>
        </w:rPr>
      </w:pPr>
      <w:bookmarkStart w:id="18" w:name="_Toc171584009"/>
      <w:r>
        <w:rPr>
          <w:rFonts w:hint="eastAsia" w:asciiTheme="minorEastAsia" w:hAnsiTheme="minorEastAsia" w:eastAsiaTheme="minorEastAsia" w:cstheme="minorEastAsia"/>
          <w:b/>
          <w:bCs/>
          <w:snapToGrid w:val="0"/>
          <w:sz w:val="24"/>
          <w:szCs w:val="24"/>
          <w:lang w:eastAsia="zh-CN"/>
        </w:rPr>
        <w:t>11.联系方式</w:t>
      </w:r>
      <w:bookmarkEnd w:id="18"/>
    </w:p>
    <w:tbl>
      <w:tblPr>
        <w:tblStyle w:val="31"/>
        <w:tblW w:w="6123" w:type="dxa"/>
        <w:jc w:val="center"/>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jc w:val="center"/>
        </w:trPr>
        <w:tc>
          <w:tcPr>
            <w:tcW w:w="6123" w:type="dxa"/>
            <w:vAlign w:val="center"/>
          </w:tcPr>
          <w:p>
            <w:pPr>
              <w:adjustRightInd w:val="0"/>
              <w:snapToGrid w:val="0"/>
              <w:spacing w:line="276"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采购人：中粮北海糖业有限公司</w:t>
            </w:r>
          </w:p>
        </w:tc>
      </w:tr>
      <w:tr>
        <w:tblPrEx>
          <w:tblCellMar>
            <w:top w:w="0" w:type="dxa"/>
            <w:left w:w="108" w:type="dxa"/>
            <w:bottom w:w="0" w:type="dxa"/>
            <w:right w:w="108" w:type="dxa"/>
          </w:tblCellMar>
        </w:tblPrEx>
        <w:trPr>
          <w:trHeight w:val="454" w:hRule="atLeast"/>
          <w:jc w:val="center"/>
        </w:trPr>
        <w:tc>
          <w:tcPr>
            <w:tcW w:w="6123" w:type="dxa"/>
            <w:vAlign w:val="center"/>
          </w:tcPr>
          <w:p>
            <w:pPr>
              <w:adjustRightInd w:val="0"/>
              <w:snapToGrid w:val="0"/>
              <w:spacing w:line="276"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联系人：郭小春（商务）梁</w:t>
            </w:r>
            <w:r>
              <w:rPr>
                <w:rFonts w:asciiTheme="minorEastAsia" w:hAnsiTheme="minorEastAsia" w:eastAsiaTheme="minorEastAsia" w:cstheme="minorEastAsia"/>
                <w:snapToGrid w:val="0"/>
                <w:sz w:val="24"/>
                <w:szCs w:val="24"/>
                <w:lang w:eastAsia="zh-CN"/>
              </w:rPr>
              <w:t>源</w:t>
            </w:r>
            <w:r>
              <w:rPr>
                <w:rFonts w:hint="eastAsia" w:asciiTheme="minorEastAsia" w:hAnsiTheme="minorEastAsia" w:eastAsiaTheme="minorEastAsia" w:cstheme="minorEastAsia"/>
                <w:snapToGrid w:val="0"/>
                <w:sz w:val="24"/>
                <w:szCs w:val="24"/>
                <w:lang w:eastAsia="zh-CN"/>
              </w:rPr>
              <w:t>（项目负责人）</w:t>
            </w:r>
          </w:p>
        </w:tc>
      </w:tr>
      <w:tr>
        <w:tblPrEx>
          <w:tblCellMar>
            <w:top w:w="0" w:type="dxa"/>
            <w:left w:w="108" w:type="dxa"/>
            <w:bottom w:w="0" w:type="dxa"/>
            <w:right w:w="108" w:type="dxa"/>
          </w:tblCellMar>
        </w:tblPrEx>
        <w:trPr>
          <w:trHeight w:val="454" w:hRule="atLeast"/>
          <w:jc w:val="center"/>
        </w:trPr>
        <w:tc>
          <w:tcPr>
            <w:tcW w:w="6123" w:type="dxa"/>
            <w:vAlign w:val="center"/>
          </w:tcPr>
          <w:p>
            <w:pPr>
              <w:adjustRightInd w:val="0"/>
              <w:snapToGrid w:val="0"/>
              <w:spacing w:line="276"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电话：13977906419，1</w:t>
            </w:r>
            <w:r>
              <w:rPr>
                <w:rFonts w:asciiTheme="minorEastAsia" w:hAnsiTheme="minorEastAsia" w:eastAsiaTheme="minorEastAsia" w:cstheme="minorEastAsia"/>
                <w:snapToGrid w:val="0"/>
                <w:sz w:val="24"/>
                <w:szCs w:val="24"/>
                <w:lang w:eastAsia="zh-CN"/>
              </w:rPr>
              <w:t>3558492340</w:t>
            </w:r>
          </w:p>
        </w:tc>
      </w:tr>
      <w:tr>
        <w:tblPrEx>
          <w:tblCellMar>
            <w:top w:w="0" w:type="dxa"/>
            <w:left w:w="108" w:type="dxa"/>
            <w:bottom w:w="0" w:type="dxa"/>
            <w:right w:w="108" w:type="dxa"/>
          </w:tblCellMar>
        </w:tblPrEx>
        <w:trPr>
          <w:trHeight w:val="454" w:hRule="atLeast"/>
          <w:jc w:val="center"/>
        </w:trPr>
        <w:tc>
          <w:tcPr>
            <w:tcW w:w="6123" w:type="dxa"/>
            <w:vAlign w:val="center"/>
          </w:tcPr>
          <w:p>
            <w:pPr>
              <w:adjustRightInd w:val="0"/>
              <w:snapToGrid w:val="0"/>
              <w:spacing w:line="276" w:lineRule="auto"/>
              <w:rPr>
                <w:rFonts w:asciiTheme="minorEastAsia" w:hAnsiTheme="minorEastAsia" w:eastAsiaTheme="minorEastAsia" w:cstheme="minorEastAsia"/>
                <w:snapToGrid w:val="0"/>
                <w:sz w:val="24"/>
                <w:szCs w:val="24"/>
                <w:lang w:eastAsia="zh-CN"/>
              </w:rPr>
            </w:pPr>
          </w:p>
        </w:tc>
      </w:tr>
    </w:tbl>
    <w:p>
      <w:pPr>
        <w:wordWrap w:val="0"/>
        <w:spacing w:line="400" w:lineRule="exact"/>
        <w:ind w:right="480" w:firstLine="5903" w:firstLineChars="2450"/>
        <w:rPr>
          <w:rFonts w:asciiTheme="minorEastAsia" w:hAnsiTheme="minorEastAsia" w:eastAsiaTheme="minorEastAsia" w:cstheme="minorEastAsia"/>
          <w:b/>
          <w:snapToGrid w:val="0"/>
          <w:sz w:val="24"/>
          <w:szCs w:val="24"/>
          <w:u w:val="single"/>
          <w:lang w:eastAsia="zh-CN"/>
        </w:rPr>
      </w:pPr>
    </w:p>
    <w:p>
      <w:pPr>
        <w:wordWrap w:val="0"/>
        <w:spacing w:line="400" w:lineRule="exact"/>
        <w:ind w:right="480" w:firstLine="5903" w:firstLineChars="2450"/>
        <w:rPr>
          <w:rFonts w:asciiTheme="minorEastAsia" w:hAnsiTheme="minorEastAsia" w:eastAsiaTheme="minorEastAsia" w:cstheme="minorEastAsia"/>
          <w:b/>
          <w:snapToGrid w:val="0"/>
          <w:sz w:val="24"/>
          <w:szCs w:val="24"/>
          <w:u w:val="single"/>
          <w:lang w:eastAsia="zh-CN"/>
        </w:rPr>
      </w:pPr>
      <w:r>
        <w:rPr>
          <w:rFonts w:hint="eastAsia" w:asciiTheme="minorEastAsia" w:hAnsiTheme="minorEastAsia" w:eastAsiaTheme="minorEastAsia" w:cstheme="minorEastAsia"/>
          <w:b/>
          <w:snapToGrid w:val="0"/>
          <w:sz w:val="24"/>
          <w:szCs w:val="24"/>
          <w:u w:val="single"/>
          <w:lang w:eastAsia="zh-CN"/>
        </w:rPr>
        <w:t>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日</w:t>
      </w:r>
    </w:p>
    <w:p>
      <w:pPr>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pStyle w:val="4"/>
      </w:pPr>
      <w:bookmarkStart w:id="19" w:name="扫描0015"/>
      <w:bookmarkEnd w:id="19"/>
      <w:bookmarkStart w:id="20" w:name="_Toc171584010"/>
      <w:r>
        <w:rPr>
          <w:rFonts w:hint="eastAsia"/>
        </w:rPr>
        <w:t>第二章供应商须知</w:t>
      </w:r>
      <w:bookmarkEnd w:id="20"/>
    </w:p>
    <w:p>
      <w:pPr>
        <w:spacing w:line="276"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br w:type="page"/>
      </w:r>
    </w:p>
    <w:p>
      <w:pPr>
        <w:pStyle w:val="5"/>
        <w:spacing w:line="276" w:lineRule="auto"/>
        <w:jc w:val="center"/>
        <w:rPr>
          <w:rFonts w:asciiTheme="minorEastAsia" w:hAnsiTheme="minorEastAsia" w:eastAsiaTheme="minorEastAsia" w:cstheme="minorEastAsia"/>
          <w:b/>
          <w:bCs/>
          <w:snapToGrid w:val="0"/>
          <w:sz w:val="32"/>
          <w:szCs w:val="32"/>
          <w:lang w:eastAsia="zh-CN"/>
        </w:rPr>
      </w:pPr>
      <w:bookmarkStart w:id="21" w:name="_Toc171584011"/>
      <w:r>
        <w:rPr>
          <w:rFonts w:hint="eastAsia" w:asciiTheme="minorEastAsia" w:hAnsiTheme="minorEastAsia" w:eastAsiaTheme="minorEastAsia" w:cstheme="minorEastAsia"/>
          <w:b/>
          <w:bCs/>
          <w:snapToGrid w:val="0"/>
          <w:sz w:val="32"/>
          <w:szCs w:val="32"/>
          <w:lang w:eastAsia="zh-CN"/>
        </w:rPr>
        <w:t>供应商须知前附表</w:t>
      </w:r>
      <w:bookmarkEnd w:id="21"/>
    </w:p>
    <w:p>
      <w:pPr>
        <w:adjustRightInd w:val="0"/>
        <w:snapToGrid w:val="0"/>
        <w:spacing w:line="300" w:lineRule="exact"/>
        <w:rPr>
          <w:rFonts w:asciiTheme="minorEastAsia" w:hAnsiTheme="minorEastAsia" w:eastAsiaTheme="minorEastAsia" w:cstheme="minorEastAsia"/>
          <w:snapToGrid w:val="0"/>
          <w:sz w:val="24"/>
          <w:szCs w:val="24"/>
          <w:lang w:eastAsia="zh-CN"/>
        </w:rPr>
      </w:pPr>
    </w:p>
    <w:tbl>
      <w:tblPr>
        <w:tblStyle w:val="31"/>
        <w:tblW w:w="9713"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8"/>
        <w:gridCol w:w="3445"/>
        <w:gridCol w:w="5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rPr>
              <w:t>条款号</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u w:val="single"/>
              </w:rPr>
              <w:t>条款内</w:t>
            </w:r>
            <w:r>
              <w:rPr>
                <w:rFonts w:hint="eastAsia" w:asciiTheme="minorEastAsia" w:hAnsiTheme="minorEastAsia" w:eastAsiaTheme="minorEastAsia" w:cstheme="minorEastAsia"/>
                <w:b/>
                <w:bCs/>
                <w:snapToGrid w:val="0"/>
                <w:sz w:val="21"/>
                <w:szCs w:val="21"/>
              </w:rPr>
              <w:t>容</w:t>
            </w:r>
          </w:p>
        </w:tc>
        <w:tc>
          <w:tcPr>
            <w:tcW w:w="5060"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1.7.1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踏勘现场</w:t>
            </w:r>
          </w:p>
        </w:tc>
        <w:tc>
          <w:tcPr>
            <w:tcW w:w="5060" w:type="dxa"/>
            <w:tcMar>
              <w:top w:w="57" w:type="dxa"/>
              <w:left w:w="57" w:type="dxa"/>
              <w:bottom w:w="57" w:type="dxa"/>
              <w:right w:w="57" w:type="dxa"/>
            </w:tcMar>
            <w:vAlign w:val="center"/>
          </w:tcPr>
          <w:p>
            <w:pPr>
              <w:spacing w:line="300" w:lineRule="exact"/>
              <w:ind w:firstLine="18" w:firstLineChars="9"/>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不组织集中踏勘，供应商自行踏勘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1.8</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谈判采购预备会</w:t>
            </w:r>
          </w:p>
        </w:tc>
        <w:tc>
          <w:tcPr>
            <w:tcW w:w="5060" w:type="dxa"/>
            <w:tcMar>
              <w:top w:w="57" w:type="dxa"/>
              <w:left w:w="57" w:type="dxa"/>
              <w:bottom w:w="57" w:type="dxa"/>
              <w:right w:w="57" w:type="dxa"/>
            </w:tcMar>
            <w:vAlign w:val="center"/>
          </w:tcPr>
          <w:p>
            <w:pPr>
              <w:spacing w:line="300" w:lineRule="exact"/>
              <w:ind w:firstLine="18" w:firstLineChars="9"/>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不召开，书面澄清及回复供应商疑问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1.9</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分包</w:t>
            </w:r>
            <w:r>
              <w:rPr>
                <w:rFonts w:hint="eastAsia" w:asciiTheme="minorEastAsia" w:hAnsiTheme="minorEastAsia" w:eastAsiaTheme="minorEastAsia" w:cstheme="minorEastAsia"/>
                <w:snapToGrid w:val="0"/>
                <w:sz w:val="21"/>
                <w:szCs w:val="21"/>
                <w:lang w:eastAsia="zh-CN"/>
              </w:rPr>
              <w:t>（不适用）</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不得分包的内容：不得分包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1.10.2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对非关键条款的偏差</w:t>
            </w:r>
          </w:p>
        </w:tc>
        <w:tc>
          <w:tcPr>
            <w:tcW w:w="5060" w:type="dxa"/>
            <w:tcMar>
              <w:top w:w="57" w:type="dxa"/>
              <w:left w:w="57" w:type="dxa"/>
              <w:bottom w:w="57" w:type="dxa"/>
              <w:right w:w="57" w:type="dxa"/>
            </w:tcMar>
            <w:vAlign w:val="center"/>
          </w:tcPr>
          <w:p>
            <w:pPr>
              <w:spacing w:line="300" w:lineRule="exact"/>
              <w:ind w:left="210" w:hanging="210" w:hangingChars="100"/>
              <w:jc w:val="both"/>
              <w:rPr>
                <w:rFonts w:asciiTheme="minorEastAsia" w:hAnsiTheme="minorEastAsia" w:eastAsiaTheme="minorEastAsia" w:cstheme="minorEastAsia"/>
                <w:snapToGrid w:val="0"/>
                <w:sz w:val="21"/>
                <w:szCs w:val="21"/>
                <w:u w:val="single"/>
                <w:lang w:eastAsia="zh-CN"/>
              </w:rPr>
            </w:pPr>
            <w:r>
              <w:rPr>
                <w:rFonts w:hint="eastAsia" w:asciiTheme="minorEastAsia" w:hAnsiTheme="minorEastAsia" w:eastAsiaTheme="minorEastAsia" w:cstheme="minorEastAsia"/>
                <w:snapToGrid w:val="0"/>
                <w:sz w:val="21"/>
                <w:szCs w:val="21"/>
                <w:lang w:eastAsia="zh-CN"/>
              </w:rPr>
              <w:t>允许偏差的范围：不允许负偏差</w:t>
            </w:r>
          </w:p>
          <w:p>
            <w:pPr>
              <w:spacing w:line="300" w:lineRule="exact"/>
              <w:ind w:left="210" w:hanging="210" w:hangingChars="10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允许偏差的项数：项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2</w:t>
            </w:r>
            <w:r>
              <w:rPr>
                <w:rFonts w:hint="eastAsia" w:asciiTheme="minorEastAsia" w:hAnsiTheme="minorEastAsia" w:eastAsiaTheme="minorEastAsia" w:cstheme="minorEastAsia"/>
                <w:snapToGrid w:val="0"/>
                <w:sz w:val="21"/>
                <w:szCs w:val="21"/>
                <w:lang w:eastAsia="zh-CN"/>
              </w:rPr>
              <w:t>.</w:t>
            </w:r>
            <w:r>
              <w:rPr>
                <w:rFonts w:hint="eastAsia" w:asciiTheme="minorEastAsia" w:hAnsiTheme="minorEastAsia" w:eastAsiaTheme="minorEastAsia" w:cstheme="minorEastAsia"/>
                <w:snapToGrid w:val="0"/>
                <w:sz w:val="21"/>
                <w:szCs w:val="21"/>
              </w:rPr>
              <w:t>1</w:t>
            </w:r>
            <w:r>
              <w:rPr>
                <w:rFonts w:hint="eastAsia" w:asciiTheme="minorEastAsia" w:hAnsiTheme="minorEastAsia" w:eastAsiaTheme="minorEastAsia" w:cstheme="minorEastAsia"/>
                <w:snapToGrid w:val="0"/>
                <w:sz w:val="21"/>
                <w:szCs w:val="21"/>
                <w:lang w:eastAsia="zh-CN"/>
              </w:rPr>
              <w:t>（7）</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构成采购文件的其他资料</w:t>
            </w:r>
          </w:p>
        </w:tc>
        <w:tc>
          <w:tcPr>
            <w:tcW w:w="5060" w:type="dxa"/>
            <w:tcMar>
              <w:top w:w="57" w:type="dxa"/>
              <w:left w:w="57" w:type="dxa"/>
              <w:bottom w:w="57" w:type="dxa"/>
              <w:right w:w="57" w:type="dxa"/>
            </w:tcMar>
            <w:vAlign w:val="center"/>
          </w:tcPr>
          <w:p>
            <w:pP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w:t>
            </w:r>
            <w:r>
              <w:rPr>
                <w:rFonts w:hint="eastAsia" w:asciiTheme="minorEastAsia" w:hAnsiTheme="minorEastAsia" w:eastAsiaTheme="minorEastAsia" w:cstheme="minorEastAsia"/>
                <w:snapToGrid w:val="0"/>
                <w:lang w:eastAsia="zh-CN"/>
              </w:rPr>
              <w:t>设备</w:t>
            </w:r>
            <w:r>
              <w:rPr>
                <w:rFonts w:hint="eastAsia" w:asciiTheme="minorEastAsia" w:hAnsiTheme="minorEastAsia" w:eastAsiaTheme="minorEastAsia" w:cstheme="minorEastAsia"/>
                <w:snapToGrid w:val="0"/>
                <w:sz w:val="21"/>
                <w:szCs w:val="21"/>
                <w:lang w:eastAsia="zh-CN"/>
              </w:rPr>
              <w:t>平面图、设备总图、安装基础设计图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2.2.1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供应商要求澄清采购文件的时间</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截止时间：</w:t>
            </w:r>
            <w:r>
              <w:rPr>
                <w:rFonts w:hint="eastAsia" w:asciiTheme="minorEastAsia" w:hAnsiTheme="minorEastAsia" w:eastAsiaTheme="minorEastAsia" w:cstheme="minorEastAsia"/>
                <w:b/>
                <w:snapToGrid w:val="0"/>
                <w:sz w:val="24"/>
                <w:szCs w:val="24"/>
                <w:u w:val="single"/>
                <w:lang w:eastAsia="zh-CN"/>
              </w:rPr>
              <w:t>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18</w:t>
            </w:r>
            <w:r>
              <w:rPr>
                <w:rFonts w:hint="eastAsia" w:asciiTheme="minorEastAsia" w:hAnsiTheme="minorEastAsia" w:eastAsiaTheme="minorEastAsia" w:cstheme="minorEastAsia"/>
                <w:b/>
                <w:snapToGrid w:val="0"/>
                <w:sz w:val="24"/>
                <w:szCs w:val="24"/>
                <w:u w:val="single"/>
                <w:lang w:eastAsia="zh-CN"/>
              </w:rPr>
              <w:t>日</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时</w:t>
            </w:r>
            <w:r>
              <w:rPr>
                <w:rFonts w:hint="eastAsia" w:asciiTheme="minorEastAsia" w:hAnsiTheme="minorEastAsia" w:eastAsiaTheme="minorEastAsia" w:cstheme="minorEastAsia"/>
                <w:b/>
                <w:snapToGrid w:val="0"/>
                <w:sz w:val="24"/>
                <w:szCs w:val="24"/>
                <w:u w:val="single"/>
                <w:lang w:val="en-US" w:eastAsia="zh-CN"/>
              </w:rPr>
              <w:t>00</w:t>
            </w:r>
            <w:r>
              <w:rPr>
                <w:rFonts w:hint="eastAsia" w:asciiTheme="minorEastAsia" w:hAnsiTheme="minorEastAsia" w:eastAsiaTheme="minorEastAsia" w:cstheme="minorEastAsia"/>
                <w:b/>
                <w:snapToGrid w:val="0"/>
                <w:sz w:val="24"/>
                <w:szCs w:val="24"/>
                <w:u w:val="singl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2.2.3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供应商确认收到采购文件补充文件</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b/>
                <w:snapToGrid w:val="0"/>
                <w:sz w:val="21"/>
                <w:szCs w:val="21"/>
                <w:u w:val="single"/>
                <w:lang w:eastAsia="zh-CN"/>
              </w:rPr>
            </w:pPr>
            <w:r>
              <w:rPr>
                <w:rFonts w:hint="eastAsia" w:asciiTheme="minorEastAsia" w:hAnsiTheme="minorEastAsia" w:eastAsiaTheme="minorEastAsia" w:cstheme="minorEastAsia"/>
                <w:snapToGrid w:val="0"/>
                <w:sz w:val="21"/>
                <w:szCs w:val="21"/>
                <w:lang w:eastAsia="zh-CN"/>
              </w:rPr>
              <w:t>确认的最晚时间：</w:t>
            </w:r>
            <w:r>
              <w:rPr>
                <w:rFonts w:hint="eastAsia" w:asciiTheme="minorEastAsia" w:hAnsiTheme="minorEastAsia" w:eastAsiaTheme="minorEastAsia" w:cstheme="minorEastAsia"/>
                <w:b/>
                <w:snapToGrid w:val="0"/>
                <w:sz w:val="24"/>
                <w:szCs w:val="24"/>
                <w:u w:val="single"/>
                <w:lang w:eastAsia="zh-CN"/>
              </w:rPr>
              <w:t>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18</w:t>
            </w:r>
            <w:r>
              <w:rPr>
                <w:rFonts w:hint="eastAsia" w:asciiTheme="minorEastAsia" w:hAnsiTheme="minorEastAsia" w:eastAsiaTheme="minorEastAsia" w:cstheme="minorEastAsia"/>
                <w:b/>
                <w:snapToGrid w:val="0"/>
                <w:sz w:val="24"/>
                <w:szCs w:val="24"/>
                <w:u w:val="single"/>
                <w:lang w:eastAsia="zh-CN"/>
              </w:rPr>
              <w:t>日</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时</w:t>
            </w:r>
            <w:r>
              <w:rPr>
                <w:rFonts w:hint="eastAsia" w:asciiTheme="minorEastAsia" w:hAnsiTheme="minorEastAsia" w:eastAsiaTheme="minorEastAsia" w:cstheme="minorEastAsia"/>
                <w:b/>
                <w:snapToGrid w:val="0"/>
                <w:sz w:val="24"/>
                <w:szCs w:val="24"/>
                <w:u w:val="single"/>
                <w:lang w:val="en-US" w:eastAsia="zh-CN"/>
              </w:rPr>
              <w:t>00</w:t>
            </w:r>
            <w:r>
              <w:rPr>
                <w:rFonts w:hint="eastAsia" w:asciiTheme="minorEastAsia" w:hAnsiTheme="minorEastAsia" w:eastAsiaTheme="minorEastAsia" w:cstheme="minorEastAsia"/>
                <w:b/>
                <w:snapToGrid w:val="0"/>
                <w:sz w:val="24"/>
                <w:szCs w:val="24"/>
                <w:u w:val="single"/>
                <w:lang w:eastAsia="zh-CN"/>
              </w:rPr>
              <w:t>分</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确认的方式：</w:t>
            </w:r>
            <w:r>
              <w:rPr>
                <w:rFonts w:hint="eastAsia" w:asciiTheme="minorEastAsia" w:hAnsiTheme="minorEastAsia" w:eastAsiaTheme="minorEastAsia" w:cstheme="minorEastAsia"/>
                <w:snapToGrid w:val="0"/>
                <w:sz w:val="21"/>
                <w:szCs w:val="21"/>
                <w:u w:val="single"/>
                <w:lang w:eastAsia="zh-CN"/>
              </w:rPr>
              <w:t>电话联系或邮件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3.1.1(9)</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构成响应文件的其它资料</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□响应单位获奖荣誉</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lang w:eastAsia="zh-CN"/>
              </w:rPr>
              <w:sym w:font="Wingdings" w:char="00FE"/>
            </w:r>
            <w:r>
              <w:rPr>
                <w:rFonts w:hint="eastAsia" w:asciiTheme="minorEastAsia" w:hAnsiTheme="minorEastAsia" w:eastAsiaTheme="minorEastAsia" w:cstheme="minorEastAsia"/>
                <w:snapToGrid w:val="0"/>
                <w:sz w:val="21"/>
                <w:szCs w:val="21"/>
                <w:lang w:eastAsia="zh-CN"/>
              </w:rPr>
              <w:t>响应单位公司介绍</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lang w:eastAsia="zh-CN"/>
              </w:rPr>
              <w:sym w:font="Wingdings" w:char="00FE"/>
            </w:r>
            <w:r>
              <w:rPr>
                <w:rFonts w:hint="eastAsia" w:asciiTheme="minorEastAsia" w:hAnsiTheme="minorEastAsia" w:eastAsiaTheme="minorEastAsia" w:cstheme="minorEastAsia"/>
                <w:snapToGrid w:val="0"/>
                <w:sz w:val="21"/>
                <w:szCs w:val="21"/>
                <w:lang w:eastAsia="zh-CN"/>
              </w:rPr>
              <w:t>响应单位承诺函</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其他说明文件，</w:t>
            </w:r>
            <w:r>
              <w:rPr>
                <w:rFonts w:hint="eastAsia" w:asciiTheme="minorEastAsia" w:hAnsiTheme="minorEastAsia" w:eastAsiaTheme="minorEastAsia" w:cstheme="minorEastAsia"/>
                <w:snapToGrid w:val="0"/>
                <w:sz w:val="21"/>
                <w:szCs w:val="21"/>
                <w:u w:val="single"/>
                <w:lang w:eastAsia="zh-CN"/>
              </w:rPr>
              <w:t>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采购标的数量增减幅度</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采购标的数量增减幅度：10%以内。</w:t>
            </w:r>
          </w:p>
          <w:p>
            <w:pPr>
              <w:spacing w:line="300" w:lineRule="exact"/>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lang w:eastAsia="zh-CN"/>
              </w:rPr>
              <w:t>（注：数量增减幅度通常在10%以内。</w:t>
            </w:r>
            <w:r>
              <w:rPr>
                <w:rFonts w:hint="eastAsia" w:asciiTheme="minorEastAsia" w:hAnsiTheme="minorEastAsia" w:eastAsiaTheme="minorEastAsia" w:cs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最高限价或其计算方法</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无</w:t>
            </w:r>
          </w:p>
          <w:p>
            <w:pPr>
              <w:spacing w:line="300" w:lineRule="exact"/>
              <w:jc w:val="both"/>
              <w:rPr>
                <w:rFonts w:asciiTheme="minorEastAsia" w:hAnsiTheme="minorEastAsia" w:eastAsiaTheme="minorEastAsia" w:cstheme="minorEastAsia"/>
                <w:snapToGrid w:val="0"/>
                <w:sz w:val="21"/>
                <w:szCs w:val="21"/>
                <w:lang w:eastAsia="zh-CN"/>
              </w:rPr>
            </w:pPr>
            <w:r>
              <w:rPr>
                <w:rFonts w:ascii="Segoe UI Symbol" w:hAnsi="Segoe UI Symbol" w:cs="Segoe UI Symbol" w:eastAsiaTheme="minorEastAsia"/>
                <w:snapToGrid w:val="0"/>
                <w:lang w:eastAsia="zh-CN"/>
              </w:rPr>
              <w:t>☑</w:t>
            </w:r>
            <w:r>
              <w:rPr>
                <w:rFonts w:hint="eastAsia" w:asciiTheme="minorEastAsia" w:hAnsiTheme="minorEastAsia" w:eastAsiaTheme="minorEastAsia" w:cstheme="minorEastAsia"/>
                <w:snapToGrid w:val="0"/>
                <w:sz w:val="21"/>
                <w:szCs w:val="21"/>
                <w:lang w:eastAsia="zh-CN"/>
              </w:rPr>
              <w:t>有，</w:t>
            </w:r>
            <w:r>
              <w:rPr>
                <w:rFonts w:hint="eastAsia" w:asciiTheme="minorEastAsia" w:hAnsiTheme="minorEastAsia" w:eastAsiaTheme="minorEastAsia" w:cstheme="minorEastAsia"/>
                <w:snapToGrid w:val="0"/>
                <w:color w:val="0000FF"/>
                <w:sz w:val="21"/>
                <w:szCs w:val="21"/>
                <w:lang w:eastAsia="zh-CN"/>
              </w:rPr>
              <w:t>最高限价1</w:t>
            </w:r>
            <w:r>
              <w:rPr>
                <w:rFonts w:asciiTheme="minorEastAsia" w:hAnsiTheme="minorEastAsia" w:eastAsiaTheme="minorEastAsia" w:cstheme="minorEastAsia"/>
                <w:snapToGrid w:val="0"/>
                <w:color w:val="0000FF"/>
                <w:sz w:val="21"/>
                <w:szCs w:val="21"/>
                <w:lang w:eastAsia="zh-CN"/>
              </w:rPr>
              <w:t>4</w:t>
            </w:r>
            <w:r>
              <w:rPr>
                <w:rFonts w:hint="eastAsia" w:asciiTheme="minorEastAsia" w:hAnsiTheme="minorEastAsia" w:eastAsiaTheme="minorEastAsia" w:cstheme="minorEastAsia"/>
                <w:snapToGrid w:val="0"/>
                <w:color w:val="0000FF"/>
                <w:sz w:val="21"/>
                <w:szCs w:val="21"/>
                <w:lang w:eastAsia="zh-CN"/>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2" w:hRule="atLeast"/>
        </w:trPr>
        <w:tc>
          <w:tcPr>
            <w:tcW w:w="1208" w:type="dxa"/>
            <w:tcBorders>
              <w:bottom w:val="single" w:color="auto" w:sz="4" w:space="0"/>
            </w:tcBorders>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3.2.4</w:t>
            </w:r>
          </w:p>
        </w:tc>
        <w:tc>
          <w:tcPr>
            <w:tcW w:w="3445" w:type="dxa"/>
            <w:tcMar>
              <w:top w:w="57" w:type="dxa"/>
              <w:left w:w="57" w:type="dxa"/>
              <w:bottom w:w="57" w:type="dxa"/>
              <w:right w:w="57" w:type="dxa"/>
            </w:tcMar>
            <w:vAlign w:val="center"/>
          </w:tcPr>
          <w:p>
            <w:pPr>
              <w:pStyle w:val="42"/>
              <w:adjustRightInd w:val="0"/>
              <w:snapToGrid w:val="0"/>
              <w:spacing w:line="276" w:lineRule="auto"/>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lang w:eastAsia="zh-CN"/>
              </w:rPr>
              <w:t>合同形式</w:t>
            </w:r>
          </w:p>
        </w:tc>
        <w:tc>
          <w:tcPr>
            <w:tcW w:w="5060" w:type="dxa"/>
            <w:tcMar>
              <w:top w:w="57" w:type="dxa"/>
              <w:left w:w="57" w:type="dxa"/>
              <w:bottom w:w="57" w:type="dxa"/>
              <w:right w:w="57" w:type="dxa"/>
            </w:tcMar>
            <w:vAlign w:val="center"/>
          </w:tcPr>
          <w:p>
            <w:pPr>
              <w:pStyle w:val="69"/>
              <w:rPr>
                <w:rFonts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w:t>
            </w:r>
            <w:r>
              <w:rPr>
                <w:rFonts w:hint="eastAsia" w:asciiTheme="minorEastAsia" w:hAnsiTheme="minorEastAsia" w:eastAsiaTheme="minorEastAsia" w:cstheme="minorEastAsia"/>
                <w:snapToGrid w:val="0"/>
              </w:rPr>
              <w:fldChar w:fldCharType="begin"/>
            </w:r>
            <w:r>
              <w:rPr>
                <w:rFonts w:hint="eastAsia" w:asciiTheme="minorEastAsia" w:hAnsiTheme="minorEastAsia" w:eastAsiaTheme="minorEastAsia" w:cstheme="minorEastAsia"/>
                <w:snapToGrid w:val="0"/>
              </w:rPr>
              <w:instrText xml:space="preserve"> MERGEFIELD tbbjfs_dj|1|e82341ad-a68c-414f-933f-ea1bcc18b60a|c4b6746f-aa3e-4211-a2e6-e33472785576 </w:instrText>
            </w:r>
            <w:r>
              <w:rPr>
                <w:rFonts w:hint="eastAsia" w:asciiTheme="minorEastAsia" w:hAnsiTheme="minorEastAsia" w:eastAsiaTheme="minorEastAsia" w:cstheme="minorEastAsia"/>
                <w:snapToGrid w:val="0"/>
              </w:rPr>
              <w:fldChar w:fldCharType="separate"/>
            </w:r>
            <w:r>
              <w:rPr>
                <w:rFonts w:hint="eastAsia" w:asciiTheme="minorEastAsia" w:hAnsiTheme="minorEastAsia" w:eastAsiaTheme="minorEastAsia" w:cstheme="minorEastAsia"/>
                <w:snapToGrid w:val="0"/>
              </w:rPr>
              <w:t>单价合同</w:t>
            </w:r>
            <w:r>
              <w:rPr>
                <w:rFonts w:hint="eastAsia" w:asciiTheme="minorEastAsia" w:hAnsiTheme="minorEastAsia" w:eastAsiaTheme="minorEastAsia" w:cstheme="minorEastAsia"/>
                <w:snapToGrid w:val="0"/>
              </w:rPr>
              <w:fldChar w:fldCharType="end"/>
            </w:r>
            <w:r>
              <w:rPr>
                <w:rFonts w:hint="eastAsia" w:asciiTheme="minorEastAsia" w:hAnsiTheme="minorEastAsia" w:eastAsiaTheme="minorEastAsia" w:cstheme="minorEastAsia"/>
                <w:snapToGrid w:val="0"/>
              </w:rPr>
              <w:fldChar w:fldCharType="begin"/>
            </w:r>
            <w:r>
              <w:rPr>
                <w:rFonts w:hint="eastAsia" w:asciiTheme="minorEastAsia" w:hAnsiTheme="minorEastAsia" w:eastAsiaTheme="minorEastAsia" w:cstheme="minorEastAsia"/>
                <w:snapToGrid w:val="0"/>
              </w:rPr>
              <w:instrText xml:space="preserve"> MERGEFIELD tbbjfs_dj|2|e82341ad-a68c-414f-933f-ea1bcc18b60a|c4b6746f-aa3e-4211-a2e6-e33472785576 </w:instrText>
            </w:r>
            <w:r>
              <w:rPr>
                <w:rFonts w:hint="eastAsia" w:asciiTheme="minorEastAsia" w:hAnsiTheme="minorEastAsia" w:eastAsiaTheme="minorEastAsia" w:cstheme="minorEastAsia"/>
                <w:snapToGrid w:val="0"/>
              </w:rPr>
              <w:fldChar w:fldCharType="separate"/>
            </w:r>
          </w:p>
          <w:p>
            <w:pPr>
              <w:pStyle w:val="69"/>
              <w:rPr>
                <w:rFonts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fldChar w:fldCharType="end"/>
            </w:r>
            <w:r>
              <w:rPr>
                <w:rFonts w:hint="eastAsia" w:asciiTheme="minorEastAsia" w:hAnsiTheme="minorEastAsia" w:eastAsiaTheme="minorEastAsia" w:cstheme="minorEastAsia"/>
                <w:snapToGrid w:val="0"/>
                <w:sz w:val="24"/>
                <w:szCs w:val="24"/>
                <w:u w:val="single"/>
              </w:rPr>
              <w:t>☑</w:t>
            </w:r>
            <w:r>
              <w:rPr>
                <w:rFonts w:hint="eastAsia" w:asciiTheme="minorEastAsia" w:hAnsiTheme="minorEastAsia" w:eastAsiaTheme="minorEastAsia" w:cstheme="minorEastAsia"/>
                <w:snapToGrid w:val="0"/>
              </w:rPr>
              <w:fldChar w:fldCharType="begin"/>
            </w:r>
            <w:r>
              <w:rPr>
                <w:rFonts w:hint="eastAsia" w:asciiTheme="minorEastAsia" w:hAnsiTheme="minorEastAsia" w:eastAsiaTheme="minorEastAsia" w:cstheme="minorEastAsia"/>
                <w:snapToGrid w:val="0"/>
              </w:rPr>
              <w:instrText xml:space="preserve"> MERGEFIELD tbbjfs_zj|1|e82341ad-a68c-414f-933f-ea1bcc18b60a|e12ee692-4310-455e-902e-47165e307a62 </w:instrText>
            </w:r>
            <w:r>
              <w:rPr>
                <w:rFonts w:hint="eastAsia" w:asciiTheme="minorEastAsia" w:hAnsiTheme="minorEastAsia" w:eastAsiaTheme="minorEastAsia" w:cstheme="minorEastAsia"/>
                <w:snapToGrid w:val="0"/>
              </w:rPr>
              <w:fldChar w:fldCharType="separate"/>
            </w:r>
            <w:r>
              <w:rPr>
                <w:rFonts w:hint="eastAsia" w:asciiTheme="minorEastAsia" w:hAnsiTheme="minorEastAsia" w:eastAsiaTheme="minorEastAsia" w:cstheme="minorEastAsia"/>
                <w:snapToGrid w:val="0"/>
              </w:rPr>
              <w:t>总价合同</w:t>
            </w:r>
            <w:r>
              <w:rPr>
                <w:rFonts w:hint="eastAsia" w:asciiTheme="minorEastAsia" w:hAnsiTheme="minorEastAsia" w:eastAsiaTheme="minorEastAsia" w:cstheme="minorEastAsia"/>
                <w:snapToGrid w:val="0"/>
              </w:rPr>
              <w:fldChar w:fldCharType="end"/>
            </w:r>
            <w:r>
              <w:rPr>
                <w:rFonts w:hint="eastAsia" w:asciiTheme="minorEastAsia" w:hAnsiTheme="minorEastAsia" w:eastAsiaTheme="minorEastAsia" w:cstheme="minorEastAsia"/>
                <w:snapToGrid w:val="0"/>
              </w:rPr>
              <w:fldChar w:fldCharType="begin"/>
            </w:r>
            <w:r>
              <w:rPr>
                <w:rFonts w:hint="eastAsia" w:asciiTheme="minorEastAsia" w:hAnsiTheme="minorEastAsia" w:eastAsiaTheme="minorEastAsia" w:cstheme="minorEastAsia"/>
                <w:snapToGrid w:val="0"/>
              </w:rPr>
              <w:instrText xml:space="preserve"> MERGEFIELD tbbjfs_zj|2|e82341ad-a68c-414f-933f-ea1bcc18b60a|e12ee692-4310-455e-902e-47165e307a62 </w:instrText>
            </w:r>
            <w:r>
              <w:rPr>
                <w:rFonts w:hint="eastAsia" w:asciiTheme="minorEastAsia" w:hAnsiTheme="minorEastAsia" w:eastAsiaTheme="minorEastAsia" w:cstheme="minorEastAsia"/>
                <w:snapToGrid w:val="0"/>
              </w:rPr>
              <w:fldChar w:fldCharType="separate"/>
            </w:r>
          </w:p>
          <w:p>
            <w:pPr>
              <w:adjustRightInd w:val="0"/>
              <w:snapToGrid w:val="0"/>
              <w:spacing w:line="276" w:lineRule="auto"/>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fldChar w:fldCharType="end"/>
            </w:r>
            <w:r>
              <w:rPr>
                <w:rFonts w:hint="eastAsia" w:asciiTheme="minorEastAsia" w:hAnsiTheme="minorEastAsia" w:eastAsiaTheme="minorEastAsia" w:cstheme="minorEastAsia"/>
                <w:snapToGrid w:val="0"/>
                <w:sz w:val="21"/>
                <w:szCs w:val="21"/>
                <w:lang w:eastAsia="zh-CN"/>
              </w:rPr>
              <w:t>□</w:t>
            </w:r>
            <w:r>
              <w:rPr>
                <w:rFonts w:hint="eastAsia" w:asciiTheme="minorEastAsia" w:hAnsiTheme="minorEastAsia" w:eastAsiaTheme="minorEastAsia" w:cstheme="minorEastAsia"/>
                <w:snapToGrid w:val="0"/>
                <w:sz w:val="21"/>
                <w:szCs w:val="21"/>
                <w:lang w:eastAsia="zh-CN"/>
              </w:rPr>
              <w:fldChar w:fldCharType="begin"/>
            </w:r>
            <w:r>
              <w:rPr>
                <w:rFonts w:hint="eastAsia" w:asciiTheme="minorEastAsia" w:hAnsiTheme="minorEastAsia" w:eastAsiaTheme="minorEastAsia" w:cstheme="minorEastAsia"/>
                <w:snapToGrid w:val="0"/>
                <w:sz w:val="21"/>
                <w:szCs w:val="21"/>
                <w:lang w:eastAsia="zh-CN"/>
              </w:rPr>
              <w:instrText xml:space="preserve"> MERGEFIELD tbbjfs_qt|1|e82341ad-a68c-414f-933f-ea1bcc18b60a|d5d13e28-0c3c-44d6-b44d-d3237270e669 </w:instrText>
            </w:r>
            <w:r>
              <w:rPr>
                <w:rFonts w:hint="eastAsia" w:asciiTheme="minorEastAsia" w:hAnsiTheme="minorEastAsia" w:eastAsiaTheme="minorEastAsia" w:cstheme="minorEastAsia"/>
                <w:snapToGrid w:val="0"/>
                <w:sz w:val="21"/>
                <w:szCs w:val="21"/>
                <w:lang w:eastAsia="zh-CN"/>
              </w:rPr>
              <w:fldChar w:fldCharType="separate"/>
            </w:r>
            <w:r>
              <w:rPr>
                <w:rFonts w:hint="eastAsia" w:asciiTheme="minorEastAsia" w:hAnsiTheme="minorEastAsia" w:eastAsiaTheme="minorEastAsia" w:cstheme="minorEastAsia"/>
                <w:snapToGrid w:val="0"/>
                <w:sz w:val="21"/>
                <w:szCs w:val="21"/>
                <w:lang w:eastAsia="zh-CN"/>
              </w:rPr>
              <w:t>其他：</w:t>
            </w:r>
            <w:r>
              <w:rPr>
                <w:rFonts w:hint="eastAsia" w:asciiTheme="minorEastAsia" w:hAnsiTheme="minorEastAsia" w:eastAsiaTheme="minorEastAsia" w:cstheme="minorEastAsia"/>
                <w:snapToGrid w:val="0"/>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1208" w:type="dxa"/>
            <w:tcBorders>
              <w:top w:val="single" w:color="auto" w:sz="4" w:space="0"/>
            </w:tcBorders>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3.2.5</w:t>
            </w:r>
          </w:p>
        </w:tc>
        <w:tc>
          <w:tcPr>
            <w:tcW w:w="3445" w:type="dxa"/>
            <w:tcBorders>
              <w:top w:val="single" w:color="auto" w:sz="4" w:space="0"/>
            </w:tcBorders>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报价的其他要求</w:t>
            </w:r>
          </w:p>
        </w:tc>
        <w:tc>
          <w:tcPr>
            <w:tcW w:w="5060" w:type="dxa"/>
            <w:tcBorders>
              <w:top w:val="single" w:color="auto" w:sz="4" w:space="0"/>
            </w:tcBorders>
            <w:shd w:val="clear" w:color="auto" w:fill="auto"/>
            <w:tcMar>
              <w:top w:w="57" w:type="dxa"/>
              <w:left w:w="57" w:type="dxa"/>
              <w:bottom w:w="57" w:type="dxa"/>
              <w:right w:w="57" w:type="dxa"/>
            </w:tcMar>
            <w:vAlign w:val="center"/>
          </w:tcPr>
          <w:p>
            <w:pPr>
              <w:adjustRightInd w:val="0"/>
              <w:snapToGrid w:val="0"/>
              <w:spacing w:line="276" w:lineRule="auto"/>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付款方式：详见合同条款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3.3.1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响应文件有效期</w:t>
            </w:r>
          </w:p>
        </w:tc>
        <w:tc>
          <w:tcPr>
            <w:tcW w:w="5060" w:type="dxa"/>
            <w:shd w:val="clear" w:color="auto" w:fill="auto"/>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u w:val="single"/>
                <w:lang w:eastAsia="zh-CN"/>
              </w:rPr>
            </w:pPr>
            <w:r>
              <w:rPr>
                <w:rFonts w:hint="eastAsia" w:asciiTheme="minorEastAsia" w:hAnsiTheme="minorEastAsia" w:eastAsiaTheme="minorEastAsia" w:cstheme="minorEastAsia"/>
                <w:snapToGrid w:val="0"/>
                <w:sz w:val="21"/>
                <w:szCs w:val="21"/>
                <w:lang w:eastAsia="zh-CN"/>
              </w:rPr>
              <w:t>提交响应文件截止日期后</w:t>
            </w:r>
            <w:r>
              <w:rPr>
                <w:rFonts w:hint="eastAsia" w:asciiTheme="minorEastAsia" w:hAnsiTheme="minorEastAsia" w:eastAsiaTheme="minorEastAsia" w:cstheme="minorEastAsia"/>
                <w:snapToGrid w:val="0"/>
                <w:sz w:val="21"/>
                <w:szCs w:val="21"/>
                <w:u w:val="single"/>
                <w:lang w:eastAsia="zh-CN"/>
              </w:rPr>
              <w:t xml:space="preserve">  </w:t>
            </w:r>
            <w:r>
              <w:rPr>
                <w:rFonts w:asciiTheme="minorEastAsia" w:hAnsiTheme="minorEastAsia" w:eastAsiaTheme="minorEastAsia" w:cstheme="minorEastAsia"/>
                <w:snapToGrid w:val="0"/>
                <w:sz w:val="21"/>
                <w:szCs w:val="21"/>
                <w:u w:val="single"/>
                <w:lang w:eastAsia="zh-CN"/>
              </w:rPr>
              <w:t>30</w:t>
            </w:r>
            <w:r>
              <w:rPr>
                <w:rFonts w:hint="eastAsia" w:asciiTheme="minorEastAsia" w:hAnsiTheme="minorEastAsia" w:eastAsiaTheme="minorEastAsia" w:cstheme="minorEastAsia"/>
                <w:snapToGrid w:val="0"/>
                <w:sz w:val="21"/>
                <w:szCs w:val="21"/>
                <w:u w:val="single"/>
                <w:lang w:eastAsia="zh-CN"/>
              </w:rPr>
              <w:t xml:space="preserve"> 日历天</w:t>
            </w:r>
          </w:p>
          <w:p>
            <w:pPr>
              <w:spacing w:line="300" w:lineRule="exact"/>
              <w:jc w:val="both"/>
              <w:rPr>
                <w:rFonts w:asciiTheme="minorEastAsia" w:hAnsiTheme="minorEastAsia" w:eastAsiaTheme="minorEastAsia" w:cs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3.4.1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响应保证金</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要求递交</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保证金的金额：¥</w:t>
            </w:r>
            <w:r>
              <w:rPr>
                <w:rFonts w:asciiTheme="minorEastAsia" w:hAnsiTheme="minorEastAsia" w:eastAsiaTheme="minorEastAsia" w:cstheme="minorEastAsia"/>
                <w:snapToGrid w:val="0"/>
                <w:sz w:val="21"/>
                <w:szCs w:val="21"/>
                <w:lang w:eastAsia="zh-CN"/>
              </w:rPr>
              <w:t>2</w:t>
            </w:r>
            <w:r>
              <w:rPr>
                <w:rFonts w:hint="eastAsia" w:asciiTheme="minorEastAsia" w:hAnsiTheme="minorEastAsia" w:eastAsiaTheme="minorEastAsia" w:cstheme="minorEastAsia"/>
                <w:snapToGrid w:val="0"/>
                <w:sz w:val="21"/>
                <w:szCs w:val="21"/>
                <w:lang w:eastAsia="zh-CN"/>
              </w:rPr>
              <w:t>000元</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保证金的形式：</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1）响应保证金必须以银行电汇或汇款形式缴纳到业主银行账户，且必须在不晚于投标截止时间前到账（北京时间）。款项来源请注明“中粮糖业甘蔗糖部2024年北海糖业制炼车间丙糖螺旋输送槽大修项目响应保证金”字样。</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（2）缴纳响应保证金后请将转账底单复印件加盖公章，与“响应保证金退还申请书”（格式见谈判文件）一起单独密封与投标文件同时递交。（财务部电话：0779-8606000转6113）。</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（3）缴纳账户如下：</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公司名称：中粮北海糖业有限公司</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开户银行：中国农业银行股份有限公司北海铁山港支行</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 xml:space="preserve">（网银转账可以转到：中国农业银行北海分行） </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账号：20713101040008348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3.4.2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退还响应保证金的时间</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供应商的响应保证金于成交通知书发出后30日历天内退还。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3.4.3(3)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不退还响应保证金的其他情形</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开启响应文件后在响应有效期内，供应商撤回其响应文件；</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提供虚假材料谋取中标、成交的；</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成交供应商未按本谈判文件规定签约；</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w:t>
            </w:r>
            <w:r>
              <w:rPr>
                <w:rFonts w:hint="eastAsia" w:asciiTheme="minorEastAsia" w:hAnsiTheme="minorEastAsia" w:eastAsiaTheme="minorEastAsia" w:cstheme="minorEastAsia"/>
                <w:snapToGrid w:val="0"/>
                <w:sz w:val="21"/>
                <w:szCs w:val="21"/>
                <w:lang w:eastAsia="zh-CN"/>
              </w:rPr>
              <w:t>.</w:t>
            </w:r>
            <w:r>
              <w:rPr>
                <w:rFonts w:hint="eastAsia" w:asciiTheme="minorEastAsia" w:hAnsiTheme="minorEastAsia" w:eastAsiaTheme="minorEastAsia" w:cstheme="minorEastAsia"/>
                <w:snapToGrid w:val="0"/>
                <w:sz w:val="21"/>
                <w:szCs w:val="21"/>
              </w:rPr>
              <w:t>5(1)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依法设立的证明材料</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3.5(2)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资质要求证明材料</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适用。供应商应提供相关资质证书副本的复印件,以证明供应商具有承担本项目要求的资质</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资质证书包括：</w:t>
            </w:r>
            <w:r>
              <w:rPr>
                <w:rFonts w:hint="eastAsia"/>
                <w:snapToGrid w:val="0"/>
                <w:sz w:val="21"/>
                <w:szCs w:val="21"/>
                <w:u w:val="single"/>
                <w:lang w:eastAsia="zh-CN"/>
              </w:rPr>
              <w:t>营业执照等</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（注：此处应填写资质证书的名称、等级、专业、颁发机构等内容。</w:t>
            </w:r>
            <w:r>
              <w:rPr>
                <w:rFonts w:hint="eastAsia" w:asciiTheme="minorEastAsia" w:hAnsiTheme="minorEastAsia" w:eastAsiaTheme="minorEastAsia" w:cs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w:t>
            </w:r>
            <w:r>
              <w:rPr>
                <w:rFonts w:hint="eastAsia" w:asciiTheme="minorEastAsia" w:hAnsiTheme="minorEastAsia" w:eastAsiaTheme="minorEastAsia" w:cstheme="minorEastAsia"/>
                <w:snapToGrid w:val="0"/>
                <w:sz w:val="21"/>
                <w:szCs w:val="21"/>
                <w:lang w:eastAsia="zh-CN"/>
              </w:rPr>
              <w:t>.</w:t>
            </w:r>
            <w:r>
              <w:rPr>
                <w:rFonts w:hint="eastAsia" w:asciiTheme="minorEastAsia" w:hAnsiTheme="minorEastAsia" w:eastAsiaTheme="minorEastAsia" w:cstheme="minorEastAsia"/>
                <w:snapToGrid w:val="0"/>
                <w:sz w:val="21"/>
                <w:szCs w:val="21"/>
              </w:rPr>
              <w:t>5(3)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财务要求证明材料</w:t>
            </w:r>
          </w:p>
        </w:tc>
        <w:tc>
          <w:tcPr>
            <w:tcW w:w="5060" w:type="dxa"/>
            <w:tcMar>
              <w:top w:w="57" w:type="dxa"/>
              <w:left w:w="57" w:type="dxa"/>
              <w:bottom w:w="57" w:type="dxa"/>
              <w:right w:w="57" w:type="dxa"/>
            </w:tcMar>
            <w:vAlign w:val="center"/>
          </w:tcPr>
          <w:p>
            <w:pPr>
              <w:spacing w:after="120" w:afterLines="50"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□不适用</w:t>
            </w:r>
          </w:p>
          <w:p>
            <w:pPr>
              <w:spacing w:after="120" w:afterLines="50"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☑适用。供应商应提供近三年财务会计报表复印件，包括资产负债表、利润表。近年财务会计报表年份是指：2021至2023年（供应商的成立时间少于该规定年份的，应提供成立以来的财务会计报表）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3.5(4)</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业绩要求证明材料</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□不适用</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适用。供应商应提供近年的类似项目情况表</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（格式见第六章“响应文件格式”七、资格审查资料（三）近年的类似项目情况表），以证明供应商具有承担本项目要求的业绩。业绩证明材料：</w:t>
            </w:r>
          </w:p>
          <w:p>
            <w:pPr>
              <w:spacing w:line="300" w:lineRule="exact"/>
              <w:ind w:left="282" w:leftChars="128"/>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合同/订单</w:t>
            </w:r>
          </w:p>
          <w:p>
            <w:pPr>
              <w:spacing w:line="300" w:lineRule="exact"/>
              <w:ind w:left="282" w:leftChars="128"/>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中标通知书/成交通知书检测报告/验收证明</w:t>
            </w:r>
          </w:p>
          <w:p>
            <w:pPr>
              <w:spacing w:line="300" w:lineRule="exact"/>
              <w:ind w:left="282" w:leftChars="128"/>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□建设单位证明</w:t>
            </w:r>
          </w:p>
          <w:p>
            <w:pPr>
              <w:spacing w:line="300" w:lineRule="exact"/>
              <w:ind w:left="282" w:leftChars="128"/>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□其他材料：</w:t>
            </w:r>
          </w:p>
          <w:p>
            <w:pPr>
              <w:spacing w:line="300" w:lineRule="exact"/>
              <w:rPr>
                <w:rFonts w:asciiTheme="minorEastAsia" w:hAnsiTheme="minorEastAsia" w:eastAsiaTheme="minorEastAsia" w:cstheme="minorEastAsia"/>
                <w:lang w:eastAsia="zh-CN"/>
              </w:rPr>
            </w:pP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业绩证明材料种类要求：</w:t>
            </w:r>
          </w:p>
          <w:p>
            <w:pPr>
              <w:spacing w:line="300" w:lineRule="exact"/>
              <w:ind w:left="282" w:leftChars="128"/>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提供上述勾选的任一项证明材料即可</w:t>
            </w:r>
          </w:p>
          <w:p>
            <w:pPr>
              <w:spacing w:line="300" w:lineRule="exact"/>
              <w:ind w:left="282" w:leftChars="128"/>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□需同时提供上述勾选的所有证明材料</w:t>
            </w:r>
          </w:p>
          <w:p>
            <w:pPr>
              <w:spacing w:line="300" w:lineRule="exact"/>
              <w:ind w:left="282" w:leftChars="128"/>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3.5(5)</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信誉要求证明材料</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□不适用</w:t>
            </w:r>
          </w:p>
          <w:p>
            <w:pPr>
              <w:spacing w:line="300" w:lineRule="exact"/>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适用。供应商应提供相关信誉情况的证明材料，包括：</w:t>
            </w:r>
          </w:p>
          <w:p>
            <w:pPr>
              <w:spacing w:line="300" w:lineRule="exact"/>
              <w:rPr>
                <w:rFonts w:asciiTheme="minorEastAsia" w:hAnsiTheme="minorEastAsia" w:eastAsiaTheme="minorEastAsia" w:cstheme="minorEastAsia"/>
                <w:snapToGrid w:val="0"/>
                <w:sz w:val="21"/>
                <w:szCs w:val="21"/>
                <w:u w:val="single"/>
                <w:lang w:eastAsia="zh-CN"/>
              </w:rPr>
            </w:pPr>
            <w:r>
              <w:rPr>
                <w:rFonts w:hint="eastAsia" w:asciiTheme="minorEastAsia" w:hAnsiTheme="minorEastAsia" w:eastAsiaTheme="minorEastAsia" w:cstheme="minorEastAsia"/>
                <w:snapToGrid w:val="0"/>
                <w:sz w:val="21"/>
                <w:szCs w:val="21"/>
                <w:u w:val="single"/>
                <w:lang w:eastAsia="zh-CN"/>
              </w:rPr>
              <w:t>在信用中国网查无不良信息记录；</w:t>
            </w:r>
          </w:p>
          <w:p>
            <w:pPr>
              <w:spacing w:line="300" w:lineRule="exact"/>
              <w:rPr>
                <w:rFonts w:asciiTheme="minorEastAsia" w:hAnsiTheme="minorEastAsia" w:eastAsiaTheme="minorEastAsia" w:cstheme="minorEastAsia"/>
                <w:snapToGrid w:val="0"/>
                <w:sz w:val="21"/>
                <w:szCs w:val="21"/>
                <w:u w:val="single"/>
                <w:lang w:eastAsia="zh-CN"/>
              </w:rPr>
            </w:pPr>
            <w:r>
              <w:rPr>
                <w:rFonts w:hint="eastAsia" w:asciiTheme="minorEastAsia" w:hAnsiTheme="minorEastAsia" w:eastAsiaTheme="minorEastAsia" w:cstheme="minorEastAsia"/>
                <w:snapToGrid w:val="0"/>
                <w:sz w:val="21"/>
                <w:szCs w:val="21"/>
                <w:u w:val="single"/>
                <w:lang w:eastAsia="zh-CN"/>
              </w:rPr>
              <w:t>在中国政府采购网查无严重违法失信行为；</w:t>
            </w:r>
          </w:p>
          <w:p>
            <w:pPr>
              <w:spacing w:line="300" w:lineRule="exact"/>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u w:val="single"/>
                <w:lang w:eastAsia="zh-CN"/>
              </w:rPr>
              <w:t>开户银行出具的资信证明。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3.5(6)</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承担本项目的主要人员要求证明材料</w:t>
            </w:r>
          </w:p>
        </w:tc>
        <w:tc>
          <w:tcPr>
            <w:tcW w:w="5060" w:type="dxa"/>
            <w:tcMar>
              <w:top w:w="57" w:type="dxa"/>
              <w:left w:w="57" w:type="dxa"/>
              <w:bottom w:w="57" w:type="dxa"/>
              <w:right w:w="57" w:type="dxa"/>
            </w:tcMar>
            <w:vAlign w:val="center"/>
          </w:tcPr>
          <w:p>
            <w:pPr>
              <w:spacing w:line="300" w:lineRule="exact"/>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sym w:font="Wingdings 2" w:char="0052"/>
            </w:r>
            <w:r>
              <w:rPr>
                <w:rFonts w:hint="eastAsia" w:asciiTheme="minorEastAsia" w:hAnsiTheme="minorEastAsia" w:eastAsiaTheme="minorEastAsia" w:cstheme="minorEastAsia"/>
                <w:snapToGrid w:val="0"/>
                <w:sz w:val="21"/>
                <w:szCs w:val="21"/>
                <w:lang w:eastAsia="zh-CN"/>
              </w:rPr>
              <w:t>不适用</w:t>
            </w:r>
          </w:p>
          <w:p>
            <w:pPr>
              <w:spacing w:line="300" w:lineRule="exact"/>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r>
              <w:rPr>
                <w:rFonts w:hint="eastAsia" w:asciiTheme="minorEastAsia" w:hAnsiTheme="minorEastAsia" w:eastAsiaTheme="minorEastAsia" w:cstheme="minorEastAsia"/>
                <w:snapToGrid w:val="0"/>
                <w:sz w:val="21"/>
                <w:szCs w:val="21"/>
                <w:u w:val="single"/>
                <w:lang w:eastAsia="zh-CN"/>
              </w:rPr>
              <w:t>职称证书、执业证书、社保缴费证明及业绩证明等的具体要求</w:t>
            </w:r>
            <w:r>
              <w:rPr>
                <w:rFonts w:hint="eastAsia" w:asciiTheme="minorEastAsia" w:hAnsiTheme="minorEastAsia" w:eastAsiaTheme="minorEastAsia" w:cs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3.5(7)</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其他要求的证明材料</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3.5(8)</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供应商不存在第一章3.2款情形的证明材料</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□不需提供证明材料</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sym w:font="Wingdings 2" w:char="0052"/>
            </w:r>
            <w:r>
              <w:rPr>
                <w:rFonts w:hint="eastAsia" w:asciiTheme="minorEastAsia" w:hAnsiTheme="minorEastAsia" w:eastAsiaTheme="minorEastAsia" w:cstheme="minorEastAsia"/>
                <w:snapToGrid w:val="0"/>
                <w:sz w:val="21"/>
                <w:szCs w:val="21"/>
                <w:lang w:eastAsia="zh-CN"/>
              </w:rPr>
              <w:t>需要提供证明材料，包括</w:t>
            </w:r>
            <w:r>
              <w:rPr>
                <w:rFonts w:hint="eastAsia" w:asciiTheme="minorEastAsia" w:hAnsiTheme="minorEastAsia" w:eastAsiaTheme="minorEastAsia" w:cstheme="minorEastAsia"/>
                <w:snapToGrid w:val="0"/>
                <w:sz w:val="21"/>
                <w:szCs w:val="21"/>
                <w:u w:val="single"/>
                <w:lang w:eastAsia="zh-CN"/>
              </w:rPr>
              <w:t>：公司承诺函。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3.5(9)</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联合体要求的证明材料</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不适用</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□适用。供应商应按照采购文件提供的格式</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（格式见第六章“响应文件格式”三、联合体协议书）拟订联合体协议书，并提供联合体协议书的原件。联合体协议书应明确联合体各方的分工。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3.6.1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对关键条款进行响应的证据或证明材料要求</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3.6.2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响应方案数量</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供应商只能提出唯一响应方案（除有文件规定允许的除外）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3.7.5</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响应文件电子版要求</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以EPS电子采购平台系统内上传的版本为准。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3.7.6</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分册装订要求</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提供电子版采购文件，纸质版标书1份正本、2份副本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4.2.1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递交响应文件截止时间和地点</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b/>
                <w:snapToGrid w:val="0"/>
                <w:sz w:val="21"/>
                <w:szCs w:val="21"/>
                <w:lang w:eastAsia="zh-CN"/>
              </w:rPr>
            </w:pPr>
            <w:r>
              <w:rPr>
                <w:rFonts w:hint="eastAsia" w:asciiTheme="minorEastAsia" w:hAnsiTheme="minorEastAsia" w:eastAsiaTheme="minorEastAsia" w:cstheme="minorEastAsia"/>
                <w:b/>
                <w:snapToGrid w:val="0"/>
                <w:sz w:val="21"/>
                <w:szCs w:val="21"/>
                <w:u w:val="single"/>
                <w:lang w:eastAsia="zh-CN"/>
              </w:rPr>
              <w:t>纸质版文件截止时间：</w:t>
            </w:r>
            <w:r>
              <w:rPr>
                <w:rFonts w:hint="eastAsia" w:asciiTheme="minorEastAsia" w:hAnsiTheme="minorEastAsia" w:eastAsiaTheme="minorEastAsia" w:cstheme="minorEastAsia"/>
                <w:b/>
                <w:snapToGrid w:val="0"/>
                <w:sz w:val="24"/>
                <w:szCs w:val="24"/>
                <w:u w:val="single"/>
                <w:lang w:eastAsia="zh-CN"/>
              </w:rPr>
              <w:t>2024年</w:t>
            </w:r>
            <w:r>
              <w:rPr>
                <w:rFonts w:hint="eastAsia" w:asciiTheme="minorEastAsia" w:hAnsiTheme="minorEastAsia" w:eastAsiaTheme="minorEastAsia" w:cstheme="minorEastAsia"/>
                <w:b/>
                <w:snapToGrid w:val="0"/>
                <w:sz w:val="24"/>
                <w:szCs w:val="24"/>
                <w:u w:val="single"/>
                <w:lang w:val="en-US" w:eastAsia="zh-CN"/>
              </w:rPr>
              <w:t>8</w:t>
            </w:r>
            <w:r>
              <w:rPr>
                <w:rFonts w:hint="eastAsia" w:asciiTheme="minorEastAsia" w:hAnsiTheme="minorEastAsia" w:eastAsiaTheme="minorEastAsia" w:cstheme="minorEastAsia"/>
                <w:b/>
                <w:snapToGrid w:val="0"/>
                <w:sz w:val="24"/>
                <w:szCs w:val="24"/>
                <w:u w:val="single"/>
                <w:lang w:eastAsia="zh-CN"/>
              </w:rPr>
              <w:t>月</w:t>
            </w:r>
            <w:r>
              <w:rPr>
                <w:rFonts w:hint="eastAsia" w:asciiTheme="minorEastAsia" w:hAnsiTheme="minorEastAsia" w:eastAsiaTheme="minorEastAsia" w:cstheme="minorEastAsia"/>
                <w:b/>
                <w:snapToGrid w:val="0"/>
                <w:sz w:val="24"/>
                <w:szCs w:val="24"/>
                <w:u w:val="single"/>
                <w:lang w:val="en-US" w:eastAsia="zh-CN"/>
              </w:rPr>
              <w:t>19</w:t>
            </w:r>
            <w:r>
              <w:rPr>
                <w:rFonts w:hint="eastAsia" w:asciiTheme="minorEastAsia" w:hAnsiTheme="minorEastAsia" w:eastAsiaTheme="minorEastAsia" w:cstheme="minorEastAsia"/>
                <w:b/>
                <w:snapToGrid w:val="0"/>
                <w:sz w:val="24"/>
                <w:szCs w:val="24"/>
                <w:u w:val="single"/>
                <w:lang w:eastAsia="zh-CN"/>
              </w:rPr>
              <w:t>日</w:t>
            </w:r>
            <w:r>
              <w:rPr>
                <w:rFonts w:hint="eastAsia" w:asciiTheme="minorEastAsia" w:hAnsiTheme="minorEastAsia" w:eastAsiaTheme="minorEastAsia" w:cstheme="minorEastAsia"/>
                <w:b/>
                <w:snapToGrid w:val="0"/>
                <w:sz w:val="24"/>
                <w:szCs w:val="24"/>
                <w:u w:val="single"/>
                <w:lang w:val="en-US" w:eastAsia="zh-CN"/>
              </w:rPr>
              <w:t>10</w:t>
            </w:r>
            <w:r>
              <w:rPr>
                <w:rFonts w:hint="eastAsia" w:asciiTheme="minorEastAsia" w:hAnsiTheme="minorEastAsia" w:eastAsiaTheme="minorEastAsia" w:cstheme="minorEastAsia"/>
                <w:b/>
                <w:snapToGrid w:val="0"/>
                <w:sz w:val="24"/>
                <w:szCs w:val="24"/>
                <w:u w:val="single"/>
                <w:lang w:eastAsia="zh-CN"/>
              </w:rPr>
              <w:t>时</w:t>
            </w:r>
            <w:r>
              <w:rPr>
                <w:rFonts w:hint="eastAsia" w:asciiTheme="minorEastAsia" w:hAnsiTheme="minorEastAsia" w:eastAsiaTheme="minorEastAsia" w:cstheme="minorEastAsia"/>
                <w:b/>
                <w:snapToGrid w:val="0"/>
                <w:sz w:val="24"/>
                <w:szCs w:val="24"/>
                <w:u w:val="single"/>
                <w:lang w:val="en-US" w:eastAsia="zh-CN"/>
              </w:rPr>
              <w:t>00</w:t>
            </w:r>
            <w:r>
              <w:rPr>
                <w:rFonts w:hint="eastAsia" w:asciiTheme="minorEastAsia" w:hAnsiTheme="minorEastAsia" w:eastAsiaTheme="minorEastAsia" w:cstheme="minorEastAsia"/>
                <w:b/>
                <w:snapToGrid w:val="0"/>
                <w:sz w:val="24"/>
                <w:szCs w:val="24"/>
                <w:u w:val="single"/>
                <w:lang w:eastAsia="zh-CN"/>
              </w:rPr>
              <w:t>分</w:t>
            </w:r>
            <w:bookmarkStart w:id="321" w:name="_GoBack"/>
            <w:bookmarkEnd w:id="321"/>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提交电子响应文件的方式：</w:t>
            </w:r>
            <w:r>
              <w:rPr>
                <w:rFonts w:hint="eastAsia" w:asciiTheme="minorEastAsia" w:hAnsiTheme="minorEastAsia" w:eastAsiaTheme="minorEastAsia" w:cstheme="minorEastAsia"/>
                <w:snapToGrid w:val="0"/>
                <w:sz w:val="21"/>
                <w:szCs w:val="21"/>
                <w:u w:val="single"/>
                <w:lang w:eastAsia="zh-CN"/>
              </w:rPr>
              <w:t>通过中粮糖业EPS电子采购平台上传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4.3.3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供应商撤回响应文件情况下退还响应保证金的时间</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自采购人收到供应商递交的书面通知之日起60日历天内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6.3.1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谈判轮次及谈判顺序</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谈判轮次：</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sym w:font="Wingdings 2" w:char="0052"/>
            </w:r>
            <w:r>
              <w:rPr>
                <w:rFonts w:hint="eastAsia" w:asciiTheme="minorEastAsia" w:hAnsiTheme="minorEastAsia" w:eastAsiaTheme="minorEastAsia" w:cstheme="minorEastAsia"/>
                <w:snapToGrid w:val="0"/>
                <w:sz w:val="21"/>
                <w:szCs w:val="21"/>
                <w:lang w:eastAsia="zh-CN"/>
              </w:rPr>
              <w:t>本项目共进行</w:t>
            </w:r>
            <w:r>
              <w:rPr>
                <w:rFonts w:hint="eastAsia" w:asciiTheme="minorEastAsia" w:hAnsiTheme="minorEastAsia" w:eastAsiaTheme="minorEastAsia" w:cstheme="minorEastAsia"/>
                <w:snapToGrid w:val="0"/>
                <w:sz w:val="21"/>
                <w:szCs w:val="21"/>
                <w:u w:val="single"/>
                <w:lang w:eastAsia="zh-CN"/>
              </w:rPr>
              <w:t xml:space="preserve">  2  </w:t>
            </w:r>
            <w:r>
              <w:rPr>
                <w:rFonts w:hint="eastAsia" w:asciiTheme="minorEastAsia" w:hAnsiTheme="minorEastAsia" w:eastAsiaTheme="minorEastAsia" w:cstheme="minorEastAsia"/>
                <w:snapToGrid w:val="0"/>
                <w:sz w:val="21"/>
                <w:szCs w:val="21"/>
                <w:lang w:eastAsia="zh-CN"/>
              </w:rPr>
              <w:t>轮谈判</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（注：一般不超过3轮。）</w:t>
            </w:r>
          </w:p>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谈判顺序：抽签决定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6.7.2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成交供应商</w:t>
            </w:r>
          </w:p>
        </w:tc>
        <w:tc>
          <w:tcPr>
            <w:tcW w:w="5060" w:type="dxa"/>
            <w:tcMar>
              <w:top w:w="57" w:type="dxa"/>
              <w:left w:w="57" w:type="dxa"/>
              <w:bottom w:w="57" w:type="dxa"/>
              <w:right w:w="57" w:type="dxa"/>
            </w:tcMar>
            <w:vAlign w:val="center"/>
          </w:tcPr>
          <w:p>
            <w:pPr>
              <w:spacing w:line="300" w:lineRule="exact"/>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7.5</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发布</w:t>
            </w:r>
            <w:r>
              <w:rPr>
                <w:rFonts w:hint="eastAsia" w:asciiTheme="minorEastAsia" w:hAnsiTheme="minorEastAsia" w:eastAsiaTheme="minorEastAsia" w:cstheme="minorEastAsia"/>
                <w:snapToGrid w:val="0"/>
                <w:sz w:val="21"/>
                <w:szCs w:val="21"/>
                <w:lang w:eastAsia="zh-CN"/>
              </w:rPr>
              <w:t>成交</w:t>
            </w:r>
            <w:r>
              <w:rPr>
                <w:rFonts w:hint="eastAsia" w:asciiTheme="minorEastAsia" w:hAnsiTheme="minorEastAsia" w:eastAsiaTheme="minorEastAsia" w:cstheme="minorEastAsia"/>
                <w:snapToGrid w:val="0"/>
                <w:sz w:val="21"/>
                <w:szCs w:val="21"/>
              </w:rPr>
              <w:t>公告</w:t>
            </w:r>
          </w:p>
        </w:tc>
        <w:tc>
          <w:tcPr>
            <w:tcW w:w="5060" w:type="dxa"/>
            <w:tcMar>
              <w:top w:w="57" w:type="dxa"/>
              <w:left w:w="57" w:type="dxa"/>
              <w:bottom w:w="57" w:type="dxa"/>
              <w:right w:w="57" w:type="dxa"/>
            </w:tcMar>
            <w:vAlign w:val="center"/>
          </w:tcPr>
          <w:p>
            <w:pPr>
              <w:tabs>
                <w:tab w:val="left" w:pos="4500"/>
              </w:tabs>
              <w:spacing w:line="300" w:lineRule="exact"/>
              <w:ind w:hanging="10"/>
              <w:jc w:val="both"/>
              <w:rPr>
                <w:rFonts w:asciiTheme="minorEastAsia" w:hAnsiTheme="minorEastAsia" w:eastAsiaTheme="minorEastAsia" w:cstheme="minorEastAsia"/>
                <w:snapToGrid w:val="0"/>
                <w:sz w:val="21"/>
                <w:szCs w:val="21"/>
                <w:u w:val="single"/>
                <w:lang w:eastAsia="zh-CN"/>
              </w:rPr>
            </w:pPr>
            <w:r>
              <w:rPr>
                <w:rFonts w:hint="eastAsia" w:asciiTheme="minorEastAsia" w:hAnsiTheme="minorEastAsia" w:eastAsiaTheme="minorEastAsia" w:cstheme="minorEastAsia"/>
                <w:snapToGrid w:val="0"/>
                <w:sz w:val="21"/>
                <w:szCs w:val="21"/>
                <w:lang w:eastAsia="zh-CN"/>
              </w:rPr>
              <w:t>公告媒介：</w:t>
            </w:r>
            <w:r>
              <w:rPr>
                <w:rFonts w:hint="eastAsia" w:asciiTheme="minorEastAsia" w:hAnsiTheme="minorEastAsia" w:eastAsiaTheme="minorEastAsia" w:cstheme="minorEastAsia"/>
                <w:snapToGrid w:val="0"/>
                <w:sz w:val="21"/>
                <w:szCs w:val="21"/>
                <w:u w:val="single"/>
                <w:lang w:eastAsia="zh-CN"/>
              </w:rPr>
              <w:t>中粮糖业EPS电子采购平台</w:t>
            </w:r>
          </w:p>
          <w:p>
            <w:pPr>
              <w:tabs>
                <w:tab w:val="left" w:pos="4500"/>
              </w:tabs>
              <w:spacing w:line="300" w:lineRule="exact"/>
              <w:ind w:hanging="1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lang w:eastAsia="zh-CN"/>
              </w:rPr>
              <w:t>其他应公告的内容：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7.6</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履约保证金</w:t>
            </w:r>
          </w:p>
        </w:tc>
        <w:tc>
          <w:tcPr>
            <w:tcW w:w="5060" w:type="dxa"/>
            <w:tcMar>
              <w:top w:w="57" w:type="dxa"/>
              <w:left w:w="57" w:type="dxa"/>
              <w:bottom w:w="57" w:type="dxa"/>
              <w:right w:w="57" w:type="dxa"/>
            </w:tcMar>
            <w:vAlign w:val="center"/>
          </w:tcPr>
          <w:p>
            <w:pPr>
              <w:spacing w:line="300" w:lineRule="exact"/>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□不要求递交</w:t>
            </w:r>
          </w:p>
          <w:p>
            <w:pPr>
              <w:spacing w:line="300" w:lineRule="exact"/>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☑要求递交</w:t>
            </w:r>
          </w:p>
          <w:p>
            <w:pPr>
              <w:spacing w:line="300" w:lineRule="exact"/>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履约保证金金额：中标总价的5%。</w:t>
            </w:r>
          </w:p>
          <w:p>
            <w:pPr>
              <w:spacing w:line="300" w:lineRule="exact"/>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 xml:space="preserve">履约保证金形式： 电汇  </w:t>
            </w:r>
          </w:p>
          <w:p>
            <w:pPr>
              <w:spacing w:line="300" w:lineRule="exact"/>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 xml:space="preserve">履约保证金有效期限：中标通知书发布之日起30日历天。 </w:t>
            </w:r>
          </w:p>
          <w:p>
            <w:pPr>
              <w:spacing w:line="300" w:lineRule="exact"/>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递交时间：中标通知书发布后30日历天内，且在合同签订之前。</w:t>
            </w:r>
          </w:p>
          <w:p>
            <w:pPr>
              <w:spacing w:line="300" w:lineRule="exact"/>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其他要求：缴纳足额的履约保证金是合同生效的前提条件。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tabs>
                <w:tab w:val="left" w:pos="4707"/>
              </w:tabs>
              <w:spacing w:line="276" w:lineRule="auto"/>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7.7</w:t>
            </w:r>
          </w:p>
        </w:tc>
        <w:tc>
          <w:tcPr>
            <w:tcW w:w="3445" w:type="dxa"/>
            <w:tcMar>
              <w:top w:w="57" w:type="dxa"/>
              <w:left w:w="57" w:type="dxa"/>
              <w:bottom w:w="57" w:type="dxa"/>
              <w:right w:w="57" w:type="dxa"/>
            </w:tcMar>
            <w:vAlign w:val="center"/>
          </w:tcPr>
          <w:p>
            <w:pPr>
              <w:tabs>
                <w:tab w:val="left" w:pos="4707"/>
              </w:tabs>
              <w:spacing w:line="276" w:lineRule="auto"/>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付款方式</w:t>
            </w:r>
          </w:p>
        </w:tc>
        <w:tc>
          <w:tcPr>
            <w:tcW w:w="5060" w:type="dxa"/>
            <w:tcMar>
              <w:top w:w="57" w:type="dxa"/>
              <w:left w:w="57" w:type="dxa"/>
              <w:bottom w:w="57" w:type="dxa"/>
              <w:right w:w="57" w:type="dxa"/>
            </w:tcMar>
            <w:vAlign w:val="center"/>
          </w:tcPr>
          <w:p>
            <w:pPr>
              <w:tabs>
                <w:tab w:val="left" w:pos="4707"/>
              </w:tabs>
              <w:spacing w:line="276" w:lineRule="auto"/>
              <w:ind w:left="282" w:leftChars="128"/>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详见合同条款</w:t>
            </w:r>
          </w:p>
        </w:tc>
      </w:tr>
    </w:tbl>
    <w:p>
      <w:pPr>
        <w:tabs>
          <w:tab w:val="left" w:pos="6336"/>
        </w:tabs>
        <w:spacing w:line="300" w:lineRule="exact"/>
        <w:rPr>
          <w:rFonts w:asciiTheme="minorEastAsia" w:hAnsiTheme="minorEastAsia" w:eastAsiaTheme="minorEastAsia" w:cstheme="minorEastAsia"/>
          <w:snapToGrid w:val="0"/>
          <w:sz w:val="24"/>
          <w:szCs w:val="24"/>
          <w:lang w:eastAsia="zh-CN"/>
        </w:rPr>
      </w:pPr>
      <w:bookmarkStart w:id="22" w:name="扫描0017"/>
      <w:bookmarkEnd w:id="22"/>
      <w:r>
        <w:rPr>
          <w:rFonts w:hint="eastAsia" w:asciiTheme="minorEastAsia" w:hAnsiTheme="minorEastAsia" w:eastAsiaTheme="minorEastAsia" w:cstheme="minorEastAsia"/>
          <w:snapToGrid w:val="0"/>
          <w:sz w:val="24"/>
          <w:szCs w:val="24"/>
          <w:lang w:eastAsia="zh-CN"/>
        </w:rPr>
        <w:br w:type="page"/>
      </w:r>
      <w:r>
        <w:rPr>
          <w:rFonts w:hint="eastAsia" w:asciiTheme="minorEastAsia" w:hAnsiTheme="minorEastAsia" w:eastAsiaTheme="minorEastAsia" w:cstheme="minorEastAsia"/>
          <w:snapToGrid w:val="0"/>
          <w:sz w:val="24"/>
          <w:szCs w:val="24"/>
          <w:lang w:eastAsia="zh-CN"/>
        </w:rPr>
        <w:tab/>
      </w:r>
    </w:p>
    <w:p>
      <w:pPr>
        <w:adjustRightInd w:val="0"/>
        <w:snapToGrid w:val="0"/>
        <w:spacing w:line="360" w:lineRule="auto"/>
        <w:jc w:val="center"/>
        <w:rPr>
          <w:rFonts w:asciiTheme="minorEastAsia" w:hAnsiTheme="minorEastAsia" w:eastAsiaTheme="minorEastAsia" w:cstheme="minorEastAsia"/>
          <w:b/>
          <w:bCs/>
          <w:snapToGrid w:val="0"/>
          <w:sz w:val="32"/>
          <w:szCs w:val="32"/>
          <w:lang w:eastAsia="zh-CN"/>
        </w:rPr>
      </w:pPr>
      <w:bookmarkStart w:id="23" w:name="扫描0020"/>
      <w:bookmarkEnd w:id="23"/>
      <w:r>
        <w:rPr>
          <w:rFonts w:hint="eastAsia" w:asciiTheme="minorEastAsia" w:hAnsiTheme="minorEastAsia" w:eastAsiaTheme="minorEastAsia" w:cstheme="minorEastAsia"/>
          <w:b/>
          <w:bCs/>
          <w:snapToGrid w:val="0"/>
          <w:sz w:val="32"/>
          <w:szCs w:val="32"/>
          <w:lang w:eastAsia="zh-CN"/>
        </w:rPr>
        <w:t>供应商须知</w:t>
      </w:r>
    </w:p>
    <w:p>
      <w:pPr>
        <w:pStyle w:val="5"/>
        <w:spacing w:line="400" w:lineRule="exact"/>
        <w:ind w:firstLine="482" w:firstLineChars="200"/>
        <w:rPr>
          <w:rFonts w:asciiTheme="minorEastAsia" w:hAnsiTheme="minorEastAsia" w:eastAsiaTheme="minorEastAsia" w:cstheme="minorEastAsia"/>
          <w:b/>
          <w:snapToGrid w:val="0"/>
          <w:sz w:val="24"/>
          <w:szCs w:val="24"/>
          <w:lang w:eastAsia="zh-CN"/>
        </w:rPr>
      </w:pPr>
      <w:bookmarkStart w:id="24" w:name="_Toc171584012"/>
      <w:r>
        <w:rPr>
          <w:rFonts w:hint="eastAsia" w:asciiTheme="minorEastAsia" w:hAnsiTheme="minorEastAsia" w:eastAsiaTheme="minorEastAsia" w:cstheme="minorEastAsia"/>
          <w:b/>
          <w:snapToGrid w:val="0"/>
          <w:sz w:val="24"/>
          <w:szCs w:val="24"/>
          <w:lang w:eastAsia="zh-CN"/>
        </w:rPr>
        <w:t>1.总则</w:t>
      </w:r>
      <w:bookmarkEnd w:id="24"/>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25" w:name="_Toc171584013"/>
      <w:r>
        <w:rPr>
          <w:rFonts w:hint="eastAsia" w:asciiTheme="minorEastAsia" w:hAnsiTheme="minorEastAsia" w:eastAsiaTheme="minorEastAsia" w:cstheme="minorEastAsia"/>
          <w:b/>
          <w:bCs/>
          <w:snapToGrid w:val="0"/>
          <w:sz w:val="24"/>
          <w:szCs w:val="24"/>
          <w:lang w:eastAsia="zh-CN"/>
        </w:rPr>
        <w:t>1.1采购方式</w:t>
      </w:r>
      <w:bookmarkEnd w:id="25"/>
    </w:p>
    <w:p>
      <w:pPr>
        <w:spacing w:line="400" w:lineRule="exact"/>
        <w:ind w:firstLine="400"/>
        <w:rPr>
          <w:rFonts w:asciiTheme="minorEastAsia" w:hAnsiTheme="minorEastAsia" w:eastAsiaTheme="minorEastAsia" w:cstheme="minorEastAsia"/>
          <w:b/>
          <w:snapToGrid w:val="0"/>
          <w:sz w:val="24"/>
          <w:szCs w:val="24"/>
          <w:lang w:eastAsia="zh-CN"/>
        </w:rPr>
      </w:pPr>
      <w:r>
        <w:rPr>
          <w:rFonts w:hint="eastAsia" w:asciiTheme="minorEastAsia" w:hAnsiTheme="minorEastAsia" w:eastAsiaTheme="minorEastAsia" w:cstheme="minorEastAsia"/>
          <w:snapToGrid w:val="0"/>
          <w:sz w:val="24"/>
          <w:szCs w:val="24"/>
          <w:lang w:eastAsia="zh-CN"/>
        </w:rPr>
        <w:t>本项目采用中粮糖业谈判采购方式。</w:t>
      </w:r>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26" w:name="_Toc171584014"/>
      <w:r>
        <w:rPr>
          <w:rFonts w:hint="eastAsia" w:asciiTheme="minorEastAsia" w:hAnsiTheme="minorEastAsia" w:eastAsiaTheme="minorEastAsia" w:cstheme="minorEastAsia"/>
          <w:b/>
          <w:bCs/>
          <w:snapToGrid w:val="0"/>
          <w:sz w:val="24"/>
          <w:szCs w:val="24"/>
          <w:lang w:eastAsia="zh-CN"/>
        </w:rPr>
        <w:t>1.2采购项目概况和供应商资格要求</w:t>
      </w:r>
      <w:bookmarkEnd w:id="26"/>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采购项目概况和供应商资格要求见第一章“谈判采购公告/谈判采购邀请书”。</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27" w:name="_Toc171584015"/>
      <w:r>
        <w:rPr>
          <w:rFonts w:hint="eastAsia" w:asciiTheme="minorEastAsia" w:hAnsiTheme="minorEastAsia" w:eastAsiaTheme="minorEastAsia" w:cstheme="minorEastAsia"/>
          <w:b/>
          <w:bCs/>
          <w:snapToGrid w:val="0"/>
          <w:sz w:val="24"/>
          <w:szCs w:val="24"/>
          <w:lang w:eastAsia="zh-CN"/>
        </w:rPr>
        <w:t>1.3费用承担</w:t>
      </w:r>
      <w:bookmarkEnd w:id="27"/>
    </w:p>
    <w:p>
      <w:pPr>
        <w:spacing w:line="400" w:lineRule="exact"/>
        <w:ind w:firstLine="400"/>
        <w:rPr>
          <w:rFonts w:asciiTheme="minorEastAsia" w:hAnsiTheme="minorEastAsia" w:eastAsiaTheme="minorEastAsia" w:cstheme="minorEastAsia"/>
          <w:snapToGrid w:val="0"/>
          <w:sz w:val="24"/>
          <w:szCs w:val="24"/>
          <w:lang w:eastAsia="zh-CN"/>
        </w:rPr>
      </w:pPr>
      <w:bookmarkStart w:id="28" w:name="_bookmark1"/>
      <w:bookmarkEnd w:id="28"/>
      <w:r>
        <w:rPr>
          <w:rFonts w:hint="eastAsia" w:asciiTheme="minorEastAsia" w:hAnsiTheme="minorEastAsia" w:eastAsiaTheme="minorEastAsia" w:cstheme="minorEastAsia"/>
          <w:snapToGrid w:val="0"/>
          <w:sz w:val="24"/>
          <w:szCs w:val="24"/>
          <w:lang w:eastAsia="zh-CN"/>
        </w:rPr>
        <w:t>供应商准备和参加谈判采购活动所发生的各种费用由供应商自行承担。</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29" w:name="_Toc171584016"/>
      <w:r>
        <w:rPr>
          <w:rFonts w:hint="eastAsia" w:asciiTheme="minorEastAsia" w:hAnsiTheme="minorEastAsia" w:eastAsiaTheme="minorEastAsia" w:cstheme="minorEastAsia"/>
          <w:b/>
          <w:bCs/>
          <w:snapToGrid w:val="0"/>
          <w:sz w:val="24"/>
          <w:szCs w:val="24"/>
          <w:lang w:eastAsia="zh-CN"/>
        </w:rPr>
        <w:t>1.4保密</w:t>
      </w:r>
      <w:bookmarkEnd w:id="29"/>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参加谈判采购活动的各方应对采购文件和响应文件中的商业和技术等秘密保密,否则应承担相应的法律责任。</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30" w:name="_Toc171584017"/>
      <w:r>
        <w:rPr>
          <w:rFonts w:hint="eastAsia" w:asciiTheme="minorEastAsia" w:hAnsiTheme="minorEastAsia" w:eastAsiaTheme="minorEastAsia" w:cstheme="minorEastAsia"/>
          <w:b/>
          <w:bCs/>
          <w:snapToGrid w:val="0"/>
          <w:sz w:val="24"/>
          <w:szCs w:val="24"/>
          <w:lang w:eastAsia="zh-CN"/>
        </w:rPr>
        <w:t>1.5语言文字</w:t>
      </w:r>
      <w:bookmarkEnd w:id="30"/>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采购文件和响应文件使用的语言文字为中文。专用术语使用外文的，应附有中文注释。</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31" w:name="_Toc171584018"/>
      <w:r>
        <w:rPr>
          <w:rFonts w:hint="eastAsia" w:asciiTheme="minorEastAsia" w:hAnsiTheme="minorEastAsia" w:eastAsiaTheme="minorEastAsia" w:cstheme="minorEastAsia"/>
          <w:b/>
          <w:bCs/>
          <w:snapToGrid w:val="0"/>
          <w:sz w:val="24"/>
          <w:szCs w:val="24"/>
          <w:lang w:eastAsia="zh-CN"/>
        </w:rPr>
        <w:t>1.6计量单位</w:t>
      </w:r>
      <w:bookmarkEnd w:id="31"/>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所有计量均采用中华人民共和国法定计量单位。</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32" w:name="_Toc171584019"/>
      <w:r>
        <w:rPr>
          <w:rFonts w:hint="eastAsia" w:asciiTheme="minorEastAsia" w:hAnsiTheme="minorEastAsia" w:eastAsiaTheme="minorEastAsia" w:cstheme="minorEastAsia"/>
          <w:b/>
          <w:bCs/>
          <w:snapToGrid w:val="0"/>
          <w:sz w:val="24"/>
          <w:szCs w:val="24"/>
          <w:lang w:eastAsia="zh-CN"/>
        </w:rPr>
        <w:t>1.7踏勘现场</w:t>
      </w:r>
      <w:bookmarkEnd w:id="32"/>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1.7.1供应商须知前附表规定组织踏勘现场的，采购人按供应商须知前附表规定的时间、地点组织供应商踏勘项目现场。部分供应商未按时参加踏勘现场的，不影响踏勘现场的正常进行。</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1.7.2供应商可自愿参加踏勘现场活动。除采购人的原因外，采购人对供应商参加踏勘现场中所发生的人员伤亡和财产损失不承担责任。</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1.7.3采购人在踏勘现场中介绍的工程场地和相关的周边环境情况，仅作为供应商编制响应文件的参考，采购人不对供应商据此作出的判断和决策负责。</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33" w:name="_Toc171584020"/>
      <w:r>
        <w:rPr>
          <w:rFonts w:hint="eastAsia" w:asciiTheme="minorEastAsia" w:hAnsiTheme="minorEastAsia" w:eastAsiaTheme="minorEastAsia" w:cstheme="minorEastAsia"/>
          <w:b/>
          <w:bCs/>
          <w:snapToGrid w:val="0"/>
          <w:sz w:val="24"/>
          <w:szCs w:val="24"/>
          <w:lang w:eastAsia="zh-CN"/>
        </w:rPr>
        <w:t>1.8谈判采购预备会</w:t>
      </w:r>
      <w:bookmarkEnd w:id="33"/>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供应商须知前附表规定召开谈判采购预备会的，采购人按供应商须知前附表规定的时间和地点召开谈判采购预备会。</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34" w:name="_Toc171584021"/>
      <w:r>
        <w:rPr>
          <w:rFonts w:hint="eastAsia" w:asciiTheme="minorEastAsia" w:hAnsiTheme="minorEastAsia" w:eastAsiaTheme="minorEastAsia" w:cstheme="minorEastAsia"/>
          <w:b/>
          <w:bCs/>
          <w:snapToGrid w:val="0"/>
          <w:sz w:val="24"/>
          <w:szCs w:val="24"/>
          <w:lang w:eastAsia="zh-CN"/>
        </w:rPr>
        <w:t>1.9分包</w:t>
      </w:r>
      <w:bookmarkEnd w:id="34"/>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供应商拟在成交后将成交项目的部分工作进行分包的，应符合供应商须知前附表的规定，并在响应文件中作出说明。</w:t>
      </w:r>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分包供应商不得将分包项目再次分包。成交供应商应当就分包项目向采购人负责,分包供应商就分包项目承担连带责任。</w:t>
      </w:r>
    </w:p>
    <w:p>
      <w:pPr>
        <w:spacing w:line="400" w:lineRule="exact"/>
        <w:ind w:firstLine="482" w:firstLineChars="200"/>
        <w:outlineLvl w:val="2"/>
        <w:rPr>
          <w:rFonts w:asciiTheme="minorEastAsia" w:hAnsiTheme="minorEastAsia" w:eastAsiaTheme="minorEastAsia" w:cstheme="minorEastAsia"/>
          <w:b/>
          <w:bCs/>
          <w:snapToGrid w:val="0"/>
          <w:sz w:val="24"/>
          <w:szCs w:val="24"/>
          <w:lang w:eastAsia="zh-CN"/>
        </w:rPr>
      </w:pPr>
      <w:bookmarkStart w:id="35" w:name="_Toc171584022"/>
      <w:r>
        <w:rPr>
          <w:rFonts w:hint="eastAsia" w:asciiTheme="minorEastAsia" w:hAnsiTheme="minorEastAsia" w:eastAsiaTheme="minorEastAsia" w:cstheme="minorEastAsia"/>
          <w:b/>
          <w:bCs/>
          <w:snapToGrid w:val="0"/>
          <w:sz w:val="24"/>
          <w:szCs w:val="24"/>
          <w:lang w:eastAsia="zh-CN"/>
        </w:rPr>
        <w:t>1.10响应和偏差</w:t>
      </w:r>
      <w:bookmarkEnd w:id="35"/>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1.10.1采购需求和合同草案中的关键条款均以“★”符号标记。响应文件应当对采购需求和合同草案中的关键条款作出满足性或更有利于采购人的响应，否则，供应商的响应文件将被视为无效。</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1.10.2供应商须知前附表规定了对非关键条款允许偏差的范围和可以偏差的项数的,如响应文件存在的偏差超出上述范围或项数，将被视为无效。</w:t>
      </w:r>
    </w:p>
    <w:p>
      <w:pPr>
        <w:spacing w:line="400" w:lineRule="exact"/>
        <w:rPr>
          <w:rFonts w:asciiTheme="minorEastAsia" w:hAnsiTheme="minorEastAsia" w:eastAsiaTheme="minorEastAsia" w:cstheme="minorEastAsia"/>
          <w:lang w:eastAsia="zh-CN"/>
        </w:rPr>
      </w:pPr>
    </w:p>
    <w:p>
      <w:pPr>
        <w:pStyle w:val="5"/>
        <w:spacing w:line="400" w:lineRule="exact"/>
        <w:ind w:firstLine="482" w:firstLineChars="200"/>
        <w:rPr>
          <w:rFonts w:asciiTheme="minorEastAsia" w:hAnsiTheme="minorEastAsia" w:eastAsiaTheme="minorEastAsia" w:cstheme="minorEastAsia"/>
          <w:b/>
          <w:bCs/>
          <w:snapToGrid w:val="0"/>
          <w:sz w:val="24"/>
          <w:szCs w:val="24"/>
          <w:lang w:eastAsia="zh-CN"/>
        </w:rPr>
      </w:pPr>
      <w:bookmarkStart w:id="36" w:name="_Toc171584023"/>
      <w:r>
        <w:rPr>
          <w:rFonts w:hint="eastAsia" w:asciiTheme="minorEastAsia" w:hAnsiTheme="minorEastAsia" w:eastAsiaTheme="minorEastAsia" w:cstheme="minorEastAsia"/>
          <w:b/>
          <w:bCs/>
          <w:snapToGrid w:val="0"/>
          <w:sz w:val="24"/>
          <w:szCs w:val="24"/>
          <w:lang w:eastAsia="zh-CN"/>
        </w:rPr>
        <w:t>2.采购文件</w:t>
      </w:r>
      <w:bookmarkEnd w:id="36"/>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37" w:name="_Toc171584024"/>
      <w:r>
        <w:rPr>
          <w:rFonts w:hint="eastAsia" w:asciiTheme="minorEastAsia" w:hAnsiTheme="minorEastAsia" w:eastAsiaTheme="minorEastAsia" w:cstheme="minorEastAsia"/>
          <w:b/>
          <w:snapToGrid w:val="0"/>
          <w:sz w:val="24"/>
          <w:szCs w:val="24"/>
          <w:lang w:eastAsia="zh-CN"/>
        </w:rPr>
        <w:t>2.1采购文件的组成</w:t>
      </w:r>
      <w:bookmarkEnd w:id="37"/>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本采购文件包括：</w:t>
      </w:r>
    </w:p>
    <w:p>
      <w:pPr>
        <w:pStyle w:val="12"/>
        <w:numPr>
          <w:ilvl w:val="2"/>
          <w:numId w:val="1"/>
        </w:numPr>
        <w:spacing w:line="400" w:lineRule="exact"/>
        <w:ind w:left="0"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谈判采购公告(或谈判采购邀请书)；</w:t>
      </w:r>
    </w:p>
    <w:p>
      <w:pPr>
        <w:pStyle w:val="12"/>
        <w:numPr>
          <w:ilvl w:val="2"/>
          <w:numId w:val="1"/>
        </w:numPr>
        <w:spacing w:line="400" w:lineRule="exact"/>
        <w:ind w:left="0" w:firstLine="400"/>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供应商须知；</w:t>
      </w:r>
    </w:p>
    <w:p>
      <w:pPr>
        <w:pStyle w:val="12"/>
        <w:numPr>
          <w:ilvl w:val="2"/>
          <w:numId w:val="1"/>
        </w:numPr>
        <w:spacing w:line="400" w:lineRule="exact"/>
        <w:ind w:left="0" w:firstLine="400"/>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评审办法；</w:t>
      </w:r>
    </w:p>
    <w:p>
      <w:pPr>
        <w:pStyle w:val="12"/>
        <w:numPr>
          <w:ilvl w:val="2"/>
          <w:numId w:val="1"/>
        </w:numPr>
        <w:spacing w:line="400" w:lineRule="exact"/>
        <w:ind w:left="0" w:firstLine="400"/>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合同草案；</w:t>
      </w:r>
    </w:p>
    <w:p>
      <w:pPr>
        <w:pStyle w:val="12"/>
        <w:numPr>
          <w:ilvl w:val="2"/>
          <w:numId w:val="1"/>
        </w:numPr>
        <w:spacing w:line="400" w:lineRule="exact"/>
        <w:ind w:left="0" w:firstLine="400"/>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采购需求；</w:t>
      </w:r>
    </w:p>
    <w:p>
      <w:pPr>
        <w:pStyle w:val="12"/>
        <w:numPr>
          <w:ilvl w:val="2"/>
          <w:numId w:val="1"/>
        </w:numPr>
        <w:spacing w:line="400" w:lineRule="exact"/>
        <w:ind w:left="0" w:firstLine="400"/>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响应文件格式；</w:t>
      </w:r>
    </w:p>
    <w:p>
      <w:pPr>
        <w:pStyle w:val="12"/>
        <w:numPr>
          <w:ilvl w:val="2"/>
          <w:numId w:val="1"/>
        </w:numPr>
        <w:spacing w:line="400" w:lineRule="exact"/>
        <w:ind w:left="0"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供应商须知前附表规定的其他资料。</w:t>
      </w:r>
    </w:p>
    <w:p>
      <w:pPr>
        <w:spacing w:line="400" w:lineRule="exact"/>
        <w:ind w:firstLine="400"/>
        <w:rPr>
          <w:rFonts w:asciiTheme="minorEastAsia" w:hAnsiTheme="minorEastAsia" w:eastAsiaTheme="minorEastAsia" w:cstheme="minorEastAsia"/>
          <w:snapToGrid w:val="0"/>
          <w:sz w:val="24"/>
          <w:szCs w:val="24"/>
          <w:lang w:eastAsia="zh-CN"/>
        </w:rPr>
      </w:pPr>
      <w:bookmarkStart w:id="38" w:name="_bookmark3"/>
      <w:bookmarkEnd w:id="38"/>
      <w:r>
        <w:rPr>
          <w:rFonts w:hint="eastAsia" w:asciiTheme="minorEastAsia" w:hAnsiTheme="minorEastAsia" w:eastAsiaTheme="minorEastAsia" w:cstheme="minorEastAsia"/>
          <w:snapToGrid w:val="0"/>
          <w:sz w:val="24"/>
          <w:szCs w:val="24"/>
          <w:lang w:eastAsia="zh-CN"/>
        </w:rPr>
        <w:t>采购人依照本章规定，对采购文件所作的澄清、修改，构成采购文件的组成部分。</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39" w:name="_Toc171584025"/>
      <w:r>
        <w:rPr>
          <w:rFonts w:hint="eastAsia" w:asciiTheme="minorEastAsia" w:hAnsiTheme="minorEastAsia" w:eastAsiaTheme="minorEastAsia" w:cstheme="minorEastAsia"/>
          <w:b/>
          <w:snapToGrid w:val="0"/>
          <w:sz w:val="24"/>
          <w:szCs w:val="24"/>
          <w:lang w:eastAsia="zh-CN"/>
        </w:rPr>
        <w:t>2.2采购文件的澄清和修改</w:t>
      </w:r>
      <w:bookmarkEnd w:id="39"/>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2.2.1供应商应仔细阅读和检查采购文件的全部内容。如发现缺页或内容不全，应及时向采购人提出，以便补齐。如有疑问，应在供应商须知前附表规定的时间前，以书面形式要求采购人对采购文件予以澄清。</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2.2.2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2.2.3供应商在收到补充文件后，应按供应商须知前附表规定的时间和方式通知采购人，确认已收到该补充文件。</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2.2.4除非确有必要，采购人有权拒绝回复供应商在本章第2.2.1项规定的时间后提出的任何澄清要求。</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p>
    <w:p>
      <w:pPr>
        <w:pStyle w:val="5"/>
        <w:spacing w:line="400" w:lineRule="exact"/>
        <w:ind w:firstLine="482" w:firstLineChars="200"/>
        <w:rPr>
          <w:rFonts w:asciiTheme="minorEastAsia" w:hAnsiTheme="minorEastAsia" w:eastAsiaTheme="minorEastAsia" w:cstheme="minorEastAsia"/>
          <w:b/>
          <w:bCs/>
          <w:snapToGrid w:val="0"/>
          <w:sz w:val="24"/>
          <w:szCs w:val="24"/>
          <w:lang w:eastAsia="zh-CN"/>
        </w:rPr>
      </w:pPr>
      <w:bookmarkStart w:id="40" w:name="_Toc171584026"/>
      <w:r>
        <w:rPr>
          <w:rFonts w:hint="eastAsia" w:asciiTheme="minorEastAsia" w:hAnsiTheme="minorEastAsia" w:eastAsiaTheme="minorEastAsia" w:cstheme="minorEastAsia"/>
          <w:b/>
          <w:bCs/>
          <w:snapToGrid w:val="0"/>
          <w:sz w:val="24"/>
          <w:szCs w:val="24"/>
          <w:lang w:eastAsia="zh-CN"/>
        </w:rPr>
        <w:t>3.响应文件</w:t>
      </w:r>
      <w:bookmarkEnd w:id="40"/>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41" w:name="_Toc171584027"/>
      <w:r>
        <w:rPr>
          <w:rFonts w:hint="eastAsia" w:asciiTheme="minorEastAsia" w:hAnsiTheme="minorEastAsia" w:eastAsiaTheme="minorEastAsia" w:cstheme="minorEastAsia"/>
          <w:b/>
          <w:snapToGrid w:val="0"/>
          <w:sz w:val="24"/>
          <w:szCs w:val="24"/>
          <w:lang w:eastAsia="zh-CN"/>
        </w:rPr>
        <w:t>3.1响应文件的组成</w:t>
      </w:r>
      <w:bookmarkEnd w:id="41"/>
    </w:p>
    <w:p>
      <w:pPr>
        <w:pStyle w:val="12"/>
        <w:spacing w:line="400" w:lineRule="exact"/>
        <w:ind w:firstLine="480" w:firstLineChars="2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3.1.1响应文件应包括下列内容：</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响应函；</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授权委托书(如有)；</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联合体协议书(如有)；</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响应保证金(如有)；</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商务和技术偏差表；</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报价表；</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资格审查资料；</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响应方案；</w:t>
      </w:r>
    </w:p>
    <w:p>
      <w:pPr>
        <w:pStyle w:val="12"/>
        <w:numPr>
          <w:ilvl w:val="0"/>
          <w:numId w:val="2"/>
        </w:numPr>
        <w:spacing w:line="400" w:lineRule="exact"/>
        <w:ind w:left="0" w:firstLine="4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供应商须知前附表规定的其他资料。</w:t>
      </w:r>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供应商在谈判和评审过程中作出的符合采购文件要求的澄清、说明和补正，构成响应文件的组成部分。</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3.1.2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42" w:name="_Toc171584028"/>
      <w:r>
        <w:rPr>
          <w:rFonts w:hint="eastAsia" w:asciiTheme="minorEastAsia" w:hAnsiTheme="minorEastAsia" w:eastAsiaTheme="minorEastAsia" w:cstheme="minorEastAsia"/>
          <w:b/>
          <w:snapToGrid w:val="0"/>
          <w:sz w:val="24"/>
          <w:szCs w:val="24"/>
          <w:lang w:eastAsia="zh-CN"/>
        </w:rPr>
        <w:t>3.2报价</w:t>
      </w:r>
      <w:bookmarkEnd w:id="42"/>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3.2.1供应商应按采购文件提供的格式(见第六章“响应文件格式”)在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3.2.2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3.2.3采购人设有最高限价的，供应商的报价不得超过最高限价。最高限价或最高限价计算方法在供应商须知前附表中载明。</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bookmarkStart w:id="43" w:name="_bookmark4"/>
      <w:bookmarkEnd w:id="43"/>
      <w:r>
        <w:rPr>
          <w:rFonts w:hint="eastAsia" w:asciiTheme="minorEastAsia" w:hAnsiTheme="minorEastAsia" w:eastAsiaTheme="minorEastAsia" w:cstheme="minorEastAsia"/>
          <w:snapToGrid w:val="0"/>
          <w:sz w:val="24"/>
          <w:szCs w:val="24"/>
          <w:lang w:eastAsia="zh-CN"/>
        </w:rPr>
        <w:t>3.2.4报价的其他要求见供应商须知前附表。</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44" w:name="_Toc171584029"/>
      <w:r>
        <w:rPr>
          <w:rFonts w:hint="eastAsia" w:asciiTheme="minorEastAsia" w:hAnsiTheme="minorEastAsia" w:eastAsiaTheme="minorEastAsia" w:cstheme="minorEastAsia"/>
          <w:b/>
          <w:snapToGrid w:val="0"/>
          <w:sz w:val="24"/>
          <w:szCs w:val="24"/>
          <w:lang w:eastAsia="zh-CN"/>
        </w:rPr>
        <w:t>3.3响应文件有效期</w:t>
      </w:r>
      <w:bookmarkEnd w:id="44"/>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3.3.1除供应商须知前附表另有规定外，响应文件有效期应为90日历天，从采购文件规定的递交响应文件的截止时间开始计算。</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bookmarkStart w:id="45" w:name="扫描0024"/>
      <w:bookmarkEnd w:id="45"/>
      <w:r>
        <w:rPr>
          <w:rFonts w:hint="eastAsia" w:asciiTheme="minorEastAsia" w:hAnsiTheme="minorEastAsia" w:eastAsiaTheme="minorEastAsia" w:cstheme="minorEastAsia"/>
          <w:snapToGrid w:val="0"/>
          <w:sz w:val="24"/>
          <w:szCs w:val="24"/>
          <w:lang w:eastAsia="zh-CN"/>
        </w:rPr>
        <w:t>3.3.2出现特殊情况需要延长响应文件有效期的，采购人在EPS系统中通过标前澄清通知所有供应商延长响应文件有效期。</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46" w:name="_Toc171584030"/>
      <w:r>
        <w:rPr>
          <w:rFonts w:hint="eastAsia" w:asciiTheme="minorEastAsia" w:hAnsiTheme="minorEastAsia" w:eastAsiaTheme="minorEastAsia" w:cstheme="minorEastAsia"/>
          <w:b/>
          <w:snapToGrid w:val="0"/>
          <w:sz w:val="24"/>
          <w:szCs w:val="24"/>
          <w:lang w:eastAsia="zh-CN"/>
        </w:rPr>
        <w:t>3.4响应保证金</w:t>
      </w:r>
      <w:bookmarkEnd w:id="46"/>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3.4.1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3.4.2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3.4.3有下列情形之一的，响应保证金将不予退还：</w:t>
      </w:r>
    </w:p>
    <w:p>
      <w:pPr>
        <w:pStyle w:val="12"/>
        <w:numPr>
          <w:ilvl w:val="3"/>
          <w:numId w:val="3"/>
        </w:numPr>
        <w:spacing w:line="400" w:lineRule="exact"/>
        <w:ind w:left="0" w:firstLine="4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供应商在响应文件有效期内撤销响应文件；</w:t>
      </w:r>
    </w:p>
    <w:p>
      <w:pPr>
        <w:pStyle w:val="12"/>
        <w:numPr>
          <w:ilvl w:val="3"/>
          <w:numId w:val="3"/>
        </w:numPr>
        <w:spacing w:line="400" w:lineRule="exact"/>
        <w:ind w:left="0" w:firstLine="4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成交供应商在收到成交通知书后，无正当理由不与采购人订立合同，在签订合同时向采购人提出附加条件；</w:t>
      </w:r>
    </w:p>
    <w:p>
      <w:pPr>
        <w:pStyle w:val="12"/>
        <w:numPr>
          <w:ilvl w:val="3"/>
          <w:numId w:val="3"/>
        </w:numPr>
        <w:spacing w:line="400" w:lineRule="exact"/>
        <w:ind w:left="0" w:firstLine="4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发生供应商须知前附表规定的其他不予退还响应保证金的情形。</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47" w:name="_Toc171584031"/>
      <w:r>
        <w:rPr>
          <w:rFonts w:hint="eastAsia" w:asciiTheme="minorEastAsia" w:hAnsiTheme="minorEastAsia" w:eastAsiaTheme="minorEastAsia" w:cstheme="minorEastAsia"/>
          <w:b/>
          <w:snapToGrid w:val="0"/>
          <w:sz w:val="24"/>
          <w:szCs w:val="24"/>
          <w:lang w:eastAsia="zh-CN"/>
        </w:rPr>
        <w:t>3.5资格审查资料</w:t>
      </w:r>
      <w:bookmarkEnd w:id="47"/>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供应商应提供供应商须知前附表3.5(1)-3.5(9)中规定的资格审查资料，以证明其满足第一章“谈判采购公告/谈判采购邀请书”对供应商的各项资格要求。</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48" w:name="_Toc171584032"/>
      <w:r>
        <w:rPr>
          <w:rFonts w:hint="eastAsia" w:asciiTheme="minorEastAsia" w:hAnsiTheme="minorEastAsia" w:eastAsiaTheme="minorEastAsia" w:cstheme="minorEastAsia"/>
          <w:b/>
          <w:snapToGrid w:val="0"/>
          <w:sz w:val="24"/>
          <w:szCs w:val="24"/>
          <w:lang w:eastAsia="zh-CN"/>
        </w:rPr>
        <w:t>3.6响应方案</w:t>
      </w:r>
      <w:bookmarkEnd w:id="48"/>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3.6.1响应文件应当对采购文件中的实质性内容作出响应。采购需求中明确为关键条款(标记“★”)的，供应商还应按照供应商须知前附表的规定提供有关证据或证明材料。</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3.6.2除供应商须知前附表规定供应商只能提出唯一响应方案外，供应商可在首次递交的响应文件中提出多个响应方案。供应商在最终报价前应确定一个最终方案，并针对最终方案提出最终报价。</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3.6.3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49" w:name="_bookmark5"/>
      <w:bookmarkEnd w:id="49"/>
      <w:bookmarkStart w:id="50" w:name="扫描0025"/>
      <w:bookmarkEnd w:id="50"/>
      <w:bookmarkStart w:id="51" w:name="_Toc171584033"/>
      <w:r>
        <w:rPr>
          <w:rFonts w:hint="eastAsia" w:asciiTheme="minorEastAsia" w:hAnsiTheme="minorEastAsia" w:eastAsiaTheme="minorEastAsia" w:cstheme="minorEastAsia"/>
          <w:b/>
          <w:snapToGrid w:val="0"/>
          <w:sz w:val="24"/>
          <w:szCs w:val="24"/>
          <w:lang w:eastAsia="zh-CN"/>
        </w:rPr>
        <w:t>3.7响应文件的编制</w:t>
      </w:r>
      <w:bookmarkEnd w:id="51"/>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3.7.1响应文件应按第六章“响应文件格式”进行编写，如有必要，可以增加附页，作为响应文件的组成部分。</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3.7.2响应文件应用不褪色的材料书写或打印。</w:t>
      </w:r>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响应函应由供应商的法定代表人（单位负责人）或其授权的代理人签字并加盖单位公章。</w:t>
      </w:r>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联合体协议书（如有）应由联合体各方的法定代表人（单位负责人）或其授权的代理人签字并加盖单位公章。</w:t>
      </w:r>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响应函或联合体协议书（如有）由代理人签字的，应在响应文件中附授权委托书，授权委托书应由供应商或联合体各方的法定代表人（单位负责人）签字并加盖单位公章。</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3.7.3谈判中供应商对响应文件的澄清、说明和补正应由供应商的法定代表人（单位负责人）或其授权的代理人签字或加盖单位公章。</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3.7.4响应文件应尽量避免涂改、行间插字或删除。如果出现上述情况，改动之处应由供应商的法定代表人（单位负责人）或其授权的代理人签字或加盖单位公章。</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3.7.5响应文件正本一份，副本份数见供应商须知前附表。正本和副本的封面右上角应清楚地标记“正本”或“副本”的字样。供应商应根据供应商须知前附表要求提供电子版文件。当副本和正本不一致时，以正本为准；当电子版文件和纸质版文件不一致时，以EPS电子采购平台系统内上传的版本为准。</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3.7.6响应文件的正本与副本应分别装订，并编制目录。响应文件需分册装订的，具体分册装订要求见供应商须知前附表规定。</w:t>
      </w:r>
    </w:p>
    <w:p>
      <w:pPr>
        <w:spacing w:line="400" w:lineRule="exact"/>
        <w:rPr>
          <w:rFonts w:asciiTheme="minorEastAsia" w:hAnsiTheme="minorEastAsia" w:eastAsiaTheme="minorEastAsia" w:cstheme="minorEastAsia"/>
          <w:lang w:eastAsia="zh-CN"/>
        </w:rPr>
      </w:pPr>
    </w:p>
    <w:p>
      <w:pPr>
        <w:pStyle w:val="5"/>
        <w:spacing w:line="400" w:lineRule="exact"/>
        <w:ind w:firstLine="482" w:firstLineChars="200"/>
        <w:rPr>
          <w:rFonts w:asciiTheme="minorEastAsia" w:hAnsiTheme="minorEastAsia" w:eastAsiaTheme="minorEastAsia" w:cstheme="minorEastAsia"/>
          <w:b/>
          <w:bCs/>
          <w:snapToGrid w:val="0"/>
          <w:sz w:val="24"/>
          <w:szCs w:val="24"/>
          <w:lang w:eastAsia="zh-CN"/>
        </w:rPr>
      </w:pPr>
      <w:bookmarkStart w:id="52" w:name="_Toc171584034"/>
      <w:r>
        <w:rPr>
          <w:rFonts w:hint="eastAsia" w:asciiTheme="minorEastAsia" w:hAnsiTheme="minorEastAsia" w:eastAsiaTheme="minorEastAsia" w:cstheme="minorEastAsia"/>
          <w:b/>
          <w:bCs/>
          <w:snapToGrid w:val="0"/>
          <w:sz w:val="24"/>
          <w:szCs w:val="24"/>
          <w:lang w:eastAsia="zh-CN"/>
        </w:rPr>
        <w:t>4.采购和评审</w:t>
      </w:r>
      <w:bookmarkEnd w:id="52"/>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53" w:name="_Toc171584035"/>
      <w:r>
        <w:rPr>
          <w:rFonts w:hint="eastAsia" w:asciiTheme="minorEastAsia" w:hAnsiTheme="minorEastAsia" w:eastAsiaTheme="minorEastAsia" w:cstheme="minorEastAsia"/>
          <w:b/>
          <w:snapToGrid w:val="0"/>
          <w:sz w:val="24"/>
          <w:szCs w:val="24"/>
          <w:lang w:eastAsia="zh-CN"/>
        </w:rPr>
        <w:t>4.1采购小组</w:t>
      </w:r>
      <w:bookmarkEnd w:id="53"/>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4.1.1采购方将组建采购小组，由采购小组按照本条规定的程序以及第三章“评审办法”的规定与供应商进行谈判、对响应文件进行评审和比较。</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4.1.2采购小组成员有下列情形之一的，应当回避：</w:t>
      </w:r>
    </w:p>
    <w:p>
      <w:pPr>
        <w:pStyle w:val="12"/>
        <w:spacing w:line="400" w:lineRule="exact"/>
        <w:ind w:left="4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（1）供应商主要负责人或供应商主要负责人的近亲属；</w:t>
      </w:r>
    </w:p>
    <w:p>
      <w:pPr>
        <w:pStyle w:val="12"/>
        <w:spacing w:line="400" w:lineRule="exact"/>
        <w:ind w:left="400"/>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（2）与供应商有经济利益关系或其他利害关系，可能影响公正评审的。</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4.1.3采购小组组建后，采购小组成员共同推选或由采购人指定采购小组组长，采购小组组长负责组织谈判及评审工作。</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4.1.4在谈判和评审过程中，采购小组成员对需要共同认定的事项存在争议的，将按照少数服从多数的原则作出结论。持不同意见的采购小组成员应当在评审资料上写明不同意见及理由，否则视为同意评审资料。</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54" w:name="_Toc171584036"/>
      <w:r>
        <w:rPr>
          <w:rFonts w:hint="eastAsia" w:asciiTheme="minorEastAsia" w:hAnsiTheme="minorEastAsia" w:eastAsiaTheme="minorEastAsia" w:cstheme="minorEastAsia"/>
          <w:b/>
          <w:snapToGrid w:val="0"/>
          <w:sz w:val="24"/>
          <w:szCs w:val="24"/>
          <w:lang w:eastAsia="zh-CN"/>
        </w:rPr>
        <w:t>4.2初步评审</w:t>
      </w:r>
      <w:bookmarkEnd w:id="54"/>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4.2.1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4.2.2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4.2.3只有形式评审和资格评审合格且实质性响应采购文件要求的供应商才可通过初步评审。经供应商澄清、说明和补正后仍未通过初步评审的响应文件将被视为无效，采购小组应告知有关供应商。</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55" w:name="_Toc171584037"/>
      <w:r>
        <w:rPr>
          <w:rFonts w:hint="eastAsia" w:asciiTheme="minorEastAsia" w:hAnsiTheme="minorEastAsia" w:eastAsiaTheme="minorEastAsia" w:cstheme="minorEastAsia"/>
          <w:b/>
          <w:snapToGrid w:val="0"/>
          <w:sz w:val="24"/>
          <w:szCs w:val="24"/>
          <w:lang w:eastAsia="zh-CN"/>
        </w:rPr>
        <w:t>4.3谈判</w:t>
      </w:r>
      <w:bookmarkEnd w:id="55"/>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4.3.1采购小组应按照供应商须知前附表规定的谈判轮次及谈判顺序与通过初步评审的供应商逐一进行谈判。</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4.3.2通过公告方式邀请供应商且通过初步评审的供应商均需进行谈判。</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4.3.3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spacing w:line="400" w:lineRule="exact"/>
        <w:ind w:firstLine="400"/>
        <w:outlineLvl w:val="3"/>
        <w:rPr>
          <w:rFonts w:asciiTheme="minorEastAsia" w:hAnsiTheme="minorEastAsia" w:eastAsiaTheme="minorEastAsia" w:cstheme="minorEastAsia"/>
          <w:snapToGrid w:val="0"/>
          <w:sz w:val="24"/>
          <w:szCs w:val="24"/>
          <w:lang w:eastAsia="zh-CN"/>
        </w:rPr>
      </w:pP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56" w:name="_Toc171584038"/>
      <w:r>
        <w:rPr>
          <w:rFonts w:hint="eastAsia" w:asciiTheme="minorEastAsia" w:hAnsiTheme="minorEastAsia" w:eastAsiaTheme="minorEastAsia" w:cstheme="minorEastAsia"/>
          <w:b/>
          <w:snapToGrid w:val="0"/>
          <w:sz w:val="24"/>
          <w:szCs w:val="24"/>
          <w:lang w:eastAsia="zh-CN"/>
        </w:rPr>
        <w:t>4.4递交补充响应文件</w:t>
      </w:r>
      <w:bookmarkEnd w:id="56"/>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4.4.1在谈判过程中，采购小组可根据谈判情况修改和补充采购文件中采购需求部分</w:t>
      </w:r>
      <w:bookmarkStart w:id="57" w:name="扫描0028"/>
      <w:bookmarkEnd w:id="57"/>
      <w:r>
        <w:rPr>
          <w:rFonts w:hint="eastAsia" w:asciiTheme="minorEastAsia" w:hAnsiTheme="minorEastAsia" w:eastAsiaTheme="minorEastAsia" w:cstheme="minorEastAsia"/>
          <w:snapToGrid w:val="0"/>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分。</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4.4.2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4.4.3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58" w:name="_Toc171584039"/>
      <w:r>
        <w:rPr>
          <w:rFonts w:hint="eastAsia" w:asciiTheme="minorEastAsia" w:hAnsiTheme="minorEastAsia" w:eastAsiaTheme="minorEastAsia" w:cstheme="minorEastAsia"/>
          <w:b/>
          <w:snapToGrid w:val="0"/>
          <w:sz w:val="24"/>
          <w:szCs w:val="24"/>
          <w:lang w:eastAsia="zh-CN"/>
        </w:rPr>
        <w:t>4.5递交最终报价</w:t>
      </w:r>
      <w:bookmarkEnd w:id="58"/>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在EPS系统上递交最终报价。最终报价是供应商响应文件的组成部分。</w:t>
      </w:r>
    </w:p>
    <w:p>
      <w:pPr>
        <w:spacing w:line="400" w:lineRule="exact"/>
        <w:ind w:firstLine="400"/>
        <w:jc w:val="both"/>
        <w:rPr>
          <w:rFonts w:asciiTheme="minorEastAsia" w:hAnsiTheme="minorEastAsia" w:eastAsiaTheme="minorEastAsia" w:cstheme="minorEastAsia"/>
          <w:snapToGrid w:val="0"/>
          <w:sz w:val="24"/>
          <w:szCs w:val="24"/>
          <w:lang w:eastAsia="zh-CN"/>
        </w:rPr>
      </w:pP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59" w:name="_Toc171584040"/>
      <w:r>
        <w:rPr>
          <w:rFonts w:hint="eastAsia" w:asciiTheme="minorEastAsia" w:hAnsiTheme="minorEastAsia" w:eastAsiaTheme="minorEastAsia" w:cstheme="minorEastAsia"/>
          <w:b/>
          <w:snapToGrid w:val="0"/>
          <w:sz w:val="24"/>
          <w:szCs w:val="24"/>
          <w:lang w:eastAsia="zh-CN"/>
        </w:rPr>
        <w:t>4.6详细评审及推荐成交供应商</w:t>
      </w:r>
      <w:bookmarkEnd w:id="59"/>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4.6.1采购小组按照第三章“评审办法”规定的评审方法、评审因素、评审标准和程序对响应文件进行详细评审。第三章“评审办法”没有规定的方法、因素和标准，不作为评审依据。</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4.6.2评审完成后，采购小组应当向采购人提交书面评审资料和推荐成交供应商名单。</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4.6.3所有供应商最终报价均明显不合理的，采购人将终止采购活动。</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60" w:name="_Toc171584041"/>
      <w:r>
        <w:rPr>
          <w:rFonts w:hint="eastAsia" w:asciiTheme="minorEastAsia" w:hAnsiTheme="minorEastAsia" w:eastAsiaTheme="minorEastAsia" w:cstheme="minorEastAsia"/>
          <w:b/>
          <w:snapToGrid w:val="0"/>
          <w:sz w:val="24"/>
          <w:szCs w:val="24"/>
          <w:lang w:eastAsia="zh-CN"/>
        </w:rPr>
        <w:t>4.7 特殊情形处理</w:t>
      </w:r>
      <w:bookmarkEnd w:id="60"/>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61" w:name="扫描0029"/>
      <w:bookmarkEnd w:id="61"/>
      <w:r>
        <w:rPr>
          <w:rFonts w:hint="eastAsia" w:asciiTheme="minorEastAsia" w:hAnsiTheme="minorEastAsia" w:eastAsiaTheme="minorEastAsia" w:cstheme="minorEastAsia"/>
          <w:snapToGrid w:val="0"/>
          <w:sz w:val="24"/>
          <w:szCs w:val="24"/>
          <w:lang w:eastAsia="zh-CN"/>
        </w:rPr>
        <w:t>将终止采购活动。</w:t>
      </w:r>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决定终止采购活动的，采购人将向采购小组出具停止谈判通知书。</w:t>
      </w:r>
    </w:p>
    <w:p>
      <w:pPr>
        <w:spacing w:line="400" w:lineRule="exact"/>
        <w:ind w:firstLine="400"/>
        <w:rPr>
          <w:rFonts w:asciiTheme="minorEastAsia" w:hAnsiTheme="minorEastAsia" w:eastAsiaTheme="minorEastAsia" w:cstheme="minorEastAsia"/>
          <w:snapToGrid w:val="0"/>
          <w:sz w:val="24"/>
          <w:szCs w:val="24"/>
          <w:lang w:eastAsia="zh-CN"/>
        </w:rPr>
      </w:pPr>
    </w:p>
    <w:p>
      <w:pPr>
        <w:pStyle w:val="5"/>
        <w:spacing w:line="400" w:lineRule="exact"/>
        <w:ind w:firstLine="482" w:firstLineChars="200"/>
        <w:rPr>
          <w:rFonts w:asciiTheme="minorEastAsia" w:hAnsiTheme="minorEastAsia" w:eastAsiaTheme="minorEastAsia" w:cstheme="minorEastAsia"/>
          <w:b/>
          <w:bCs/>
          <w:snapToGrid w:val="0"/>
          <w:sz w:val="24"/>
          <w:szCs w:val="24"/>
          <w:lang w:eastAsia="zh-CN"/>
        </w:rPr>
      </w:pPr>
      <w:bookmarkStart w:id="62" w:name="_Toc171584042"/>
      <w:r>
        <w:rPr>
          <w:rFonts w:hint="eastAsia" w:asciiTheme="minorEastAsia" w:hAnsiTheme="minorEastAsia" w:eastAsiaTheme="minorEastAsia" w:cstheme="minorEastAsia"/>
          <w:b/>
          <w:bCs/>
          <w:snapToGrid w:val="0"/>
          <w:sz w:val="24"/>
          <w:szCs w:val="24"/>
          <w:lang w:eastAsia="zh-CN"/>
        </w:rPr>
        <w:t>5．合同授予</w:t>
      </w:r>
      <w:bookmarkEnd w:id="62"/>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63" w:name="_Toc171584043"/>
      <w:bookmarkStart w:id="64" w:name="_Toc91750572"/>
      <w:r>
        <w:rPr>
          <w:rFonts w:hint="eastAsia" w:asciiTheme="minorEastAsia" w:hAnsiTheme="minorEastAsia" w:eastAsiaTheme="minorEastAsia" w:cstheme="minorEastAsia"/>
          <w:b/>
          <w:snapToGrid w:val="0"/>
          <w:sz w:val="24"/>
          <w:szCs w:val="24"/>
          <w:lang w:eastAsia="zh-CN"/>
        </w:rPr>
        <w:t>5.1发出成交通知书</w:t>
      </w:r>
      <w:bookmarkEnd w:id="63"/>
      <w:bookmarkEnd w:id="64"/>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采购人在EPS系统上发出成交通知书。</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65" w:name="_Toc171584044"/>
      <w:bookmarkStart w:id="66" w:name="_Toc91750574"/>
      <w:r>
        <w:rPr>
          <w:rFonts w:hint="eastAsia" w:asciiTheme="minorEastAsia" w:hAnsiTheme="minorEastAsia" w:eastAsiaTheme="minorEastAsia" w:cstheme="minorEastAsia"/>
          <w:b/>
          <w:snapToGrid w:val="0"/>
          <w:sz w:val="24"/>
          <w:szCs w:val="24"/>
          <w:lang w:eastAsia="zh-CN"/>
        </w:rPr>
        <w:t>5.2履约保证金</w:t>
      </w:r>
      <w:bookmarkEnd w:id="65"/>
      <w:bookmarkEnd w:id="66"/>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供应商须知前附表规定递交履约保证金的，成交供应商应按供应商须知前附表规定的形式、有效期限和递交时间向采购人递交履约保证金。</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67" w:name="_Toc91750575"/>
      <w:bookmarkStart w:id="68" w:name="_Toc171584045"/>
      <w:r>
        <w:rPr>
          <w:rFonts w:hint="eastAsia" w:asciiTheme="minorEastAsia" w:hAnsiTheme="minorEastAsia" w:eastAsiaTheme="minorEastAsia" w:cstheme="minorEastAsia"/>
          <w:b/>
          <w:snapToGrid w:val="0"/>
          <w:sz w:val="24"/>
          <w:szCs w:val="24"/>
          <w:lang w:eastAsia="zh-CN"/>
        </w:rPr>
        <w:t>5.3 签订合同</w:t>
      </w:r>
      <w:bookmarkEnd w:id="67"/>
      <w:bookmarkEnd w:id="68"/>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spacing w:line="400" w:lineRule="exact"/>
        <w:ind w:firstLine="400"/>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联合体成交的，联合体各方应当共同与采购人签订合同，就成交项目向采购人承担连带责任。</w:t>
      </w:r>
    </w:p>
    <w:p>
      <w:pPr>
        <w:spacing w:line="400" w:lineRule="exact"/>
        <w:rPr>
          <w:rFonts w:asciiTheme="minorEastAsia" w:hAnsiTheme="minorEastAsia" w:eastAsiaTheme="minorEastAsia" w:cstheme="minorEastAsia"/>
          <w:lang w:eastAsia="zh-CN"/>
        </w:rPr>
      </w:pPr>
    </w:p>
    <w:p>
      <w:pPr>
        <w:pStyle w:val="5"/>
        <w:spacing w:line="400" w:lineRule="exact"/>
        <w:ind w:firstLine="482" w:firstLineChars="200"/>
        <w:rPr>
          <w:rFonts w:asciiTheme="minorEastAsia" w:hAnsiTheme="minorEastAsia" w:eastAsiaTheme="minorEastAsia" w:cstheme="minorEastAsia"/>
          <w:b/>
          <w:snapToGrid w:val="0"/>
          <w:sz w:val="24"/>
          <w:szCs w:val="24"/>
          <w:lang w:eastAsia="zh-CN"/>
        </w:rPr>
      </w:pPr>
      <w:bookmarkStart w:id="69" w:name="扫描0031"/>
      <w:bookmarkEnd w:id="69"/>
      <w:bookmarkStart w:id="70" w:name="_Toc171584046"/>
      <w:r>
        <w:rPr>
          <w:rFonts w:hint="eastAsia" w:asciiTheme="minorEastAsia" w:hAnsiTheme="minorEastAsia" w:eastAsiaTheme="minorEastAsia" w:cstheme="minorEastAsia"/>
          <w:b/>
          <w:snapToGrid w:val="0"/>
          <w:sz w:val="24"/>
          <w:szCs w:val="24"/>
          <w:lang w:eastAsia="zh-CN"/>
        </w:rPr>
        <w:t>6．纪律要求</w:t>
      </w:r>
      <w:bookmarkEnd w:id="70"/>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71" w:name="_Toc171584047"/>
      <w:r>
        <w:rPr>
          <w:rFonts w:hint="eastAsia" w:asciiTheme="minorEastAsia" w:hAnsiTheme="minorEastAsia" w:eastAsiaTheme="minorEastAsia" w:cstheme="minorEastAsia"/>
          <w:b/>
          <w:snapToGrid w:val="0"/>
          <w:sz w:val="24"/>
          <w:szCs w:val="24"/>
          <w:lang w:eastAsia="zh-CN"/>
        </w:rPr>
        <w:t>6.1对采购人的纪律要求</w:t>
      </w:r>
      <w:bookmarkEnd w:id="71"/>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采购人不得泄露谈判采购活动中应当保密的情况和资料，不得与供应商串通损害国家利益、社会公共利益或者他人合法权益。</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72" w:name="_Toc171584048"/>
      <w:r>
        <w:rPr>
          <w:rFonts w:hint="eastAsia" w:asciiTheme="minorEastAsia" w:hAnsiTheme="minorEastAsia" w:eastAsiaTheme="minorEastAsia" w:cstheme="minorEastAsia"/>
          <w:b/>
          <w:snapToGrid w:val="0"/>
          <w:sz w:val="24"/>
          <w:szCs w:val="24"/>
          <w:lang w:eastAsia="zh-CN"/>
        </w:rPr>
        <w:t>6.2对供应商的纪律要求</w:t>
      </w:r>
      <w:bookmarkEnd w:id="72"/>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73" w:name="_Toc171584049"/>
      <w:r>
        <w:rPr>
          <w:rFonts w:hint="eastAsia" w:asciiTheme="minorEastAsia" w:hAnsiTheme="minorEastAsia" w:eastAsiaTheme="minorEastAsia" w:cstheme="minorEastAsia"/>
          <w:b/>
          <w:snapToGrid w:val="0"/>
          <w:sz w:val="24"/>
          <w:szCs w:val="24"/>
          <w:lang w:eastAsia="zh-CN"/>
        </w:rPr>
        <w:t>6.3对采购小组成员的纪律要求</w:t>
      </w:r>
      <w:bookmarkEnd w:id="73"/>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74" w:name="_Toc171584050"/>
      <w:r>
        <w:rPr>
          <w:rFonts w:hint="eastAsia" w:asciiTheme="minorEastAsia" w:hAnsiTheme="minorEastAsia" w:eastAsiaTheme="minorEastAsia" w:cstheme="minorEastAsia"/>
          <w:b/>
          <w:snapToGrid w:val="0"/>
          <w:sz w:val="24"/>
          <w:szCs w:val="24"/>
          <w:lang w:eastAsia="zh-CN"/>
        </w:rPr>
        <w:t>6.4对与采购活动有关的工作人员的纪律要求</w:t>
      </w:r>
      <w:bookmarkEnd w:id="74"/>
    </w:p>
    <w:p>
      <w:pPr>
        <w:spacing w:line="400" w:lineRule="exact"/>
        <w:ind w:firstLine="40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spacing w:line="400" w:lineRule="exact"/>
        <w:rPr>
          <w:rFonts w:asciiTheme="minorEastAsia" w:hAnsiTheme="minorEastAsia" w:eastAsiaTheme="minorEastAsia" w:cstheme="minorEastAsia"/>
          <w:lang w:eastAsia="zh-CN"/>
        </w:rPr>
      </w:pPr>
    </w:p>
    <w:p>
      <w:pPr>
        <w:pStyle w:val="5"/>
        <w:spacing w:line="400" w:lineRule="exact"/>
        <w:ind w:firstLine="482" w:firstLineChars="200"/>
        <w:rPr>
          <w:rFonts w:asciiTheme="minorEastAsia" w:hAnsiTheme="minorEastAsia" w:eastAsiaTheme="minorEastAsia" w:cstheme="minorEastAsia"/>
          <w:b/>
          <w:snapToGrid w:val="0"/>
          <w:sz w:val="24"/>
          <w:szCs w:val="24"/>
          <w:lang w:eastAsia="zh-CN"/>
        </w:rPr>
      </w:pPr>
      <w:bookmarkStart w:id="75" w:name="_Toc171584051"/>
      <w:r>
        <w:rPr>
          <w:rFonts w:hint="eastAsia" w:asciiTheme="minorEastAsia" w:hAnsiTheme="minorEastAsia" w:eastAsiaTheme="minorEastAsia" w:cstheme="minorEastAsia"/>
          <w:b/>
          <w:snapToGrid w:val="0"/>
          <w:sz w:val="24"/>
          <w:szCs w:val="24"/>
          <w:lang w:eastAsia="zh-CN"/>
        </w:rPr>
        <w:t>7．需要补充的其他内容</w:t>
      </w:r>
      <w:bookmarkEnd w:id="75"/>
    </w:p>
    <w:p>
      <w:pPr>
        <w:spacing w:line="400" w:lineRule="exact"/>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需要补充的其他内容：见供应商须知前附表。</w:t>
      </w:r>
    </w:p>
    <w:p>
      <w:pPr>
        <w:adjustRightInd w:val="0"/>
        <w:snapToGrid w:val="0"/>
        <w:spacing w:line="276" w:lineRule="auto"/>
        <w:rPr>
          <w:rFonts w:asciiTheme="minorEastAsia" w:hAnsiTheme="minorEastAsia" w:eastAsiaTheme="minorEastAsia" w:cstheme="minorEastAsia"/>
          <w:snapToGrid w:val="0"/>
          <w:sz w:val="24"/>
          <w:szCs w:val="24"/>
          <w:lang w:eastAsia="zh-CN"/>
        </w:rPr>
      </w:pPr>
      <w:bookmarkStart w:id="76" w:name="扫描0033"/>
      <w:bookmarkEnd w:id="76"/>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pStyle w:val="2"/>
        <w:rPr>
          <w:rFonts w:asciiTheme="minorEastAsia" w:hAnsiTheme="minorEastAsia" w:eastAsiaTheme="minorEastAsia" w:cstheme="minorEastAsia"/>
          <w:snapToGrid w:val="0"/>
        </w:rPr>
      </w:pPr>
    </w:p>
    <w:p>
      <w:pPr>
        <w:pStyle w:val="3"/>
        <w:rPr>
          <w:rFonts w:asciiTheme="minorEastAsia" w:hAnsiTheme="minorEastAsia" w:eastAsiaTheme="minorEastAsia" w:cstheme="minorEastAsia"/>
          <w:snapToGrid w:val="0"/>
          <w:szCs w:val="24"/>
          <w:lang w:eastAsia="zh-CN"/>
        </w:rPr>
      </w:pPr>
    </w:p>
    <w:p>
      <w:pPr>
        <w:rPr>
          <w:rFonts w:asciiTheme="minorEastAsia" w:hAnsiTheme="minorEastAsia" w:eastAsiaTheme="minorEastAsia" w:cstheme="minorEastAsia"/>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pStyle w:val="5"/>
        <w:spacing w:line="276" w:lineRule="auto"/>
        <w:rPr>
          <w:rFonts w:asciiTheme="minorEastAsia" w:hAnsiTheme="minorEastAsia" w:eastAsiaTheme="minorEastAsia" w:cstheme="minorEastAsia"/>
          <w:snapToGrid w:val="0"/>
          <w:sz w:val="24"/>
          <w:szCs w:val="24"/>
          <w:lang w:eastAsia="zh-CN"/>
        </w:rPr>
      </w:pPr>
      <w:bookmarkStart w:id="77" w:name="_Toc171584052"/>
      <w:r>
        <w:rPr>
          <w:rFonts w:hint="eastAsia" w:asciiTheme="minorEastAsia" w:hAnsiTheme="minorEastAsia" w:eastAsiaTheme="minorEastAsia" w:cstheme="minorEastAsia"/>
          <w:snapToGrid w:val="0"/>
          <w:sz w:val="24"/>
          <w:szCs w:val="24"/>
          <w:lang w:eastAsia="zh-CN"/>
        </w:rPr>
        <w:t>附件1问题澄清通知</w:t>
      </w:r>
      <w:bookmarkEnd w:id="77"/>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pStyle w:val="6"/>
        <w:adjustRightInd w:val="0"/>
        <w:snapToGrid w:val="0"/>
        <w:spacing w:line="276" w:lineRule="auto"/>
        <w:ind w:left="0"/>
        <w:jc w:val="center"/>
        <w:rPr>
          <w:rFonts w:asciiTheme="minorEastAsia" w:hAnsiTheme="minorEastAsia" w:eastAsiaTheme="minorEastAsia" w:cstheme="minorEastAsia"/>
          <w:b/>
          <w:bCs/>
          <w:snapToGrid w:val="0"/>
          <w:sz w:val="32"/>
          <w:szCs w:val="32"/>
          <w:lang w:eastAsia="zh-CN"/>
        </w:rPr>
      </w:pPr>
      <w:bookmarkStart w:id="78" w:name="_Toc171584053"/>
      <w:r>
        <w:rPr>
          <w:rFonts w:hint="eastAsia" w:asciiTheme="minorEastAsia" w:hAnsiTheme="minorEastAsia" w:eastAsiaTheme="minorEastAsia" w:cstheme="minorEastAsia"/>
          <w:b/>
          <w:bCs/>
          <w:snapToGrid w:val="0"/>
          <w:sz w:val="32"/>
          <w:szCs w:val="32"/>
          <w:lang w:eastAsia="zh-CN"/>
        </w:rPr>
        <w:t>问题澄清通知</w:t>
      </w:r>
      <w:bookmarkEnd w:id="78"/>
    </w:p>
    <w:p>
      <w:pPr>
        <w:adjustRightInd w:val="0"/>
        <w:snapToGrid w:val="0"/>
        <w:spacing w:line="276" w:lineRule="auto"/>
        <w:jc w:val="center"/>
        <w:rPr>
          <w:rFonts w:asciiTheme="minorEastAsia" w:hAnsiTheme="minorEastAsia" w:eastAsiaTheme="minorEastAsia" w:cstheme="minorEastAsia"/>
          <w:b/>
          <w:bCs/>
          <w:snapToGrid w:val="0"/>
          <w:sz w:val="32"/>
          <w:szCs w:val="32"/>
          <w:lang w:eastAsia="zh-CN"/>
        </w:rPr>
      </w:pPr>
      <w:r>
        <w:rPr>
          <w:rFonts w:hint="eastAsia" w:asciiTheme="minorEastAsia" w:hAnsiTheme="minorEastAsia" w:eastAsiaTheme="minorEastAsia" w:cstheme="minorEastAsia"/>
          <w:b/>
          <w:bCs/>
          <w:snapToGrid w:val="0"/>
          <w:sz w:val="32"/>
          <w:szCs w:val="32"/>
          <w:lang w:eastAsia="zh-CN"/>
        </w:rPr>
        <w:t>（编号：）</w:t>
      </w: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（供应商名称）:</w:t>
      </w: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p>
    <w:p>
      <w:pPr>
        <w:pStyle w:val="3"/>
        <w:spacing w:line="360" w:lineRule="auto"/>
        <w:ind w:left="0" w:firstLine="480"/>
        <w:jc w:val="left"/>
        <w:rPr>
          <w:rFonts w:asciiTheme="minorEastAsia" w:hAnsiTheme="minorEastAsia" w:eastAsiaTheme="minorEastAsia" w:cstheme="minorEastAsia"/>
          <w:snapToGrid w:val="0"/>
          <w:szCs w:val="24"/>
          <w:lang w:eastAsia="zh-CN"/>
        </w:rPr>
      </w:pPr>
      <w:r>
        <w:rPr>
          <w:rFonts w:hint="eastAsia" w:asciiTheme="minorEastAsia" w:hAnsiTheme="minorEastAsia" w:eastAsiaTheme="minorEastAsia" w:cstheme="minorEastAsia"/>
          <w:snapToGrid w:val="0"/>
          <w:szCs w:val="24"/>
          <w:lang w:eastAsia="zh-CN"/>
        </w:rPr>
        <w:t>1.</w:t>
      </w:r>
    </w:p>
    <w:p>
      <w:pPr>
        <w:pStyle w:val="3"/>
        <w:spacing w:line="360" w:lineRule="auto"/>
        <w:ind w:left="0" w:firstLine="480"/>
        <w:jc w:val="left"/>
        <w:rPr>
          <w:rFonts w:asciiTheme="minorEastAsia" w:hAnsiTheme="minorEastAsia" w:eastAsiaTheme="minorEastAsia" w:cstheme="minorEastAsia"/>
          <w:snapToGrid w:val="0"/>
          <w:szCs w:val="24"/>
          <w:lang w:eastAsia="zh-CN"/>
        </w:rPr>
      </w:pPr>
      <w:r>
        <w:rPr>
          <w:rFonts w:hint="eastAsia" w:asciiTheme="minorEastAsia" w:hAnsiTheme="minorEastAsia" w:eastAsiaTheme="minorEastAsia" w:cstheme="minorEastAsia"/>
          <w:snapToGrid w:val="0"/>
          <w:szCs w:val="24"/>
          <w:lang w:eastAsia="zh-CN"/>
        </w:rPr>
        <w:t>2.</w:t>
      </w: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w:t>
      </w: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请将上述问题的澄清、说明和补正于</w:t>
      </w:r>
      <w:r>
        <w:rPr>
          <w:rFonts w:hint="eastAsia" w:asciiTheme="minorEastAsia" w:hAnsiTheme="minorEastAsia" w:eastAsiaTheme="minorEastAsia" w:cstheme="minorEastAsia"/>
          <w:snapToGrid w:val="0"/>
          <w:sz w:val="24"/>
          <w:szCs w:val="24"/>
          <w:u w:val="single"/>
          <w:lang w:eastAsia="zh-CN"/>
        </w:rPr>
        <w:t xml:space="preserve">      </w:t>
      </w:r>
      <w:r>
        <w:rPr>
          <w:rFonts w:hint="eastAsia" w:asciiTheme="minorEastAsia" w:hAnsiTheme="minorEastAsia" w:eastAsiaTheme="minorEastAsia" w:cstheme="minorEastAsia"/>
          <w:snapToGrid w:val="0"/>
          <w:sz w:val="24"/>
          <w:szCs w:val="24"/>
          <w:lang w:eastAsia="zh-CN"/>
        </w:rPr>
        <w:t>年</w:t>
      </w:r>
      <w:r>
        <w:rPr>
          <w:rFonts w:hint="eastAsia" w:asciiTheme="minorEastAsia" w:hAnsiTheme="minorEastAsia" w:eastAsiaTheme="minorEastAsia" w:cstheme="minorEastAsia"/>
          <w:snapToGrid w:val="0"/>
          <w:sz w:val="24"/>
          <w:szCs w:val="24"/>
          <w:u w:val="single"/>
          <w:lang w:eastAsia="zh-CN"/>
        </w:rPr>
        <w:t xml:space="preserve">  </w:t>
      </w:r>
      <w:r>
        <w:rPr>
          <w:rFonts w:hint="eastAsia" w:asciiTheme="minorEastAsia" w:hAnsiTheme="minorEastAsia" w:eastAsiaTheme="minorEastAsia" w:cstheme="minorEastAsia"/>
          <w:snapToGrid w:val="0"/>
          <w:sz w:val="24"/>
          <w:szCs w:val="24"/>
          <w:lang w:eastAsia="zh-CN"/>
        </w:rPr>
        <w:t>月</w:t>
      </w:r>
      <w:r>
        <w:rPr>
          <w:rFonts w:hint="eastAsia" w:asciiTheme="minorEastAsia" w:hAnsiTheme="minorEastAsia" w:eastAsiaTheme="minorEastAsia" w:cstheme="minorEastAsia"/>
          <w:snapToGrid w:val="0"/>
          <w:sz w:val="24"/>
          <w:szCs w:val="24"/>
          <w:u w:val="single"/>
          <w:lang w:eastAsia="zh-CN"/>
        </w:rPr>
        <w:t xml:space="preserve">  </w:t>
      </w:r>
      <w:r>
        <w:rPr>
          <w:rFonts w:hint="eastAsia" w:asciiTheme="minorEastAsia" w:hAnsiTheme="minorEastAsia" w:eastAsiaTheme="minorEastAsia" w:cstheme="minorEastAsia"/>
          <w:snapToGrid w:val="0"/>
          <w:sz w:val="24"/>
          <w:szCs w:val="24"/>
          <w:lang w:eastAsia="zh-CN"/>
        </w:rPr>
        <w:t>日时前递交至</w:t>
      </w:r>
      <w:r>
        <w:rPr>
          <w:rFonts w:hint="eastAsia" w:asciiTheme="minorEastAsia" w:hAnsiTheme="minorEastAsia" w:eastAsiaTheme="minorEastAsia" w:cstheme="minorEastAsia"/>
          <w:snapToGrid w:val="0"/>
          <w:sz w:val="24"/>
          <w:szCs w:val="24"/>
          <w:u w:val="single"/>
          <w:lang w:eastAsia="zh-CN"/>
        </w:rPr>
        <w:t>（详细地址）</w:t>
      </w:r>
      <w:r>
        <w:rPr>
          <w:rFonts w:hint="eastAsia" w:asciiTheme="minorEastAsia" w:hAnsiTheme="minorEastAsia" w:eastAsiaTheme="minorEastAsia" w:cstheme="minorEastAsia"/>
          <w:snapToGrid w:val="0"/>
          <w:sz w:val="24"/>
          <w:szCs w:val="24"/>
          <w:lang w:eastAsia="zh-CN"/>
        </w:rPr>
        <w:t>或发电子邮件至</w:t>
      </w:r>
      <w:r>
        <w:rPr>
          <w:rFonts w:hint="eastAsia" w:asciiTheme="minorEastAsia" w:hAnsiTheme="minorEastAsia" w:eastAsiaTheme="minorEastAsia" w:cstheme="minorEastAsia"/>
          <w:snapToGrid w:val="0"/>
          <w:sz w:val="24"/>
          <w:szCs w:val="24"/>
          <w:u w:val="single"/>
          <w:lang w:eastAsia="zh-CN"/>
        </w:rPr>
        <w:t>（电子邮箱地址）</w:t>
      </w:r>
      <w:r>
        <w:rPr>
          <w:rFonts w:hint="eastAsia" w:asciiTheme="minorEastAsia" w:hAnsiTheme="minorEastAsia" w:eastAsiaTheme="minorEastAsia" w:cstheme="minorEastAsia"/>
          <w:snapToGrid w:val="0"/>
          <w:sz w:val="24"/>
          <w:szCs w:val="24"/>
          <w:lang w:eastAsia="zh-CN"/>
        </w:rPr>
        <w:t>。采用电子邮件方式的，应在</w:t>
      </w:r>
      <w:r>
        <w:rPr>
          <w:rFonts w:hint="eastAsia" w:asciiTheme="minorEastAsia" w:hAnsiTheme="minorEastAsia" w:eastAsiaTheme="minorEastAsia" w:cstheme="minorEastAsia"/>
          <w:snapToGrid w:val="0"/>
          <w:sz w:val="24"/>
          <w:szCs w:val="24"/>
          <w:u w:val="single"/>
          <w:lang w:eastAsia="zh-CN"/>
        </w:rPr>
        <w:t xml:space="preserve">      </w:t>
      </w:r>
      <w:r>
        <w:rPr>
          <w:rFonts w:hint="eastAsia" w:asciiTheme="minorEastAsia" w:hAnsiTheme="minorEastAsia" w:eastAsiaTheme="minorEastAsia" w:cstheme="minorEastAsia"/>
          <w:snapToGrid w:val="0"/>
          <w:sz w:val="24"/>
          <w:szCs w:val="24"/>
          <w:lang w:eastAsia="zh-CN"/>
        </w:rPr>
        <w:t>年</w:t>
      </w:r>
      <w:r>
        <w:rPr>
          <w:rFonts w:hint="eastAsia" w:asciiTheme="minorEastAsia" w:hAnsiTheme="minorEastAsia" w:eastAsiaTheme="minorEastAsia" w:cstheme="minorEastAsia"/>
          <w:snapToGrid w:val="0"/>
          <w:sz w:val="24"/>
          <w:szCs w:val="24"/>
          <w:u w:val="single"/>
          <w:lang w:eastAsia="zh-CN"/>
        </w:rPr>
        <w:t xml:space="preserve">  </w:t>
      </w:r>
      <w:r>
        <w:rPr>
          <w:rFonts w:hint="eastAsia" w:asciiTheme="minorEastAsia" w:hAnsiTheme="minorEastAsia" w:eastAsiaTheme="minorEastAsia" w:cstheme="minorEastAsia"/>
          <w:snapToGrid w:val="0"/>
          <w:sz w:val="24"/>
          <w:szCs w:val="24"/>
          <w:lang w:eastAsia="zh-CN"/>
        </w:rPr>
        <w:t>月</w:t>
      </w:r>
      <w:r>
        <w:rPr>
          <w:rFonts w:hint="eastAsia" w:asciiTheme="minorEastAsia" w:hAnsiTheme="minorEastAsia" w:eastAsiaTheme="minorEastAsia" w:cstheme="minorEastAsia"/>
          <w:snapToGrid w:val="0"/>
          <w:sz w:val="24"/>
          <w:szCs w:val="24"/>
          <w:u w:val="single"/>
          <w:lang w:eastAsia="zh-CN"/>
        </w:rPr>
        <w:t xml:space="preserve">  </w:t>
      </w:r>
      <w:r>
        <w:rPr>
          <w:rFonts w:hint="eastAsia" w:asciiTheme="minorEastAsia" w:hAnsiTheme="minorEastAsia" w:eastAsiaTheme="minorEastAsia" w:cstheme="minorEastAsia"/>
          <w:snapToGrid w:val="0"/>
          <w:sz w:val="24"/>
          <w:szCs w:val="24"/>
          <w:lang w:eastAsia="zh-CN"/>
        </w:rPr>
        <w:t>日时前将原件递交至。</w:t>
      </w: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采购小组组长：</w:t>
      </w:r>
      <w:r>
        <w:rPr>
          <w:rFonts w:hint="eastAsia" w:asciiTheme="minorEastAsia" w:hAnsiTheme="minorEastAsia" w:eastAsiaTheme="minorEastAsia" w:cstheme="minorEastAsia"/>
          <w:snapToGrid w:val="0"/>
          <w:sz w:val="24"/>
          <w:szCs w:val="24"/>
          <w:u w:val="single"/>
          <w:lang w:eastAsia="zh-CN"/>
        </w:rPr>
        <w:t>（签字）</w:t>
      </w: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或</w:t>
      </w: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采购人：</w:t>
      </w:r>
      <w:r>
        <w:rPr>
          <w:rFonts w:hint="eastAsia" w:asciiTheme="minorEastAsia" w:hAnsiTheme="minorEastAsia" w:eastAsiaTheme="minorEastAsia" w:cstheme="minorEastAsia"/>
          <w:snapToGrid w:val="0"/>
          <w:sz w:val="24"/>
          <w:szCs w:val="24"/>
          <w:u w:val="single"/>
          <w:lang w:eastAsia="zh-CN"/>
        </w:rPr>
        <w:t>（签字或盖单位公章）</w:t>
      </w: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ind w:left="440" w:leftChars="200" w:right="54" w:firstLine="5760" w:firstLineChars="2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年   月    日</w:t>
      </w:r>
    </w:p>
    <w:p>
      <w:pPr>
        <w:spacing w:line="276" w:lineRule="auto"/>
        <w:rPr>
          <w:rFonts w:asciiTheme="minorEastAsia" w:hAnsiTheme="minorEastAsia" w:eastAsiaTheme="minorEastAsia" w:cstheme="minorEastAsia"/>
          <w:snapToGrid w:val="0"/>
          <w:sz w:val="24"/>
          <w:szCs w:val="24"/>
          <w:lang w:eastAsia="zh-CN"/>
        </w:rPr>
      </w:pPr>
      <w:bookmarkStart w:id="79" w:name="扫描0034"/>
      <w:bookmarkEnd w:id="79"/>
      <w:r>
        <w:rPr>
          <w:rFonts w:hint="eastAsia" w:asciiTheme="minorEastAsia" w:hAnsiTheme="minorEastAsia" w:eastAsiaTheme="minorEastAsia" w:cstheme="minorEastAsia"/>
          <w:snapToGrid w:val="0"/>
          <w:sz w:val="24"/>
          <w:szCs w:val="24"/>
          <w:lang w:eastAsia="zh-CN"/>
        </w:rPr>
        <w:br w:type="page"/>
      </w:r>
    </w:p>
    <w:p>
      <w:pPr>
        <w:pStyle w:val="5"/>
        <w:spacing w:line="276" w:lineRule="auto"/>
        <w:rPr>
          <w:rFonts w:asciiTheme="minorEastAsia" w:hAnsiTheme="minorEastAsia" w:eastAsiaTheme="minorEastAsia" w:cstheme="minorEastAsia"/>
          <w:snapToGrid w:val="0"/>
          <w:sz w:val="24"/>
          <w:szCs w:val="24"/>
          <w:lang w:eastAsia="zh-CN"/>
        </w:rPr>
      </w:pPr>
      <w:bookmarkStart w:id="80" w:name="_Toc171584054"/>
      <w:r>
        <w:rPr>
          <w:rFonts w:hint="eastAsia" w:asciiTheme="minorEastAsia" w:hAnsiTheme="minorEastAsia" w:eastAsiaTheme="minorEastAsia" w:cstheme="minorEastAsia"/>
          <w:snapToGrid w:val="0"/>
          <w:sz w:val="24"/>
          <w:szCs w:val="24"/>
          <w:lang w:eastAsia="zh-CN"/>
        </w:rPr>
        <w:t>附件</w:t>
      </w:r>
      <w:r>
        <w:rPr>
          <w:rFonts w:hint="eastAsia" w:asciiTheme="minorEastAsia" w:hAnsiTheme="minorEastAsia" w:eastAsiaTheme="minorEastAsia" w:cstheme="minorEastAsia"/>
          <w:b/>
          <w:snapToGrid w:val="0"/>
          <w:sz w:val="24"/>
          <w:szCs w:val="24"/>
          <w:lang w:eastAsia="zh-CN"/>
        </w:rPr>
        <w:t>2</w:t>
      </w:r>
      <w:r>
        <w:rPr>
          <w:rFonts w:hint="eastAsia" w:asciiTheme="minorEastAsia" w:hAnsiTheme="minorEastAsia" w:eastAsiaTheme="minorEastAsia" w:cstheme="minorEastAsia"/>
          <w:snapToGrid w:val="0"/>
          <w:sz w:val="24"/>
          <w:szCs w:val="24"/>
          <w:lang w:eastAsia="zh-CN"/>
        </w:rPr>
        <w:t>问题的澄清</w:t>
      </w:r>
      <w:bookmarkEnd w:id="80"/>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pStyle w:val="6"/>
        <w:adjustRightInd w:val="0"/>
        <w:snapToGrid w:val="0"/>
        <w:spacing w:line="276" w:lineRule="auto"/>
        <w:ind w:left="0"/>
        <w:jc w:val="center"/>
        <w:rPr>
          <w:rFonts w:asciiTheme="minorEastAsia" w:hAnsiTheme="minorEastAsia" w:eastAsiaTheme="minorEastAsia" w:cstheme="minorEastAsia"/>
          <w:b/>
          <w:bCs/>
          <w:snapToGrid w:val="0"/>
          <w:sz w:val="32"/>
          <w:szCs w:val="32"/>
          <w:lang w:eastAsia="zh-CN"/>
        </w:rPr>
      </w:pPr>
      <w:bookmarkStart w:id="81" w:name="_Toc171584055"/>
      <w:r>
        <w:rPr>
          <w:rFonts w:hint="eastAsia" w:asciiTheme="minorEastAsia" w:hAnsiTheme="minorEastAsia" w:eastAsiaTheme="minorEastAsia" w:cstheme="minorEastAsia"/>
          <w:b/>
          <w:bCs/>
          <w:snapToGrid w:val="0"/>
          <w:sz w:val="32"/>
          <w:szCs w:val="32"/>
          <w:lang w:eastAsia="zh-CN"/>
        </w:rPr>
        <w:t>问题的澄清</w:t>
      </w:r>
      <w:bookmarkEnd w:id="81"/>
    </w:p>
    <w:p>
      <w:pPr>
        <w:adjustRightInd w:val="0"/>
        <w:snapToGrid w:val="0"/>
        <w:spacing w:line="276" w:lineRule="auto"/>
        <w:jc w:val="center"/>
        <w:rPr>
          <w:rFonts w:asciiTheme="minorEastAsia" w:hAnsiTheme="minorEastAsia" w:eastAsiaTheme="minorEastAsia" w:cstheme="minorEastAsia"/>
          <w:b/>
          <w:bCs/>
          <w:snapToGrid w:val="0"/>
          <w:sz w:val="32"/>
          <w:szCs w:val="32"/>
          <w:lang w:eastAsia="zh-CN"/>
        </w:rPr>
      </w:pPr>
      <w:r>
        <w:rPr>
          <w:rFonts w:hint="eastAsia" w:asciiTheme="minorEastAsia" w:hAnsiTheme="minorEastAsia" w:eastAsiaTheme="minorEastAsia" w:cstheme="minorEastAsia"/>
          <w:b/>
          <w:bCs/>
          <w:snapToGrid w:val="0"/>
          <w:sz w:val="32"/>
          <w:szCs w:val="32"/>
          <w:lang w:eastAsia="zh-CN"/>
        </w:rPr>
        <w:t>（编号:）</w:t>
      </w: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采购小组：</w:t>
      </w: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问题澄清通知（编号：）已收悉，现澄清、说明和补正如下：</w:t>
      </w:r>
    </w:p>
    <w:p>
      <w:pPr>
        <w:pStyle w:val="3"/>
        <w:spacing w:line="360" w:lineRule="auto"/>
        <w:ind w:left="0" w:firstLine="480"/>
        <w:jc w:val="left"/>
        <w:rPr>
          <w:rFonts w:asciiTheme="minorEastAsia" w:hAnsiTheme="minorEastAsia" w:eastAsiaTheme="minorEastAsia" w:cstheme="minorEastAsia"/>
          <w:snapToGrid w:val="0"/>
          <w:szCs w:val="24"/>
          <w:lang w:eastAsia="zh-CN"/>
        </w:rPr>
      </w:pPr>
      <w:r>
        <w:rPr>
          <w:rFonts w:hint="eastAsia" w:asciiTheme="minorEastAsia" w:hAnsiTheme="minorEastAsia" w:eastAsiaTheme="minorEastAsia" w:cstheme="minorEastAsia"/>
          <w:snapToGrid w:val="0"/>
          <w:szCs w:val="24"/>
          <w:lang w:eastAsia="zh-CN"/>
        </w:rPr>
        <w:t>1.</w:t>
      </w:r>
    </w:p>
    <w:p>
      <w:pPr>
        <w:pStyle w:val="3"/>
        <w:spacing w:line="360" w:lineRule="auto"/>
        <w:ind w:left="0" w:firstLine="480"/>
        <w:jc w:val="left"/>
        <w:rPr>
          <w:rFonts w:asciiTheme="minorEastAsia" w:hAnsiTheme="minorEastAsia" w:eastAsiaTheme="minorEastAsia" w:cstheme="minorEastAsia"/>
          <w:snapToGrid w:val="0"/>
          <w:szCs w:val="24"/>
          <w:lang w:eastAsia="zh-CN"/>
        </w:rPr>
      </w:pPr>
      <w:r>
        <w:rPr>
          <w:rFonts w:hint="eastAsia" w:asciiTheme="minorEastAsia" w:hAnsiTheme="minorEastAsia" w:eastAsiaTheme="minorEastAsia" w:cstheme="minorEastAsia"/>
          <w:snapToGrid w:val="0"/>
          <w:szCs w:val="24"/>
          <w:lang w:eastAsia="zh-CN"/>
        </w:rPr>
        <w:t>2.</w:t>
      </w:r>
    </w:p>
    <w:p>
      <w:pPr>
        <w:pStyle w:val="3"/>
        <w:spacing w:line="360" w:lineRule="auto"/>
        <w:ind w:left="0" w:firstLine="480"/>
        <w:jc w:val="left"/>
        <w:rPr>
          <w:rFonts w:asciiTheme="minorEastAsia" w:hAnsiTheme="minorEastAsia" w:eastAsiaTheme="minorEastAsia" w:cstheme="minorEastAsia"/>
          <w:snapToGrid w:val="0"/>
          <w:szCs w:val="24"/>
          <w:lang w:eastAsia="zh-CN"/>
        </w:rPr>
      </w:pPr>
      <w:r>
        <w:rPr>
          <w:rFonts w:hint="eastAsia" w:asciiTheme="minorEastAsia" w:hAnsiTheme="minorEastAsia" w:eastAsiaTheme="minorEastAsia" w:cstheme="minorEastAsia"/>
          <w:snapToGrid w:val="0"/>
          <w:szCs w:val="24"/>
          <w:lang w:eastAsia="zh-CN"/>
        </w:rPr>
        <w:t>……</w:t>
      </w: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上述问题澄清、说明和补正，构成我方响应文件的组成部分。</w:t>
      </w: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供应商：</w:t>
      </w:r>
      <w:r>
        <w:rPr>
          <w:rFonts w:hint="eastAsia" w:asciiTheme="minorEastAsia" w:hAnsiTheme="minorEastAsia" w:eastAsiaTheme="minorEastAsia" w:cstheme="minorEastAsia"/>
          <w:snapToGrid w:val="0"/>
          <w:sz w:val="24"/>
          <w:szCs w:val="24"/>
          <w:u w:val="single"/>
          <w:lang w:eastAsia="zh-CN"/>
        </w:rPr>
        <w:t>（盖单位公章）</w:t>
      </w:r>
    </w:p>
    <w:p>
      <w:pPr>
        <w:adjustRightInd w:val="0"/>
        <w:snapToGrid w:val="0"/>
        <w:spacing w:line="360" w:lineRule="auto"/>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或</w:t>
      </w:r>
    </w:p>
    <w:p>
      <w:pPr>
        <w:adjustRightInd w:val="0"/>
        <w:snapToGrid w:val="0"/>
        <w:spacing w:line="360" w:lineRule="auto"/>
        <w:ind w:firstLine="40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法定代表人（单位负责人）或其授权的代理人：</w:t>
      </w:r>
      <w:r>
        <w:rPr>
          <w:rFonts w:hint="eastAsia" w:asciiTheme="minorEastAsia" w:hAnsiTheme="minorEastAsia" w:eastAsiaTheme="minorEastAsia" w:cstheme="minorEastAsia"/>
          <w:snapToGrid w:val="0"/>
          <w:sz w:val="24"/>
          <w:szCs w:val="24"/>
          <w:u w:val="single"/>
          <w:lang w:eastAsia="zh-CN"/>
        </w:rPr>
        <w:t>（签字）</w:t>
      </w: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ind w:right="960"/>
        <w:jc w:val="right"/>
        <w:rPr>
          <w:rFonts w:asciiTheme="minorEastAsia" w:hAnsiTheme="minorEastAsia" w:eastAsiaTheme="minorEastAsia" w:cstheme="minorEastAsia"/>
          <w:snapToGrid w:val="0"/>
          <w:sz w:val="24"/>
          <w:szCs w:val="24"/>
          <w:lang w:eastAsia="zh-CN"/>
        </w:rPr>
      </w:pPr>
      <w:bookmarkStart w:id="82" w:name="扫描0035"/>
      <w:bookmarkEnd w:id="82"/>
      <w:r>
        <w:rPr>
          <w:rFonts w:hint="eastAsia" w:asciiTheme="minorEastAsia" w:hAnsiTheme="minorEastAsia" w:eastAsiaTheme="minorEastAsia" w:cstheme="minorEastAsia"/>
          <w:snapToGrid w:val="0"/>
          <w:sz w:val="24"/>
          <w:szCs w:val="24"/>
          <w:lang w:eastAsia="zh-CN"/>
        </w:rPr>
        <w:t>年   月   日</w:t>
      </w:r>
    </w:p>
    <w:p>
      <w:pPr>
        <w:spacing w:line="276"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br w:type="page"/>
      </w:r>
    </w:p>
    <w:p>
      <w:pPr>
        <w:pStyle w:val="5"/>
        <w:spacing w:line="276" w:lineRule="auto"/>
        <w:rPr>
          <w:rFonts w:asciiTheme="minorEastAsia" w:hAnsiTheme="minorEastAsia" w:eastAsiaTheme="minorEastAsia" w:cstheme="minorEastAsia"/>
          <w:snapToGrid w:val="0"/>
          <w:sz w:val="24"/>
          <w:szCs w:val="24"/>
          <w:lang w:eastAsia="zh-CN"/>
        </w:rPr>
      </w:pPr>
      <w:bookmarkStart w:id="83" w:name="_Toc171584056"/>
      <w:r>
        <w:rPr>
          <w:rFonts w:hint="eastAsia" w:asciiTheme="minorEastAsia" w:hAnsiTheme="minorEastAsia" w:eastAsiaTheme="minorEastAsia" w:cstheme="minorEastAsia"/>
          <w:snapToGrid w:val="0"/>
          <w:sz w:val="24"/>
          <w:szCs w:val="24"/>
          <w:lang w:eastAsia="zh-CN"/>
        </w:rPr>
        <w:t>附件3成交通知书</w:t>
      </w:r>
      <w:bookmarkEnd w:id="83"/>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pStyle w:val="6"/>
        <w:adjustRightInd w:val="0"/>
        <w:snapToGrid w:val="0"/>
        <w:spacing w:line="276" w:lineRule="auto"/>
        <w:ind w:left="0"/>
        <w:jc w:val="center"/>
        <w:rPr>
          <w:rFonts w:asciiTheme="minorEastAsia" w:hAnsiTheme="minorEastAsia" w:eastAsiaTheme="minorEastAsia" w:cstheme="minorEastAsia"/>
          <w:b/>
          <w:bCs/>
          <w:snapToGrid w:val="0"/>
          <w:sz w:val="32"/>
          <w:szCs w:val="32"/>
          <w:lang w:eastAsia="zh-CN"/>
        </w:rPr>
      </w:pPr>
      <w:bookmarkStart w:id="84" w:name="_Toc171584057"/>
      <w:r>
        <w:rPr>
          <w:rFonts w:hint="eastAsia" w:asciiTheme="minorEastAsia" w:hAnsiTheme="minorEastAsia" w:eastAsiaTheme="minorEastAsia" w:cstheme="minorEastAsia"/>
          <w:b/>
          <w:bCs/>
          <w:snapToGrid w:val="0"/>
          <w:sz w:val="32"/>
          <w:szCs w:val="32"/>
          <w:lang w:eastAsia="zh-CN"/>
        </w:rPr>
        <w:t>成交通知书</w:t>
      </w:r>
      <w:bookmarkEnd w:id="84"/>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u w:val="single"/>
          <w:lang w:eastAsia="zh-CN"/>
        </w:rPr>
        <w:t>（成交供应商名称）:</w:t>
      </w: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你方所递交的</w:t>
      </w:r>
      <w:r>
        <w:rPr>
          <w:rFonts w:hint="eastAsia" w:asciiTheme="minorEastAsia" w:hAnsiTheme="minorEastAsia" w:eastAsiaTheme="minorEastAsia" w:cstheme="minorEastAsia"/>
          <w:snapToGrid w:val="0"/>
          <w:sz w:val="24"/>
          <w:szCs w:val="24"/>
          <w:u w:val="single"/>
          <w:lang w:eastAsia="zh-CN"/>
        </w:rPr>
        <w:t>（项目名称）</w:t>
      </w:r>
      <w:r>
        <w:rPr>
          <w:rFonts w:hint="eastAsia" w:asciiTheme="minorEastAsia" w:hAnsiTheme="minorEastAsia" w:eastAsiaTheme="minorEastAsia" w:cstheme="minorEastAsia"/>
          <w:snapToGrid w:val="0"/>
          <w:sz w:val="24"/>
          <w:szCs w:val="24"/>
          <w:lang w:eastAsia="zh-CN"/>
        </w:rPr>
        <w:t>的响应文件已被我方接受，被确定为成交供应商。</w:t>
      </w: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成交价：</w:t>
      </w: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 xml:space="preserve">请你方在接到本通知书后的 </w:t>
      </w:r>
      <w:r>
        <w:rPr>
          <w:rFonts w:hint="eastAsia" w:asciiTheme="minorEastAsia" w:hAnsiTheme="minorEastAsia" w:eastAsiaTheme="minorEastAsia" w:cstheme="minorEastAsia"/>
          <w:snapToGrid w:val="0"/>
          <w:sz w:val="24"/>
          <w:szCs w:val="24"/>
          <w:u w:val="single"/>
          <w:lang w:eastAsia="zh-CN"/>
        </w:rPr>
        <w:t xml:space="preserve">   </w:t>
      </w:r>
      <w:r>
        <w:rPr>
          <w:rFonts w:hint="eastAsia" w:asciiTheme="minorEastAsia" w:hAnsiTheme="minorEastAsia" w:eastAsiaTheme="minorEastAsia" w:cstheme="minorEastAsia"/>
          <w:snapToGrid w:val="0"/>
          <w:sz w:val="24"/>
          <w:szCs w:val="24"/>
          <w:lang w:eastAsia="zh-CN"/>
        </w:rPr>
        <w:t>日内到</w:t>
      </w:r>
      <w:r>
        <w:rPr>
          <w:rFonts w:hint="eastAsia" w:asciiTheme="minorEastAsia" w:hAnsiTheme="minorEastAsia" w:eastAsiaTheme="minorEastAsia" w:cstheme="minorEastAsia"/>
          <w:snapToGrid w:val="0"/>
          <w:sz w:val="24"/>
          <w:szCs w:val="24"/>
          <w:u w:val="single"/>
          <w:lang w:eastAsia="zh-CN"/>
        </w:rPr>
        <w:t>（指定地点）</w:t>
      </w:r>
      <w:r>
        <w:rPr>
          <w:rFonts w:hint="eastAsia" w:asciiTheme="minorEastAsia" w:hAnsiTheme="minorEastAsia" w:eastAsiaTheme="minorEastAsia" w:cstheme="minorEastAsia"/>
          <w:snapToGrid w:val="0"/>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特此通知。</w:t>
      </w:r>
    </w:p>
    <w:p>
      <w:pPr>
        <w:adjustRightInd w:val="0"/>
        <w:snapToGrid w:val="0"/>
        <w:spacing w:line="360" w:lineRule="auto"/>
        <w:rPr>
          <w:rFonts w:asciiTheme="minorEastAsia" w:hAnsiTheme="minorEastAsia" w:eastAsiaTheme="minorEastAsia" w:cstheme="minorEastAsia"/>
          <w:snapToGrid w:val="0"/>
          <w:sz w:val="24"/>
          <w:szCs w:val="24"/>
          <w:lang w:eastAsia="zh-CN"/>
        </w:rPr>
      </w:pPr>
    </w:p>
    <w:p>
      <w:pPr>
        <w:adjustRightInd w:val="0"/>
        <w:snapToGrid w:val="0"/>
        <w:spacing w:line="360" w:lineRule="auto"/>
        <w:ind w:firstLine="4678"/>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采购人：</w:t>
      </w:r>
      <w:r>
        <w:rPr>
          <w:rFonts w:hint="eastAsia" w:asciiTheme="minorEastAsia" w:hAnsiTheme="minorEastAsia" w:eastAsiaTheme="minorEastAsia" w:cstheme="minorEastAsia"/>
          <w:snapToGrid w:val="0"/>
          <w:sz w:val="24"/>
          <w:szCs w:val="24"/>
          <w:u w:val="single"/>
          <w:lang w:eastAsia="zh-CN"/>
        </w:rPr>
        <w:t>（盖单位公章）</w:t>
      </w:r>
    </w:p>
    <w:p>
      <w:pPr>
        <w:adjustRightInd w:val="0"/>
        <w:snapToGrid w:val="0"/>
        <w:spacing w:line="360" w:lineRule="auto"/>
        <w:ind w:right="480" w:firstLine="6360" w:firstLineChars="2650"/>
        <w:rPr>
          <w:rFonts w:asciiTheme="minorEastAsia" w:hAnsiTheme="minorEastAsia" w:eastAsiaTheme="minorEastAsia" w:cstheme="minorEastAsia"/>
          <w:snapToGrid w:val="0"/>
          <w:sz w:val="24"/>
          <w:szCs w:val="24"/>
          <w:lang w:eastAsia="zh-CN"/>
        </w:rPr>
      </w:pPr>
      <w:bookmarkStart w:id="85" w:name="扫描0036"/>
      <w:bookmarkEnd w:id="85"/>
      <w:r>
        <w:rPr>
          <w:rFonts w:hint="eastAsia" w:asciiTheme="minorEastAsia" w:hAnsiTheme="minorEastAsia" w:eastAsiaTheme="minorEastAsia" w:cstheme="minorEastAsia"/>
          <w:snapToGrid w:val="0"/>
          <w:sz w:val="24"/>
          <w:szCs w:val="24"/>
          <w:lang w:eastAsia="zh-CN"/>
        </w:rPr>
        <w:t>年   月   日</w:t>
      </w:r>
    </w:p>
    <w:p>
      <w:pPr>
        <w:spacing w:line="276" w:lineRule="auto"/>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br w:type="page"/>
      </w: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adjustRightInd w:val="0"/>
        <w:snapToGrid w:val="0"/>
        <w:spacing w:line="276" w:lineRule="auto"/>
        <w:rPr>
          <w:rFonts w:asciiTheme="minorEastAsia" w:hAnsiTheme="minorEastAsia" w:eastAsiaTheme="minorEastAsia" w:cstheme="minorEastAsia"/>
          <w:snapToGrid w:val="0"/>
          <w:sz w:val="24"/>
          <w:szCs w:val="24"/>
          <w:lang w:eastAsia="zh-CN"/>
        </w:rPr>
      </w:pPr>
    </w:p>
    <w:p>
      <w:pPr>
        <w:pStyle w:val="4"/>
      </w:pPr>
      <w:bookmarkStart w:id="86" w:name="扫描0037"/>
      <w:bookmarkEnd w:id="86"/>
      <w:bookmarkStart w:id="87" w:name="_Toc171584058"/>
      <w:r>
        <w:rPr>
          <w:rFonts w:hint="eastAsia"/>
        </w:rPr>
        <w:t>第三章评审办法</w:t>
      </w:r>
      <w:bookmarkEnd w:id="87"/>
    </w:p>
    <w:p>
      <w:pPr>
        <w:spacing w:line="276" w:lineRule="auto"/>
        <w:rPr>
          <w:rFonts w:asciiTheme="minorEastAsia" w:hAnsiTheme="minorEastAsia" w:eastAsiaTheme="minorEastAsia" w:cstheme="minorEastAsia"/>
          <w:snapToGrid w:val="0"/>
          <w:sz w:val="24"/>
          <w:szCs w:val="24"/>
          <w:lang w:eastAsia="zh-CN"/>
        </w:rPr>
      </w:pPr>
      <w:bookmarkStart w:id="88" w:name="扫描0038"/>
      <w:bookmarkEnd w:id="88"/>
      <w:r>
        <w:rPr>
          <w:rFonts w:hint="eastAsia" w:asciiTheme="minorEastAsia" w:hAnsiTheme="minorEastAsia" w:eastAsiaTheme="minorEastAsia" w:cstheme="minorEastAsia"/>
          <w:snapToGrid w:val="0"/>
          <w:sz w:val="24"/>
          <w:szCs w:val="24"/>
          <w:lang w:eastAsia="zh-CN"/>
        </w:rPr>
        <w:br w:type="page"/>
      </w:r>
    </w:p>
    <w:p>
      <w:pPr>
        <w:pStyle w:val="5"/>
        <w:spacing w:line="276" w:lineRule="auto"/>
        <w:jc w:val="center"/>
        <w:rPr>
          <w:rFonts w:asciiTheme="minorEastAsia" w:hAnsiTheme="minorEastAsia" w:eastAsiaTheme="minorEastAsia" w:cstheme="minorEastAsia"/>
          <w:b/>
          <w:bCs/>
          <w:snapToGrid w:val="0"/>
          <w:sz w:val="32"/>
          <w:szCs w:val="32"/>
          <w:lang w:eastAsia="zh-CN"/>
        </w:rPr>
      </w:pPr>
      <w:bookmarkStart w:id="89" w:name="_Toc171584059"/>
      <w:r>
        <w:rPr>
          <w:rFonts w:hint="eastAsia" w:asciiTheme="minorEastAsia" w:hAnsiTheme="minorEastAsia" w:eastAsiaTheme="minorEastAsia" w:cstheme="minorEastAsia"/>
          <w:b/>
          <w:bCs/>
          <w:snapToGrid w:val="0"/>
          <w:sz w:val="32"/>
          <w:szCs w:val="32"/>
          <w:lang w:eastAsia="zh-CN"/>
        </w:rPr>
        <w:t>评审办法前附表</w:t>
      </w:r>
      <w:bookmarkEnd w:id="89"/>
    </w:p>
    <w:p>
      <w:pPr>
        <w:adjustRightInd w:val="0"/>
        <w:snapToGrid w:val="0"/>
        <w:spacing w:line="276" w:lineRule="auto"/>
        <w:rPr>
          <w:rFonts w:asciiTheme="minorEastAsia" w:hAnsiTheme="minorEastAsia" w:eastAsiaTheme="minorEastAsia" w:cstheme="minorEastAsia"/>
          <w:snapToGrid w:val="0"/>
          <w:sz w:val="24"/>
          <w:szCs w:val="24"/>
          <w:lang w:eastAsia="zh-CN"/>
        </w:rPr>
      </w:pPr>
    </w:p>
    <w:tbl>
      <w:tblPr>
        <w:tblStyle w:val="31"/>
        <w:tblW w:w="9437"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17"/>
        <w:gridCol w:w="1018"/>
        <w:gridCol w:w="2250"/>
        <w:gridCol w:w="477"/>
        <w:gridCol w:w="4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4"/>
                <w:szCs w:val="24"/>
              </w:rPr>
            </w:pPr>
            <w:r>
              <w:rPr>
                <w:rFonts w:hint="eastAsia" w:asciiTheme="minorEastAsia" w:hAnsiTheme="minorEastAsia" w:eastAsiaTheme="minorEastAsia" w:cstheme="minorEastAsia"/>
                <w:b/>
                <w:bCs/>
                <w:snapToGrid w:val="0"/>
                <w:sz w:val="24"/>
                <w:szCs w:val="24"/>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4"/>
                <w:szCs w:val="24"/>
              </w:rPr>
            </w:pPr>
            <w:r>
              <w:rPr>
                <w:rFonts w:hint="eastAsia" w:asciiTheme="minorEastAsia" w:hAnsiTheme="minorEastAsia" w:eastAsiaTheme="minorEastAsia" w:cstheme="minorEastAsia"/>
                <w:b/>
                <w:bCs/>
                <w:snapToGrid w:val="0"/>
                <w:sz w:val="24"/>
                <w:szCs w:val="24"/>
              </w:rPr>
              <w:t>评审因素</w:t>
            </w:r>
          </w:p>
        </w:tc>
        <w:tc>
          <w:tcPr>
            <w:tcW w:w="5439" w:type="dxa"/>
            <w:gridSpan w:val="2"/>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4"/>
                <w:szCs w:val="24"/>
              </w:rPr>
            </w:pPr>
            <w:r>
              <w:rPr>
                <w:rFonts w:hint="eastAsia" w:asciiTheme="minorEastAsia" w:hAnsiTheme="minorEastAsia" w:eastAsiaTheme="minorEastAsia" w:cstheme="minorEastAsia"/>
                <w:b/>
                <w:bCs/>
                <w:snapToGrid w:val="0"/>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1</w:t>
            </w:r>
          </w:p>
        </w:tc>
        <w:tc>
          <w:tcPr>
            <w:tcW w:w="1018" w:type="dxa"/>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评审方法</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评审方法</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2.1.1</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形式评审标准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供应商名称</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lang w:eastAsia="zh-CN"/>
              </w:rPr>
              <w:t>响</w:t>
            </w:r>
            <w:r>
              <w:rPr>
                <w:rFonts w:hint="eastAsia" w:asciiTheme="minorEastAsia" w:hAnsiTheme="minorEastAsia" w:eastAsiaTheme="minorEastAsia" w:cstheme="minorEastAsia"/>
                <w:snapToGrid w:val="0"/>
                <w:sz w:val="21"/>
                <w:szCs w:val="21"/>
              </w:rPr>
              <w:t>应文件签字盖章</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联合体协议书</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响应函中实质性内容</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2.1.2</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资格评审标准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依法设立</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资质要求</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财务要求</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Borders>
              <w:bottom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业绩要求</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信誉要求</w:t>
            </w:r>
          </w:p>
        </w:tc>
        <w:tc>
          <w:tcPr>
            <w:tcW w:w="5439" w:type="dxa"/>
            <w:gridSpan w:val="2"/>
            <w:tcBorders>
              <w:left w:val="single" w:color="auto" w:sz="4" w:space="0"/>
            </w:tcBorders>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人员要求</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其他要求</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不存在第一章第3.2款情形</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联合体供应商</w:t>
            </w:r>
          </w:p>
        </w:tc>
        <w:tc>
          <w:tcPr>
            <w:tcW w:w="5439" w:type="dxa"/>
            <w:gridSpan w:val="2"/>
            <w:tcMar>
              <w:left w:w="57" w:type="dxa"/>
              <w:right w:w="57" w:type="dxa"/>
            </w:tcMar>
            <w:vAlign w:val="center"/>
          </w:tcPr>
          <w:p>
            <w:pPr>
              <w:adjustRightInd w:val="0"/>
              <w:snapToGrid w:val="0"/>
              <w:ind w:firstLine="42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lang w:eastAsia="zh-CN"/>
              </w:rPr>
            </w:pPr>
            <w:r>
              <w:rPr>
                <w:rFonts w:hint="eastAsia" w:asciiTheme="minorEastAsia" w:hAnsiTheme="minorEastAsia" w:eastAsiaTheme="minorEastAsia" w:cstheme="minorEastAsia"/>
                <w:b/>
                <w:bCs/>
                <w:snapToGrid w:val="0"/>
                <w:sz w:val="21"/>
                <w:szCs w:val="21"/>
              </w:rPr>
              <w:t>评审因素</w:t>
            </w:r>
          </w:p>
        </w:tc>
        <w:tc>
          <w:tcPr>
            <w:tcW w:w="5439" w:type="dxa"/>
            <w:gridSpan w:val="2"/>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2.1.3</w:t>
            </w:r>
          </w:p>
        </w:tc>
        <w:tc>
          <w:tcPr>
            <w:tcW w:w="1018" w:type="dxa"/>
            <w:vMerge w:val="restart"/>
            <w:tcBorders>
              <w:top w:val="nil"/>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响应性评审标准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lang w:eastAsia="zh-CN"/>
              </w:rPr>
              <w:t>报</w:t>
            </w:r>
            <w:r>
              <w:rPr>
                <w:rFonts w:hint="eastAsia" w:asciiTheme="minorEastAsia" w:hAnsiTheme="minorEastAsia" w:eastAsiaTheme="minorEastAsia" w:cstheme="minorEastAsia"/>
                <w:snapToGrid w:val="0"/>
                <w:sz w:val="21"/>
                <w:szCs w:val="21"/>
              </w:rPr>
              <w:t>价</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响应文件有效期</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符合第二章第3.3.1项规定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响应保证金</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lang w:eastAsia="zh-CN"/>
              </w:rPr>
              <w:t>服务方案</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质量标准</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lang w:eastAsia="zh-CN"/>
              </w:rPr>
              <w:t>服务期</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合同条款</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对非关键条款的偏差</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18" w:type="dxa"/>
            <w:vMerge w:val="continue"/>
            <w:tcBorders>
              <w:bottom w:val="nil"/>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3.1.1</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评审价格</w:t>
            </w:r>
          </w:p>
        </w:tc>
        <w:tc>
          <w:tcPr>
            <w:tcW w:w="5439" w:type="dxa"/>
            <w:gridSpan w:val="2"/>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lang w:eastAsia="zh-CN"/>
              </w:rPr>
            </w:pPr>
            <w:r>
              <w:rPr>
                <w:rFonts w:hint="eastAsia" w:asciiTheme="minorEastAsia" w:hAnsiTheme="minorEastAsia" w:eastAsiaTheme="minorEastAsia" w:cstheme="minorEastAsia"/>
                <w:b/>
                <w:bCs/>
                <w:snapToGrid w:val="0"/>
                <w:sz w:val="21"/>
                <w:szCs w:val="21"/>
              </w:rPr>
              <w:t>条款号</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rPr>
              <w:t>条款内容</w:t>
            </w:r>
          </w:p>
        </w:tc>
        <w:tc>
          <w:tcPr>
            <w:tcW w:w="5439" w:type="dxa"/>
            <w:gridSpan w:val="2"/>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5" w:hRule="atLeast"/>
        </w:trPr>
        <w:tc>
          <w:tcPr>
            <w:tcW w:w="1748" w:type="dxa"/>
            <w:gridSpan w:val="3"/>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w:t>
            </w: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供应商并列时确定供应商优先顺序的规则</w:t>
            </w:r>
          </w:p>
        </w:tc>
        <w:tc>
          <w:tcPr>
            <w:tcW w:w="5439" w:type="dxa"/>
            <w:gridSpan w:val="2"/>
            <w:tcBorders>
              <w:top w:val="single" w:color="auto" w:sz="4" w:space="0"/>
            </w:tcBorders>
            <w:tcMar>
              <w:left w:w="57" w:type="dxa"/>
              <w:right w:w="57" w:type="dxa"/>
            </w:tcMar>
            <w:vAlign w:val="center"/>
          </w:tcPr>
          <w:p>
            <w:pPr>
              <w:pStyle w:val="42"/>
              <w:adjustRightInd w:val="0"/>
              <w:snapToGrid w:val="0"/>
              <w:spacing w:line="276" w:lineRule="auto"/>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□由谈判小组投票决定</w:t>
            </w:r>
          </w:p>
          <w:p>
            <w:pPr>
              <w:pStyle w:val="42"/>
              <w:adjustRightInd w:val="0"/>
              <w:snapToGrid w:val="0"/>
              <w:spacing w:line="276" w:lineRule="auto"/>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□由谈判小组抽签决定</w:t>
            </w:r>
          </w:p>
          <w:p>
            <w:pPr>
              <w:adjustRightInd w:val="0"/>
              <w:snapToGrid w:val="0"/>
              <w:spacing w:line="276" w:lineRule="auto"/>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lang w:eastAsia="zh-CN"/>
              </w:rPr>
              <w:sym w:font="Wingdings" w:char="00FE"/>
            </w:r>
            <w:r>
              <w:rPr>
                <w:rFonts w:hint="eastAsia" w:asciiTheme="minorEastAsia" w:hAnsiTheme="minorEastAsia" w:eastAsiaTheme="minorEastAsia" w:cstheme="minorEastAsia"/>
                <w:snapToGrid w:val="0"/>
                <w:sz w:val="21"/>
                <w:szCs w:val="21"/>
                <w:lang w:eastAsia="zh-CN"/>
              </w:rPr>
              <w:t>其他方法：报价分得分最高者优先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9437" w:type="dxa"/>
            <w:gridSpan w:val="6"/>
            <w:tcBorders>
              <w:bottom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b/>
                <w:snapToGrid w:val="0"/>
                <w:sz w:val="21"/>
                <w:szCs w:val="21"/>
                <w:lang w:eastAsia="zh-CN"/>
              </w:rPr>
            </w:pPr>
            <w:r>
              <w:rPr>
                <w:rFonts w:hint="eastAsia" w:asciiTheme="minorEastAsia" w:hAnsiTheme="minorEastAsia" w:eastAsiaTheme="minorEastAsia" w:cstheme="minorEastAsia"/>
                <w:b/>
                <w:snapToGrid w:val="0"/>
                <w:sz w:val="21"/>
                <w:szCs w:val="21"/>
                <w:lang w:eastAsia="zh-CN"/>
              </w:rPr>
              <w:t>3.2综合评分和排序(综合评分法)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3.2.1</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分值构成</w:t>
            </w:r>
          </w:p>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(总分100分)</w:t>
            </w:r>
          </w:p>
        </w:tc>
        <w:tc>
          <w:tcPr>
            <w:tcW w:w="5439" w:type="dxa"/>
            <w:gridSpan w:val="2"/>
            <w:tcMar>
              <w:left w:w="57" w:type="dxa"/>
              <w:right w:w="57" w:type="dxa"/>
            </w:tcMar>
            <w:vAlign w:val="center"/>
          </w:tcPr>
          <w:p>
            <w:pPr>
              <w:numPr>
                <w:ilvl w:val="0"/>
                <w:numId w:val="4"/>
              </w:numPr>
              <w:adjustRightInd w:val="0"/>
              <w:snapToGrid w:val="0"/>
              <w:ind w:left="0" w:firstLine="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商务部分：</w:t>
            </w:r>
            <w:r>
              <w:rPr>
                <w:rFonts w:hint="eastAsia" w:asciiTheme="minorEastAsia" w:hAnsiTheme="minorEastAsia" w:eastAsiaTheme="minorEastAsia" w:cstheme="minorEastAsia"/>
                <w:snapToGrid w:val="0"/>
                <w:sz w:val="21"/>
                <w:szCs w:val="21"/>
                <w:u w:val="single"/>
                <w:lang w:eastAsia="zh-CN"/>
              </w:rPr>
              <w:t>10</w:t>
            </w:r>
            <w:r>
              <w:rPr>
                <w:rFonts w:hint="eastAsia" w:asciiTheme="minorEastAsia" w:hAnsiTheme="minorEastAsia" w:eastAsiaTheme="minorEastAsia" w:cstheme="minorEastAsia"/>
                <w:snapToGrid w:val="0"/>
                <w:sz w:val="21"/>
                <w:szCs w:val="21"/>
              </w:rPr>
              <w:t>分</w:t>
            </w:r>
          </w:p>
          <w:p>
            <w:pPr>
              <w:numPr>
                <w:ilvl w:val="0"/>
                <w:numId w:val="4"/>
              </w:numPr>
              <w:adjustRightInd w:val="0"/>
              <w:snapToGrid w:val="0"/>
              <w:ind w:left="0" w:firstLine="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技术部分：</w:t>
            </w:r>
            <w:r>
              <w:rPr>
                <w:rFonts w:hint="eastAsia" w:asciiTheme="minorEastAsia" w:hAnsiTheme="minorEastAsia" w:eastAsiaTheme="minorEastAsia" w:cstheme="minorEastAsia"/>
                <w:snapToGrid w:val="0"/>
                <w:sz w:val="21"/>
                <w:szCs w:val="21"/>
                <w:u w:val="single"/>
                <w:lang w:eastAsia="zh-CN"/>
              </w:rPr>
              <w:t>30</w:t>
            </w:r>
            <w:r>
              <w:rPr>
                <w:rFonts w:hint="eastAsia" w:asciiTheme="minorEastAsia" w:hAnsiTheme="minorEastAsia" w:eastAsiaTheme="minorEastAsia" w:cstheme="minorEastAsia"/>
                <w:snapToGrid w:val="0"/>
                <w:sz w:val="21"/>
                <w:szCs w:val="21"/>
              </w:rPr>
              <w:t>分</w:t>
            </w:r>
          </w:p>
          <w:p>
            <w:pPr>
              <w:numPr>
                <w:ilvl w:val="0"/>
                <w:numId w:val="4"/>
              </w:numPr>
              <w:adjustRightInd w:val="0"/>
              <w:snapToGrid w:val="0"/>
              <w:ind w:left="0" w:firstLine="0"/>
              <w:jc w:val="both"/>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报价：</w:t>
            </w:r>
            <w:r>
              <w:rPr>
                <w:rFonts w:hint="eastAsia" w:asciiTheme="minorEastAsia" w:hAnsiTheme="minorEastAsia" w:eastAsiaTheme="minorEastAsia" w:cstheme="minorEastAsia"/>
                <w:snapToGrid w:val="0"/>
                <w:sz w:val="21"/>
                <w:szCs w:val="21"/>
                <w:u w:val="single"/>
                <w:lang w:eastAsia="zh-CN"/>
              </w:rPr>
              <w:t>60</w:t>
            </w:r>
            <w:r>
              <w:rPr>
                <w:rFonts w:hint="eastAsia" w:asciiTheme="minorEastAsia" w:hAnsiTheme="minorEastAsia" w:eastAsiaTheme="minorEastAsia" w:cstheme="minorEastAsia"/>
                <w:snapToGrid w:val="0"/>
                <w:sz w:val="21"/>
                <w:szCs w:val="21"/>
              </w:rPr>
              <w:t>分</w:t>
            </w:r>
          </w:p>
          <w:p>
            <w:pPr>
              <w:numPr>
                <w:ilvl w:val="0"/>
                <w:numId w:val="4"/>
              </w:numPr>
              <w:adjustRightInd w:val="0"/>
              <w:snapToGrid w:val="0"/>
              <w:ind w:left="0" w:firstLine="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其他评分因素：0分(如有)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8" w:hRule="atLeast"/>
        </w:trPr>
        <w:tc>
          <w:tcPr>
            <w:tcW w:w="1748" w:type="dxa"/>
            <w:gridSpan w:val="3"/>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3.2.2(2)</w:t>
            </w: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评审基准价计算方法</w:t>
            </w:r>
          </w:p>
        </w:tc>
        <w:tc>
          <w:tcPr>
            <w:tcW w:w="5439" w:type="dxa"/>
            <w:gridSpan w:val="2"/>
            <w:tcBorders>
              <w:top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bookmarkStart w:id="90" w:name="_Hlk91582190"/>
            <w:r>
              <w:rPr>
                <w:rFonts w:hint="eastAsia" w:asciiTheme="minorEastAsia" w:hAnsiTheme="minorEastAsia" w:eastAsiaTheme="minorEastAsia" w:cstheme="minorEastAsia"/>
                <w:snapToGrid w:val="0"/>
                <w:sz w:val="21"/>
                <w:szCs w:val="21"/>
                <w:lang w:eastAsia="zh-CN"/>
              </w:rPr>
              <w:t>按照以下方法计算评审基准价：</w:t>
            </w:r>
          </w:p>
          <w:p>
            <w:pPr>
              <w:pStyle w:val="2"/>
            </w:pPr>
            <w:r>
              <w:rPr>
                <w:rFonts w:hint="eastAsia"/>
              </w:rPr>
              <w:t>评审基准价的计算：以不含税价计算。</w:t>
            </w:r>
          </w:p>
          <w:p>
            <w:pPr>
              <w:pStyle w:val="2"/>
            </w:pP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w:t>
            </w:r>
            <w:r>
              <w:rPr>
                <w:rFonts w:hint="eastAsia" w:asciiTheme="minorEastAsia" w:hAnsiTheme="minorEastAsia" w:eastAsiaTheme="minorEastAsia" w:cstheme="minorEastAsia"/>
                <w:snapToGrid w:val="0"/>
                <w:sz w:val="21"/>
                <w:szCs w:val="21"/>
                <w:u w:val="single"/>
                <w:lang w:eastAsia="zh-CN"/>
              </w:rPr>
              <w:t>按有效报价的算术平均值为评审基准价：</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有效响应人家数为N，0＜N≤5时，所有有效报价的算术平</w:t>
            </w:r>
            <w:bookmarkEnd w:id="90"/>
            <w:r>
              <w:rPr>
                <w:rFonts w:hint="eastAsia" w:asciiTheme="minorEastAsia" w:hAnsiTheme="minorEastAsia" w:eastAsiaTheme="minorEastAsia" w:cstheme="minorEastAsia"/>
                <w:snapToGrid w:val="0"/>
                <w:sz w:val="21"/>
                <w:szCs w:val="21"/>
                <w:lang w:eastAsia="zh-CN"/>
              </w:rPr>
              <w:t>均值为评审基准价；5＜N≤10时，所有有效报价去掉1个最高报价和1个最低报价后的算术平均值为评审基准价；10＜N≤20时，所有有效报价去掉2个最高报价和2个最低报价后的算术平均值为评标基准价；N＞20时，所有有效报价去掉3个最高报价和3个最低报价后的算术平均值为评标基准价。</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评审基准价的计算：以不含税价计算</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4"/>
                <w:szCs w:val="24"/>
                <w:lang w:eastAsia="zh-CN"/>
              </w:rPr>
              <w:sym w:font="Wingdings" w:char="00A8"/>
            </w:r>
            <w:r>
              <w:rPr>
                <w:rFonts w:hint="eastAsia" w:asciiTheme="minorEastAsia" w:hAnsiTheme="minorEastAsia" w:eastAsiaTheme="minorEastAsia" w:cstheme="minorEastAsia"/>
                <w:snapToGrid w:val="0"/>
                <w:sz w:val="21"/>
                <w:szCs w:val="21"/>
                <w:u w:val="single"/>
                <w:lang w:eastAsia="zh-CN"/>
              </w:rPr>
              <w:t>按最低有效报价作为评审基准价。</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无效报价、响应被否决的供应商，其报价不参与评审基准价的计算。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lang w:eastAsia="zh-CN"/>
              </w:rPr>
            </w:pPr>
            <w:r>
              <w:rPr>
                <w:rFonts w:hint="eastAsia" w:asciiTheme="minorEastAsia" w:hAnsiTheme="minorEastAsia" w:eastAsiaTheme="minorEastAsia" w:cs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lang w:eastAsia="zh-CN"/>
              </w:rPr>
            </w:pPr>
            <w:r>
              <w:rPr>
                <w:rFonts w:hint="eastAsia" w:asciiTheme="minorEastAsia" w:hAnsiTheme="minorEastAsia" w:eastAsiaTheme="minorEastAsia" w:cstheme="minorEastAsia"/>
                <w:b/>
                <w:bCs/>
                <w:snapToGrid w:val="0"/>
                <w:sz w:val="21"/>
                <w:szCs w:val="21"/>
              </w:rPr>
              <w:t>评分因素</w:t>
            </w:r>
          </w:p>
        </w:tc>
        <w:tc>
          <w:tcPr>
            <w:tcW w:w="5439" w:type="dxa"/>
            <w:gridSpan w:val="2"/>
            <w:tcMar>
              <w:left w:w="57" w:type="dxa"/>
              <w:right w:w="57" w:type="dxa"/>
            </w:tcMar>
            <w:vAlign w:val="center"/>
          </w:tcPr>
          <w:p>
            <w:pPr>
              <w:adjustRightInd w:val="0"/>
              <w:snapToGrid w:val="0"/>
              <w:jc w:val="center"/>
              <w:rPr>
                <w:rFonts w:asciiTheme="minorEastAsia" w:hAnsiTheme="minorEastAsia" w:eastAsiaTheme="minorEastAsia" w:cstheme="minorEastAsia"/>
                <w:b/>
                <w:bCs/>
                <w:snapToGrid w:val="0"/>
                <w:sz w:val="21"/>
                <w:szCs w:val="21"/>
                <w:lang w:eastAsia="zh-CN"/>
              </w:rPr>
            </w:pPr>
            <w:r>
              <w:rPr>
                <w:rFonts w:hint="eastAsia" w:asciiTheme="minorEastAsia" w:hAnsiTheme="minorEastAsia" w:eastAsiaTheme="minorEastAsia" w:cstheme="minorEastAsia"/>
                <w:b/>
                <w:bCs/>
                <w:snapToGrid w:val="0"/>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3.2.3</w:t>
            </w:r>
          </w:p>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(1)</w:t>
            </w:r>
          </w:p>
        </w:tc>
        <w:tc>
          <w:tcPr>
            <w:tcW w:w="1035" w:type="dxa"/>
            <w:gridSpan w:val="2"/>
            <w:vMerge w:val="restart"/>
            <w:tcBorders>
              <w:left w:val="single" w:color="auto" w:sz="4" w:space="0"/>
            </w:tcBorders>
            <w:vAlign w:val="center"/>
          </w:tcPr>
          <w:p>
            <w:pPr>
              <w:adjustRightInd w:val="0"/>
              <w:snapToGrid w:val="0"/>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商务评分标准</w:t>
            </w:r>
            <w:r>
              <w:rPr>
                <w:rFonts w:hint="eastAsia" w:asciiTheme="minorEastAsia" w:hAnsiTheme="minorEastAsia" w:eastAsiaTheme="minorEastAsia" w:cstheme="minorEastAsia"/>
                <w:sz w:val="20"/>
                <w:szCs w:val="20"/>
                <w:lang w:eastAsia="zh-CN"/>
              </w:rPr>
              <w:t>（10分）</w:t>
            </w:r>
          </w:p>
        </w:tc>
        <w:tc>
          <w:tcPr>
            <w:tcW w:w="2250" w:type="dxa"/>
            <w:tcMar>
              <w:left w:w="57" w:type="dxa"/>
              <w:right w:w="57" w:type="dxa"/>
            </w:tcMar>
            <w:vAlign w:val="center"/>
          </w:tcPr>
          <w:p>
            <w:pPr>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z w:val="20"/>
                <w:szCs w:val="20"/>
                <w:lang w:eastAsia="zh-CN"/>
              </w:rPr>
              <w:t>业绩（</w:t>
            </w:r>
            <w:r>
              <w:rPr>
                <w:rFonts w:asciiTheme="minorEastAsia" w:hAnsiTheme="minorEastAsia" w:eastAsiaTheme="minorEastAsia" w:cstheme="minorEastAsia"/>
                <w:sz w:val="20"/>
                <w:szCs w:val="20"/>
                <w:lang w:eastAsia="zh-CN"/>
              </w:rPr>
              <w:t>2</w:t>
            </w:r>
            <w:r>
              <w:rPr>
                <w:rFonts w:hint="eastAsia" w:asciiTheme="minorEastAsia" w:hAnsiTheme="minorEastAsia" w:eastAsiaTheme="minorEastAsia" w:cstheme="minorEastAsia"/>
                <w:sz w:val="20"/>
                <w:szCs w:val="20"/>
                <w:lang w:eastAsia="zh-CN"/>
              </w:rPr>
              <w:t>分）</w:t>
            </w:r>
          </w:p>
        </w:tc>
        <w:tc>
          <w:tcPr>
            <w:tcW w:w="477" w:type="dxa"/>
            <w:tcBorders>
              <w:bottom w:val="single" w:color="auto" w:sz="4" w:space="0"/>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asciiTheme="minorEastAsia" w:hAnsiTheme="minorEastAsia" w:eastAsiaTheme="minorEastAsia" w:cstheme="minorEastAsia"/>
                <w:snapToGrid w:val="0"/>
                <w:sz w:val="21"/>
                <w:szCs w:val="21"/>
                <w:lang w:eastAsia="zh-CN"/>
              </w:rPr>
              <w:t>2</w:t>
            </w:r>
          </w:p>
        </w:tc>
        <w:tc>
          <w:tcPr>
            <w:tcW w:w="4962" w:type="dxa"/>
            <w:tcBorders>
              <w:left w:val="single" w:color="auto" w:sz="4" w:space="0"/>
              <w:bottom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近3</w:t>
            </w:r>
            <w:r>
              <w:rPr>
                <w:rFonts w:asciiTheme="minorEastAsia" w:hAnsiTheme="minorEastAsia" w:eastAsiaTheme="minorEastAsia" w:cstheme="minorEastAsia"/>
                <w:snapToGrid w:val="0"/>
                <w:sz w:val="21"/>
                <w:szCs w:val="21"/>
                <w:lang w:eastAsia="zh-CN"/>
              </w:rPr>
              <w:t>年内具有类似项目业绩（类似业绩的工程规模标准：有1项</w:t>
            </w:r>
            <w:r>
              <w:rPr>
                <w:rFonts w:hint="eastAsia" w:asciiTheme="minorEastAsia" w:hAnsiTheme="minorEastAsia" w:eastAsiaTheme="minorEastAsia" w:cstheme="minorEastAsia"/>
                <w:snapToGrid w:val="0"/>
                <w:sz w:val="21"/>
                <w:szCs w:val="21"/>
                <w:lang w:eastAsia="zh-CN"/>
              </w:rPr>
              <w:t>加0.5</w:t>
            </w:r>
            <w:r>
              <w:rPr>
                <w:rFonts w:asciiTheme="minorEastAsia" w:hAnsiTheme="minorEastAsia" w:eastAsiaTheme="minorEastAsia" w:cstheme="minorEastAsia"/>
                <w:snapToGrid w:val="0"/>
                <w:sz w:val="21"/>
                <w:szCs w:val="21"/>
                <w:lang w:eastAsia="zh-CN"/>
              </w:rPr>
              <w:t>分，最多加至2分</w:t>
            </w:r>
            <w:r>
              <w:rPr>
                <w:rFonts w:hint="eastAsia" w:asciiTheme="minorEastAsia" w:hAnsiTheme="minorEastAsia" w:eastAsiaTheme="minorEastAsia" w:cs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4"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z w:val="20"/>
                <w:szCs w:val="20"/>
                <w:lang w:eastAsia="zh-CN"/>
              </w:rPr>
              <w:t>资信证明（2分）</w:t>
            </w:r>
          </w:p>
        </w:tc>
        <w:tc>
          <w:tcPr>
            <w:tcW w:w="477" w:type="dxa"/>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z w:val="20"/>
                <w:szCs w:val="20"/>
                <w:lang w:eastAsia="zh-CN"/>
              </w:rPr>
              <w:t>2</w:t>
            </w:r>
          </w:p>
        </w:tc>
        <w:tc>
          <w:tcPr>
            <w:tcW w:w="4962" w:type="dxa"/>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1.投标人出具2021年1月份至今，银行资信证明材料为无不良记录的加0.5分。</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2.投标人每提供1份用户出具的项目效果评价合格证明材料的加0.5分，最多加1分。</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3.通过ISO或国际同等系列质量管理体系认证的加0.5分。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5"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z w:val="20"/>
                <w:szCs w:val="20"/>
                <w:lang w:eastAsia="zh-CN"/>
              </w:rPr>
              <w:t>交货期（</w:t>
            </w:r>
            <w:r>
              <w:rPr>
                <w:rFonts w:asciiTheme="minorEastAsia" w:hAnsiTheme="minorEastAsia" w:eastAsiaTheme="minorEastAsia" w:cstheme="minorEastAsia"/>
                <w:sz w:val="20"/>
                <w:szCs w:val="20"/>
                <w:lang w:eastAsia="zh-CN"/>
              </w:rPr>
              <w:t>4</w:t>
            </w:r>
            <w:r>
              <w:rPr>
                <w:rFonts w:hint="eastAsia" w:asciiTheme="minorEastAsia" w:hAnsiTheme="minorEastAsia" w:eastAsiaTheme="minorEastAsia" w:cstheme="minorEastAsia"/>
                <w:sz w:val="20"/>
                <w:szCs w:val="20"/>
                <w:lang w:eastAsia="zh-CN"/>
              </w:rPr>
              <w:t>分）</w:t>
            </w:r>
          </w:p>
        </w:tc>
        <w:tc>
          <w:tcPr>
            <w:tcW w:w="477" w:type="dxa"/>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z w:val="20"/>
                <w:szCs w:val="20"/>
                <w:lang w:eastAsia="zh-CN"/>
              </w:rPr>
            </w:pPr>
            <w:r>
              <w:rPr>
                <w:rFonts w:asciiTheme="minorEastAsia" w:hAnsiTheme="minorEastAsia" w:eastAsiaTheme="minorEastAsia" w:cstheme="minorEastAsia"/>
                <w:sz w:val="20"/>
                <w:szCs w:val="20"/>
                <w:lang w:eastAsia="zh-CN"/>
              </w:rPr>
              <w:t>4</w:t>
            </w:r>
          </w:p>
        </w:tc>
        <w:tc>
          <w:tcPr>
            <w:tcW w:w="4962" w:type="dxa"/>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1.有完整的，合理的供货、安装施工方案；有完整的，合理的项目进度计划，人员安排得2分；</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2.每提前5天交货的，加</w:t>
            </w:r>
            <w:r>
              <w:rPr>
                <w:rFonts w:asciiTheme="minorEastAsia" w:hAnsiTheme="minorEastAsia" w:eastAsiaTheme="minorEastAsia" w:cstheme="minorEastAsia"/>
                <w:snapToGrid w:val="0"/>
                <w:sz w:val="21"/>
                <w:szCs w:val="21"/>
                <w:lang w:eastAsia="zh-CN"/>
              </w:rPr>
              <w:t>1</w:t>
            </w:r>
            <w:r>
              <w:rPr>
                <w:rFonts w:hint="eastAsia" w:asciiTheme="minorEastAsia" w:hAnsiTheme="minorEastAsia" w:eastAsiaTheme="minorEastAsia" w:cstheme="minorEastAsia"/>
                <w:snapToGrid w:val="0"/>
                <w:sz w:val="21"/>
                <w:szCs w:val="21"/>
                <w:lang w:eastAsia="zh-CN"/>
              </w:rPr>
              <w:t>分，最高加分不超过</w:t>
            </w:r>
            <w:r>
              <w:rPr>
                <w:rFonts w:asciiTheme="minorEastAsia" w:hAnsiTheme="minorEastAsia" w:eastAsiaTheme="minorEastAsia" w:cstheme="minorEastAsia"/>
                <w:snapToGrid w:val="0"/>
                <w:sz w:val="21"/>
                <w:szCs w:val="21"/>
                <w:lang w:eastAsia="zh-CN"/>
              </w:rPr>
              <w:t>2</w:t>
            </w:r>
            <w:r>
              <w:rPr>
                <w:rFonts w:hint="eastAsia" w:asciiTheme="minorEastAsia" w:hAnsiTheme="minorEastAsia" w:eastAsiaTheme="minorEastAsia" w:cstheme="minorEastAsia"/>
                <w:snapToGrid w:val="0"/>
                <w:sz w:val="21"/>
                <w:szCs w:val="21"/>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付款方式</w:t>
            </w:r>
            <w:r>
              <w:rPr>
                <w:rFonts w:hint="eastAsia" w:asciiTheme="minorEastAsia" w:hAnsiTheme="minorEastAsia" w:eastAsiaTheme="minorEastAsia" w:cstheme="minorEastAsia"/>
                <w:sz w:val="20"/>
                <w:szCs w:val="20"/>
                <w:lang w:eastAsia="zh-CN"/>
              </w:rPr>
              <w:t>（2分）</w:t>
            </w:r>
          </w:p>
        </w:tc>
        <w:tc>
          <w:tcPr>
            <w:tcW w:w="477" w:type="dxa"/>
            <w:tcBorders>
              <w:right w:val="single" w:color="auto" w:sz="4" w:space="0"/>
            </w:tcBorders>
            <w:tcMar>
              <w:left w:w="57" w:type="dxa"/>
              <w:right w:w="57" w:type="dxa"/>
            </w:tcMar>
            <w:vAlign w:val="center"/>
          </w:tcPr>
          <w:p>
            <w:pPr>
              <w:spacing w:before="15"/>
              <w:ind w:left="29"/>
              <w:jc w:val="center"/>
              <w:rPr>
                <w:rFonts w:asciiTheme="minorEastAsia" w:hAnsiTheme="minorEastAsia" w:eastAsiaTheme="minorEastAsia" w:cstheme="minorEastAsia"/>
                <w:w w:val="105"/>
                <w:sz w:val="20"/>
                <w:szCs w:val="20"/>
                <w:lang w:eastAsia="zh-CN"/>
              </w:rPr>
            </w:pPr>
            <w:r>
              <w:rPr>
                <w:rFonts w:hint="eastAsia" w:asciiTheme="minorEastAsia" w:hAnsiTheme="minorEastAsia" w:eastAsiaTheme="minorEastAsia" w:cstheme="minorEastAsia"/>
                <w:w w:val="105"/>
                <w:sz w:val="20"/>
                <w:szCs w:val="20"/>
                <w:lang w:eastAsia="zh-CN"/>
              </w:rPr>
              <w:t>2</w:t>
            </w:r>
          </w:p>
        </w:tc>
        <w:tc>
          <w:tcPr>
            <w:tcW w:w="4962" w:type="dxa"/>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1.响应付款式得2分。</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2.不响应付款不得分。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3.2.3</w:t>
            </w:r>
          </w:p>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(2)</w:t>
            </w:r>
          </w:p>
        </w:tc>
        <w:tc>
          <w:tcPr>
            <w:tcW w:w="1035" w:type="dxa"/>
            <w:gridSpan w:val="2"/>
            <w:vMerge w:val="restart"/>
            <w:tcBorders>
              <w:left w:val="single" w:color="auto" w:sz="4" w:space="0"/>
            </w:tcBorders>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技术评分标准</w:t>
            </w:r>
          </w:p>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z w:val="20"/>
                <w:szCs w:val="20"/>
                <w:lang w:eastAsia="zh-CN"/>
              </w:rPr>
              <w:t>（30分）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技术参数评价</w:t>
            </w:r>
          </w:p>
          <w:p>
            <w:pPr>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（28分）</w:t>
            </w:r>
          </w:p>
        </w:tc>
        <w:tc>
          <w:tcPr>
            <w:tcW w:w="477" w:type="dxa"/>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28</w:t>
            </w:r>
          </w:p>
        </w:tc>
        <w:tc>
          <w:tcPr>
            <w:tcW w:w="4962" w:type="dxa"/>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一档（21.1—28分）技术方案全部满足项目总体技术参数要求外，有详细完整的项目设计方案；工程所用到材料品牌或优于要求品牌，或具有保质年限长的品牌。</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2.二档（14.1—21.0分）全部满足项目总体技术参数要求，材料满足招标品牌要求，技术方案比较简单，常规。</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3.三档（7.1—14.0分）存在部分不满足项目总体技术参数要求的情况，但不影响整体使用性能，技术方案简单。</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4.四档（0—7.0分）不满足项目总体技术参数要求的情况。</w:t>
            </w:r>
          </w:p>
          <w:p>
            <w:pPr>
              <w:adjustRightInd w:val="0"/>
              <w:snapToGrid w:val="0"/>
              <w:jc w:val="both"/>
              <w:rPr>
                <w:rFonts w:asciiTheme="minorEastAsia" w:hAnsiTheme="minorEastAsia" w:eastAsiaTheme="minorEastAsia" w:cstheme="minorEastAsia"/>
                <w:snapToGrid w:val="0"/>
                <w:sz w:val="21"/>
                <w:szCs w:val="21"/>
                <w:lang w:eastAsia="zh-CN"/>
              </w:rPr>
            </w:pP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投标方必须对技术的先进性要进行描述，作为技术评分依据。</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投标方必须提供的设备主体图纸，流程图，以及说明技术方案，如何达到技术指标要求（纯度、浊度、处理量），作为技术评分依据。</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根据投标人提供的技术方案和设备清单的优劣，由评委集体讨论确定各投标人技术方案所属档次，由评委在各档次内独立打分。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p>
        </w:tc>
        <w:tc>
          <w:tcPr>
            <w:tcW w:w="2250" w:type="dxa"/>
            <w:tcMar>
              <w:left w:w="57" w:type="dxa"/>
              <w:right w:w="57" w:type="dxa"/>
            </w:tcMar>
            <w:vAlign w:val="center"/>
          </w:tcPr>
          <w:p>
            <w:pPr>
              <w:jc w:val="center"/>
              <w:rPr>
                <w:rFonts w:asciiTheme="minorEastAsia" w:hAnsiTheme="minorEastAsia" w:eastAsiaTheme="minorEastAsia" w:cstheme="minorEastAsia"/>
                <w:spacing w:val="-4"/>
                <w:w w:val="105"/>
                <w:sz w:val="20"/>
                <w:szCs w:val="20"/>
                <w:lang w:eastAsia="zh-CN"/>
              </w:rPr>
            </w:pPr>
            <w:r>
              <w:rPr>
                <w:rFonts w:hint="eastAsia" w:asciiTheme="minorEastAsia" w:hAnsiTheme="minorEastAsia" w:eastAsiaTheme="minorEastAsia" w:cstheme="minorEastAsia"/>
                <w:spacing w:val="-4"/>
                <w:w w:val="105"/>
                <w:sz w:val="20"/>
                <w:szCs w:val="20"/>
                <w:lang w:eastAsia="zh-CN"/>
              </w:rPr>
              <w:t>服务承诺方案</w:t>
            </w:r>
            <w:r>
              <w:rPr>
                <w:rFonts w:hint="eastAsia" w:asciiTheme="minorEastAsia" w:hAnsiTheme="minorEastAsia" w:eastAsiaTheme="minorEastAsia" w:cstheme="minorEastAsia"/>
                <w:sz w:val="20"/>
                <w:szCs w:val="20"/>
                <w:lang w:eastAsia="zh-CN"/>
              </w:rPr>
              <w:t>（2分）</w:t>
            </w:r>
          </w:p>
        </w:tc>
        <w:tc>
          <w:tcPr>
            <w:tcW w:w="477" w:type="dxa"/>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w:t>
            </w:r>
          </w:p>
        </w:tc>
        <w:tc>
          <w:tcPr>
            <w:tcW w:w="4962" w:type="dxa"/>
            <w:tcBorders>
              <w:left w:val="single" w:color="auto" w:sz="4" w:space="0"/>
            </w:tcBorders>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1.一档（1.6-2分）售后服务满足需求，并优于其他，响应到厂处理问题时间小于24h。</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2.二档（1.1-1.5分）售后服务满足需求, 响应到厂处理问题时间大于24h，小于48h。</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3.三档（0-1分）售后服务一般或没有。</w:t>
            </w:r>
          </w:p>
          <w:p>
            <w:pPr>
              <w:adjustRightInd w:val="0"/>
              <w:snapToGrid w:val="0"/>
              <w:jc w:val="both"/>
              <w:rPr>
                <w:rFonts w:asciiTheme="minorEastAsia" w:hAnsiTheme="minorEastAsia" w:eastAsiaTheme="minorEastAsia" w:cstheme="minorEastAsia"/>
                <w:snapToGrid w:val="0"/>
                <w:sz w:val="21"/>
                <w:szCs w:val="21"/>
                <w:lang w:eastAsia="zh-CN"/>
              </w:rPr>
            </w:pP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由评委在打分前根据投标人售后服方案的优劣或响应到厂处理问题时间最短，集体讨论确定投标人售后服务方案的档次，并由评委在相应的档次内独立打分。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3.2.3</w:t>
            </w:r>
          </w:p>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(3)</w:t>
            </w:r>
          </w:p>
        </w:tc>
        <w:tc>
          <w:tcPr>
            <w:tcW w:w="1035" w:type="dxa"/>
            <w:gridSpan w:val="2"/>
            <w:tcBorders>
              <w:left w:val="single" w:color="auto" w:sz="4" w:space="0"/>
            </w:tcBorders>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报价评分标准</w:t>
            </w:r>
          </w:p>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z w:val="20"/>
                <w:szCs w:val="20"/>
                <w:lang w:eastAsia="zh-CN"/>
              </w:rPr>
              <w:t>（60分）</w:t>
            </w:r>
          </w:p>
        </w:tc>
        <w:tc>
          <w:tcPr>
            <w:tcW w:w="7689" w:type="dxa"/>
            <w:gridSpan w:val="3"/>
            <w:tcMar>
              <w:left w:w="57" w:type="dxa"/>
              <w:right w:w="57" w:type="dxa"/>
            </w:tcMar>
            <w:vAlign w:val="center"/>
          </w:tcPr>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☑按有效报价的平均值作为基准值，基准值为满分60分，有效报价每高于基准价1%的减1分，有效报价每低于基准价1%的减0.5分，扣减至45分为止。</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□以最低有效报价（不含税价）为基准值，基准值为满分60分，有效报价每高于基准价1%的减1分，扣减至45分为止。</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□以最低有效报价为基准值，基准值为满分60分，其他报价得分按公式计算：60×基准价/有效报价。</w:t>
            </w:r>
          </w:p>
          <w:p>
            <w:pPr>
              <w:adjustRightInd w:val="0"/>
              <w:snapToGrid w:val="0"/>
              <w:jc w:val="both"/>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中间值线性插入，小数点后保留2位，四舍五入。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3.2.3</w:t>
            </w:r>
          </w:p>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(4)</w:t>
            </w:r>
          </w:p>
        </w:tc>
        <w:tc>
          <w:tcPr>
            <w:tcW w:w="1035" w:type="dxa"/>
            <w:gridSpan w:val="2"/>
            <w:tcBorders>
              <w:left w:val="single" w:color="auto" w:sz="4" w:space="0"/>
            </w:tcBorders>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rPr>
              <w:t>其他因素评分标准</w:t>
            </w:r>
          </w:p>
        </w:tc>
        <w:tc>
          <w:tcPr>
            <w:tcW w:w="2250" w:type="dxa"/>
            <w:tcMar>
              <w:left w:w="57" w:type="dxa"/>
              <w:right w:w="57" w:type="dxa"/>
            </w:tcMar>
            <w:vAlign w:val="center"/>
          </w:tcPr>
          <w:p>
            <w:pPr>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w:t>
            </w:r>
          </w:p>
        </w:tc>
        <w:tc>
          <w:tcPr>
            <w:tcW w:w="5439" w:type="dxa"/>
            <w:gridSpan w:val="2"/>
            <w:tcMar>
              <w:left w:w="57" w:type="dxa"/>
              <w:right w:w="57" w:type="dxa"/>
            </w:tcMar>
            <w:vAlign w:val="center"/>
          </w:tcPr>
          <w:p>
            <w:pPr>
              <w:adjustRightInd w:val="0"/>
              <w:snapToGrid w:val="0"/>
              <w:jc w:val="center"/>
              <w:rPr>
                <w:rFonts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napToGrid w:val="0"/>
                <w:sz w:val="21"/>
                <w:szCs w:val="21"/>
                <w:lang w:eastAsia="zh-CN"/>
              </w:rPr>
              <w:t>……</w:t>
            </w:r>
          </w:p>
        </w:tc>
      </w:tr>
    </w:tbl>
    <w:p>
      <w:pPr>
        <w:rPr>
          <w:rFonts w:asciiTheme="minorEastAsia" w:hAnsiTheme="minorEastAsia" w:eastAsiaTheme="minorEastAsia" w:cstheme="minorEastAsia"/>
          <w:lang w:eastAsia="zh-CN"/>
        </w:rPr>
      </w:pPr>
      <w:bookmarkStart w:id="91" w:name="扫描0039"/>
      <w:bookmarkEnd w:id="91"/>
    </w:p>
    <w:p>
      <w:pPr>
        <w:pStyle w:val="5"/>
        <w:spacing w:line="400" w:lineRule="exact"/>
        <w:ind w:firstLine="482" w:firstLineChars="200"/>
        <w:jc w:val="both"/>
        <w:rPr>
          <w:rFonts w:asciiTheme="minorEastAsia" w:hAnsiTheme="minorEastAsia" w:eastAsiaTheme="minorEastAsia" w:cstheme="minorEastAsia"/>
          <w:b/>
          <w:bCs/>
          <w:snapToGrid w:val="0"/>
          <w:sz w:val="24"/>
          <w:szCs w:val="24"/>
          <w:lang w:eastAsia="zh-CN"/>
        </w:rPr>
      </w:pPr>
      <w:bookmarkStart w:id="92" w:name="_bookmark10"/>
      <w:bookmarkEnd w:id="92"/>
      <w:bookmarkStart w:id="93" w:name="_Toc171584060"/>
      <w:r>
        <w:rPr>
          <w:rFonts w:hint="eastAsia" w:asciiTheme="minorEastAsia" w:hAnsiTheme="minorEastAsia" w:eastAsiaTheme="minorEastAsia" w:cstheme="minorEastAsia"/>
          <w:b/>
          <w:bCs/>
          <w:snapToGrid w:val="0"/>
          <w:sz w:val="24"/>
          <w:szCs w:val="24"/>
          <w:lang w:eastAsia="zh-CN"/>
        </w:rPr>
        <w:t>1.评审方法（综合评分法）</w:t>
      </w:r>
      <w:bookmarkEnd w:id="93"/>
    </w:p>
    <w:p>
      <w:pPr>
        <w:spacing w:line="400" w:lineRule="exact"/>
        <w:ind w:firstLine="48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本次评审采用综合评分法。采购小组对满足采购文件实质性要求的响应文件，按照本章第3.2款规定的评分标准进行打分，并将得分最高的推荐为成交供应商。</w:t>
      </w:r>
    </w:p>
    <w:p>
      <w:pPr>
        <w:pStyle w:val="5"/>
        <w:spacing w:line="400" w:lineRule="exact"/>
        <w:ind w:firstLine="482" w:firstLineChars="200"/>
        <w:jc w:val="both"/>
        <w:rPr>
          <w:rFonts w:asciiTheme="minorEastAsia" w:hAnsiTheme="minorEastAsia" w:eastAsiaTheme="minorEastAsia" w:cstheme="minorEastAsia"/>
          <w:b/>
          <w:snapToGrid w:val="0"/>
          <w:sz w:val="24"/>
          <w:szCs w:val="24"/>
          <w:lang w:eastAsia="zh-CN"/>
        </w:rPr>
      </w:pPr>
      <w:bookmarkStart w:id="94" w:name="_bookmark11"/>
      <w:bookmarkEnd w:id="94"/>
      <w:bookmarkStart w:id="95" w:name="_Toc171584061"/>
      <w:r>
        <w:rPr>
          <w:rFonts w:hint="eastAsia" w:asciiTheme="minorEastAsia" w:hAnsiTheme="minorEastAsia" w:eastAsiaTheme="minorEastAsia" w:cstheme="minorEastAsia"/>
          <w:b/>
          <w:snapToGrid w:val="0"/>
          <w:sz w:val="24"/>
          <w:szCs w:val="24"/>
          <w:lang w:eastAsia="zh-CN"/>
        </w:rPr>
        <w:t>2.初步评审标准和程序</w:t>
      </w:r>
      <w:bookmarkEnd w:id="95"/>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96" w:name="_Toc171584062"/>
      <w:r>
        <w:rPr>
          <w:rFonts w:hint="eastAsia" w:asciiTheme="minorEastAsia" w:hAnsiTheme="minorEastAsia" w:eastAsiaTheme="minorEastAsia" w:cstheme="minorEastAsia"/>
          <w:b/>
          <w:snapToGrid w:val="0"/>
          <w:sz w:val="24"/>
          <w:szCs w:val="24"/>
          <w:lang w:eastAsia="zh-CN"/>
        </w:rPr>
        <w:t>2.1初步评审标准</w:t>
      </w:r>
      <w:bookmarkEnd w:id="96"/>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2.1.1形式评审标准：见评审办法前附表。</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2.1.2资格评审标准：见评审办法前附表。</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2.1.3响应性评审标准：见评审办法前附表。</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97" w:name="_Toc171584063"/>
      <w:r>
        <w:rPr>
          <w:rFonts w:hint="eastAsia" w:asciiTheme="minorEastAsia" w:hAnsiTheme="minorEastAsia" w:eastAsiaTheme="minorEastAsia" w:cstheme="minorEastAsia"/>
          <w:b/>
          <w:snapToGrid w:val="0"/>
          <w:sz w:val="24"/>
          <w:szCs w:val="24"/>
          <w:lang w:eastAsia="zh-CN"/>
        </w:rPr>
        <w:t>2.2初步评审程序</w:t>
      </w:r>
      <w:bookmarkEnd w:id="97"/>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2.2.1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2.2.2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2.2.3经供应商澄清、说明和补正后仍不满足初步评审要求的响应文件（即响应文件不满足本章第2.1款规定的任一项标准），其响应文件将被视为无效，采购小组应告知有关供应商。</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2.2.4供应商有串通（符合第2.2.8、2.2.9、2.2.10项情况）、以各种方式弄虚作假、行贿（如一切商业贿赂行为，以及对从事采购与招投标活动的各类相关人员进行利益输送，或其它可能影响公正执行工作的行为）、不遵守国家法律法规或地方性规章制度，在采购与招投标过程中恶意诽谤、诬告陷害其它竞争对手的不良行为等违法行为的，其响应文件将被视为无效，其响应保证金将被没收。同时将处以成交与中标项目金额千分之五以上千分之十以下的罚款，对串通投标单位直接负责的主管人员和其他直接责任人员处单位罚款数额百分之五以上百分之十以下的罚款。并且该供应商将被列入采购人供应商黑名单（供应商“黑名单”每年发布一次，并在 EPS 系统中公示），进行供应商淘汰，永久禁止与采购人及下属单位开展业务；</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2.2.5供应商成交后无正当理由拒不签约或拒不履行合同的，至少进行采购人分子公司供应关系关闭，也可进行采购人各一级经营单位，华商中心供应关系关闭或***品类供应关系关闭，关闭期一年；</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2.2.6接到成交通知后，因供应商原因未能按时签约，经两次催促后，在规定时间内仍未签约的，可进行采购人单条供应关系关闭或采购人分子公司供应关系关闭，关闭期半年。</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2.2.7上述行为情节严重的，采购人将移交公安经侦部门进行刑事调查。</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2.2.8有下列情形之一的，属于供应商相互串通响应报价：</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（一）供应商之间协商响应报价等响应文件的实质性内容；</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（二）供应商之间约定成交供应商；</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（三）供应商之间约定部分供应商放弃响应报价或者成交；</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（四）属于同一集团、协会、商会等组织成员的供应商按照该组织要求协同响应报价；</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（五）供应商之间为谋取成交或者排斥特定供应商而采取的其他联合行动。</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2.2.9有下列情形之一的，视为供应商相互串通响应报价：</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（一）不同供应商的响应文件由同一单位或者个人编制；</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（二）不同供应商委托同一单位或者个人办理响应报价事宜；</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（三）不同供应商的响应文件载明的项目管理成员为同一人；</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（四）不同供应商的响应文件异常一致或者响应报价呈规律性差异；</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（五）不同供应商的响应文件相互混装；</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（六）不同供应商的响应保证金从同一单位或者个人的账户转出。</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2.2.10有下列情形之一的，属于采购人与供应商串通响应报价：</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（一）采购人在规定的集中开启响应文件时间前开启响应文件并将有关信息泄露给其他供应商;</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（二）采购人直接或者间接向供应商泄露标底、评审委员会成员等信息；</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（三）采购人明示或者暗示供应商压低或者抬高响应报价；</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（四）采购人授意供应商撤换、修改响应文件；</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（五）采购人明示或者暗示供应商为特定供应商获得成交提供方便；</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（六）采购人与供应商为谋求特定供应商获得成交而采取的其他串通行为。</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98" w:name="_Toc171584064"/>
      <w:r>
        <w:rPr>
          <w:rFonts w:hint="eastAsia" w:asciiTheme="minorEastAsia" w:hAnsiTheme="minorEastAsia" w:eastAsiaTheme="minorEastAsia" w:cstheme="minorEastAsia"/>
          <w:b/>
          <w:snapToGrid w:val="0"/>
          <w:sz w:val="24"/>
          <w:szCs w:val="24"/>
          <w:lang w:eastAsia="zh-CN"/>
        </w:rPr>
        <w:t>3.详细评审标准和程序</w:t>
      </w:r>
      <w:bookmarkEnd w:id="98"/>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99" w:name="_Toc171584065"/>
      <w:r>
        <w:rPr>
          <w:rFonts w:hint="eastAsia" w:asciiTheme="minorEastAsia" w:hAnsiTheme="minorEastAsia" w:eastAsiaTheme="minorEastAsia" w:cstheme="minorEastAsia"/>
          <w:b/>
          <w:snapToGrid w:val="0"/>
          <w:sz w:val="24"/>
          <w:szCs w:val="24"/>
          <w:lang w:eastAsia="zh-CN"/>
        </w:rPr>
        <w:t>3.1评审价格确定</w:t>
      </w:r>
      <w:bookmarkEnd w:id="99"/>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3.1.1除评审办法前附表另有规定外，评审价格以最终报价的大写不含税价格为准。</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3.1.2评审价格超过最高限价（如有）的，其响应文件将被视为无效。</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3.1.3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3.1.4最终报价有算术错误或其他错误的，采购小组按以下原则进行修正，并要求供应商对修正后的价格进行书面澄清确认。供应商拒不澄清确认的，其响应文件将被视为无效：</w:t>
      </w:r>
    </w:p>
    <w:p>
      <w:pPr>
        <w:pStyle w:val="12"/>
        <w:tabs>
          <w:tab w:val="left" w:pos="993"/>
        </w:tabs>
        <w:spacing w:line="400" w:lineRule="exact"/>
        <w:ind w:firstLine="480" w:firstLineChars="200"/>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（1）大写金额与小写金额不一致的，以大写金额为准；</w:t>
      </w:r>
    </w:p>
    <w:p>
      <w:pPr>
        <w:pStyle w:val="12"/>
        <w:tabs>
          <w:tab w:val="left" w:pos="993"/>
        </w:tabs>
        <w:spacing w:line="400" w:lineRule="exact"/>
        <w:ind w:firstLine="480" w:firstLineChars="200"/>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（2）总价金额与单价金额不一致的，以单价金额为准，但单价金额小数点有明显错误的除外；</w:t>
      </w:r>
    </w:p>
    <w:p>
      <w:pPr>
        <w:pStyle w:val="12"/>
        <w:tabs>
          <w:tab w:val="left" w:pos="993"/>
        </w:tabs>
        <w:spacing w:line="400" w:lineRule="exact"/>
        <w:ind w:firstLine="480" w:firstLineChars="200"/>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（3）报价表中合计报价与分项报价的合价不一致的，以各分项报价的合价累计数为准；</w:t>
      </w:r>
    </w:p>
    <w:p>
      <w:pPr>
        <w:pStyle w:val="12"/>
        <w:tabs>
          <w:tab w:val="left" w:pos="993"/>
        </w:tabs>
        <w:spacing w:line="400" w:lineRule="exact"/>
        <w:ind w:firstLine="480" w:firstLineChars="200"/>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（4）如果分项报价中存在缺漏项，且缺漏项内容不属于实质性偏差的，则视为缺漏项内容的价格已包含在其他分项报价之中。</w:t>
      </w:r>
    </w:p>
    <w:p>
      <w:pPr>
        <w:spacing w:line="400" w:lineRule="exact"/>
        <w:ind w:firstLine="480" w:firstLineChars="200"/>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最终报价的算术错误修正不改变评审依据的最终总报价。当修正后的总报价高于原最终报价时，视同供应商最终报价错误产生少漏计费用，签订合同时由供应商承担,如采购小组认为供应商无法承受少漏计费用，可以将最终报价作为异常低价处理；当</w:t>
      </w:r>
      <w:bookmarkStart w:id="100" w:name="_bookmark13"/>
      <w:bookmarkEnd w:id="100"/>
      <w:r>
        <w:rPr>
          <w:rFonts w:hint="eastAsia" w:asciiTheme="minorEastAsia" w:hAnsiTheme="minorEastAsia" w:eastAsiaTheme="minorEastAsia" w:cstheme="minorEastAsia"/>
          <w:snapToGrid w:val="0"/>
          <w:sz w:val="24"/>
          <w:szCs w:val="24"/>
          <w:lang w:eastAsia="zh-CN"/>
        </w:rPr>
        <w:t>修正后的总报价低于原最终报价时，签订合同时以修正后的报价为准。</w:t>
      </w:r>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101" w:name="_Toc171584066"/>
      <w:r>
        <w:rPr>
          <w:rFonts w:hint="eastAsia" w:asciiTheme="minorEastAsia" w:hAnsiTheme="minorEastAsia" w:eastAsiaTheme="minorEastAsia" w:cstheme="minorEastAsia"/>
          <w:b/>
          <w:snapToGrid w:val="0"/>
          <w:sz w:val="24"/>
          <w:szCs w:val="24"/>
          <w:lang w:eastAsia="zh-CN"/>
        </w:rPr>
        <w:t>3.2综合评分和排序(综合评分法)</w:t>
      </w:r>
      <w:bookmarkEnd w:id="101"/>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3.2.1分值构成</w:t>
      </w:r>
    </w:p>
    <w:p>
      <w:pPr>
        <w:pStyle w:val="12"/>
        <w:numPr>
          <w:ilvl w:val="0"/>
          <w:numId w:val="5"/>
        </w:numPr>
        <w:tabs>
          <w:tab w:val="left" w:pos="993"/>
        </w:tabs>
        <w:spacing w:line="400" w:lineRule="exact"/>
        <w:ind w:left="0"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商务部分：见评审办法前附表；</w:t>
      </w:r>
    </w:p>
    <w:p>
      <w:pPr>
        <w:pStyle w:val="12"/>
        <w:numPr>
          <w:ilvl w:val="0"/>
          <w:numId w:val="5"/>
        </w:numPr>
        <w:tabs>
          <w:tab w:val="left" w:pos="993"/>
        </w:tabs>
        <w:spacing w:line="400" w:lineRule="exact"/>
        <w:ind w:left="0"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技术部分：见评审办法前附表；</w:t>
      </w:r>
    </w:p>
    <w:p>
      <w:pPr>
        <w:pStyle w:val="12"/>
        <w:numPr>
          <w:ilvl w:val="0"/>
          <w:numId w:val="5"/>
        </w:numPr>
        <w:tabs>
          <w:tab w:val="left" w:pos="993"/>
        </w:tabs>
        <w:spacing w:line="400" w:lineRule="exact"/>
        <w:ind w:left="0"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报价：见评审办法前附表；</w:t>
      </w:r>
    </w:p>
    <w:p>
      <w:pPr>
        <w:pStyle w:val="12"/>
        <w:numPr>
          <w:ilvl w:val="0"/>
          <w:numId w:val="5"/>
        </w:numPr>
        <w:tabs>
          <w:tab w:val="left" w:pos="993"/>
        </w:tabs>
        <w:spacing w:line="400" w:lineRule="exact"/>
        <w:ind w:left="0"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其他评分因素：见评审办法前附表。</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3.2.2评审基准价计算</w:t>
      </w:r>
    </w:p>
    <w:p>
      <w:pPr>
        <w:pStyle w:val="12"/>
        <w:numPr>
          <w:ilvl w:val="0"/>
          <w:numId w:val="6"/>
        </w:numPr>
        <w:tabs>
          <w:tab w:val="left" w:pos="993"/>
        </w:tabs>
        <w:spacing w:line="400" w:lineRule="exact"/>
        <w:ind w:left="0"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评审价格：评审价格为按照本章第3.1.1项规定确定的价格。</w:t>
      </w:r>
    </w:p>
    <w:p>
      <w:pPr>
        <w:pStyle w:val="12"/>
        <w:numPr>
          <w:ilvl w:val="0"/>
          <w:numId w:val="6"/>
        </w:numPr>
        <w:tabs>
          <w:tab w:val="left" w:pos="993"/>
        </w:tabs>
        <w:spacing w:line="400" w:lineRule="exact"/>
        <w:ind w:left="0"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评审基准价计算方法：按评审办法前附表3.2.2(2)。</w:t>
      </w:r>
    </w:p>
    <w:p>
      <w:pPr>
        <w:pStyle w:val="8"/>
        <w:spacing w:line="400" w:lineRule="exact"/>
        <w:ind w:left="0" w:leftChars="0" w:firstLine="567"/>
        <w:jc w:val="both"/>
        <w:rPr>
          <w:rFonts w:asciiTheme="minorEastAsia" w:hAnsiTheme="minorEastAsia" w:eastAsiaTheme="minorEastAsia" w:cstheme="minorEastAsia"/>
          <w:bCs w:val="0"/>
          <w:snapToGrid w:val="0"/>
          <w:szCs w:val="24"/>
          <w:lang w:eastAsia="zh-CN"/>
        </w:rPr>
      </w:pPr>
      <w:r>
        <w:rPr>
          <w:rFonts w:hint="eastAsia" w:asciiTheme="minorEastAsia" w:hAnsiTheme="minorEastAsia" w:eastAsiaTheme="minorEastAsia" w:cstheme="minorEastAsia"/>
          <w:bCs w:val="0"/>
          <w:snapToGrid w:val="0"/>
          <w:szCs w:val="24"/>
          <w:lang w:eastAsia="zh-CN"/>
        </w:rPr>
        <w:t>无效报价、响应被否决的供应商，其报价不参与评审基准价的计算。</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3.2.3评分标准</w:t>
      </w:r>
    </w:p>
    <w:p>
      <w:pPr>
        <w:pStyle w:val="12"/>
        <w:tabs>
          <w:tab w:val="left" w:pos="993"/>
        </w:tabs>
        <w:spacing w:line="400" w:lineRule="exact"/>
        <w:ind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(1)商务评分标准：见评审办法前附表；</w:t>
      </w:r>
    </w:p>
    <w:p>
      <w:pPr>
        <w:pStyle w:val="12"/>
        <w:tabs>
          <w:tab w:val="left" w:pos="993"/>
        </w:tabs>
        <w:spacing w:line="400" w:lineRule="exact"/>
        <w:ind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(2)技术评分标准：见评审办法前附表；</w:t>
      </w:r>
    </w:p>
    <w:p>
      <w:pPr>
        <w:pStyle w:val="12"/>
        <w:tabs>
          <w:tab w:val="left" w:pos="993"/>
        </w:tabs>
        <w:adjustRightInd w:val="0"/>
        <w:snapToGrid w:val="0"/>
        <w:spacing w:line="360" w:lineRule="auto"/>
        <w:ind w:left="220" w:firstLine="240" w:firstLineChars="100"/>
        <w:outlineLvl w:val="4"/>
        <w:rPr>
          <w:rFonts w:asciiTheme="minorEastAsia" w:hAnsiTheme="minorEastAsia" w:eastAsiaTheme="minorEastAsia" w:cstheme="minorEastAsia"/>
          <w:snapToGrid w:val="0"/>
          <w:sz w:val="24"/>
          <w:szCs w:val="24"/>
          <w:lang w:eastAsia="zh-CN"/>
        </w:rPr>
      </w:pPr>
      <w:bookmarkStart w:id="102" w:name="扫描0043"/>
      <w:bookmarkEnd w:id="102"/>
      <w:r>
        <w:rPr>
          <w:rFonts w:hint="eastAsia" w:asciiTheme="minorEastAsia" w:hAnsiTheme="minorEastAsia" w:eastAsiaTheme="minorEastAsia" w:cstheme="minorEastAsia"/>
          <w:snapToGrid w:val="0"/>
          <w:sz w:val="24"/>
          <w:szCs w:val="24"/>
          <w:lang w:eastAsia="zh-CN"/>
        </w:rPr>
        <w:t>（3）报价评分标准：</w:t>
      </w:r>
      <w:bookmarkStart w:id="103" w:name="_Hlk91554426"/>
      <w:r>
        <w:rPr>
          <w:rFonts w:hint="eastAsia" w:asciiTheme="minorEastAsia" w:hAnsiTheme="minorEastAsia" w:eastAsiaTheme="minorEastAsia" w:cstheme="minorEastAsia"/>
          <w:snapToGrid w:val="0"/>
          <w:sz w:val="24"/>
          <w:szCs w:val="24"/>
          <w:lang w:eastAsia="zh-CN"/>
        </w:rPr>
        <w:t>按</w:t>
      </w:r>
      <w:r>
        <w:rPr>
          <w:rFonts w:asciiTheme="minorEastAsia" w:hAnsiTheme="minorEastAsia" w:eastAsiaTheme="minorEastAsia" w:cstheme="minorEastAsia"/>
          <w:snapToGrid w:val="0"/>
          <w:sz w:val="24"/>
          <w:szCs w:val="24"/>
          <w:lang w:eastAsia="zh-CN"/>
        </w:rPr>
        <w:t>评审办法前附表3.2.3</w:t>
      </w:r>
      <w:r>
        <w:rPr>
          <w:rFonts w:hint="eastAsia" w:asciiTheme="minorEastAsia" w:hAnsiTheme="minorEastAsia" w:eastAsiaTheme="minorEastAsia" w:cstheme="minorEastAsia"/>
          <w:snapToGrid w:val="0"/>
          <w:sz w:val="24"/>
          <w:szCs w:val="24"/>
          <w:lang w:eastAsia="zh-CN"/>
        </w:rPr>
        <w:t>（3）。</w:t>
      </w:r>
      <w:bookmarkEnd w:id="103"/>
    </w:p>
    <w:p>
      <w:pPr>
        <w:pStyle w:val="12"/>
        <w:tabs>
          <w:tab w:val="left" w:pos="993"/>
        </w:tabs>
        <w:spacing w:line="400" w:lineRule="exact"/>
        <w:ind w:firstLine="567"/>
        <w:jc w:val="both"/>
        <w:outlineLvl w:val="4"/>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w w:val="99"/>
          <w:sz w:val="24"/>
          <w:szCs w:val="24"/>
          <w:lang w:eastAsia="zh-CN"/>
        </w:rPr>
        <w:t>(4)</w:t>
      </w:r>
      <w:r>
        <w:rPr>
          <w:rFonts w:hint="eastAsia" w:asciiTheme="minorEastAsia" w:hAnsiTheme="minorEastAsia" w:eastAsiaTheme="minorEastAsia" w:cstheme="minorEastAsia"/>
          <w:snapToGrid w:val="0"/>
          <w:sz w:val="24"/>
          <w:szCs w:val="24"/>
          <w:lang w:eastAsia="zh-CN"/>
        </w:rPr>
        <w:t>其他因素评分标准：见评审办法前附表。</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3.2.4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spacing w:line="400" w:lineRule="exact"/>
        <w:ind w:firstLine="400"/>
        <w:jc w:val="both"/>
        <w:outlineLvl w:val="3"/>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3.2.5汇总。采购小组汇总每个成员对供应商的评分总分，每个供应商的评分总分的算术平均值为供应商最终得分。</w:t>
      </w:r>
    </w:p>
    <w:p>
      <w:pPr>
        <w:spacing w:line="400" w:lineRule="exact"/>
        <w:ind w:firstLine="400"/>
        <w:jc w:val="both"/>
        <w:outlineLvl w:val="3"/>
        <w:rPr>
          <w:rFonts w:asciiTheme="minorEastAsia" w:hAnsiTheme="minorEastAsia" w:eastAsiaTheme="minorEastAsia" w:cstheme="minorEastAsia"/>
          <w:snapToGrid w:val="0"/>
          <w:szCs w:val="24"/>
          <w:lang w:eastAsia="zh-CN"/>
        </w:rPr>
      </w:pPr>
      <w:r>
        <w:rPr>
          <w:rFonts w:hint="eastAsia" w:asciiTheme="minorEastAsia" w:hAnsiTheme="minorEastAsia" w:eastAsiaTheme="minorEastAsia" w:cstheme="minorEastAsia"/>
          <w:snapToGrid w:val="0"/>
          <w:sz w:val="24"/>
          <w:szCs w:val="24"/>
          <w:lang w:eastAsia="zh-CN"/>
        </w:rPr>
        <w:t>3.2.6采购小组对供应商最终得分进行比较后，按照供应商最终得分由高到低的顺序对供应商排序。当最终得分相等时，以评审价格低的优先；当评审价格也相等时，以技术得分高的优先；当技术得分也相等时，由采购小组投票决定。</w:t>
      </w:r>
    </w:p>
    <w:p>
      <w:pPr>
        <w:pStyle w:val="5"/>
        <w:spacing w:line="400" w:lineRule="exact"/>
        <w:ind w:firstLine="482" w:firstLineChars="200"/>
        <w:jc w:val="both"/>
        <w:rPr>
          <w:rFonts w:asciiTheme="minorEastAsia" w:hAnsiTheme="minorEastAsia" w:eastAsiaTheme="minorEastAsia" w:cstheme="minorEastAsia"/>
          <w:b/>
          <w:bCs/>
          <w:snapToGrid w:val="0"/>
          <w:sz w:val="24"/>
          <w:szCs w:val="24"/>
          <w:lang w:eastAsia="zh-CN"/>
        </w:rPr>
      </w:pPr>
      <w:bookmarkStart w:id="104" w:name="_Toc171584067"/>
      <w:r>
        <w:rPr>
          <w:rFonts w:hint="eastAsia" w:asciiTheme="minorEastAsia" w:hAnsiTheme="minorEastAsia" w:eastAsiaTheme="minorEastAsia" w:cstheme="minorEastAsia"/>
          <w:b/>
          <w:bCs/>
          <w:snapToGrid w:val="0"/>
          <w:sz w:val="24"/>
          <w:szCs w:val="24"/>
          <w:lang w:eastAsia="zh-CN"/>
        </w:rPr>
        <w:t>4.评审结果</w:t>
      </w:r>
      <w:bookmarkEnd w:id="104"/>
    </w:p>
    <w:p>
      <w:pPr>
        <w:spacing w:line="400" w:lineRule="exact"/>
        <w:ind w:firstLine="482" w:firstLineChars="200"/>
        <w:jc w:val="both"/>
        <w:outlineLvl w:val="2"/>
        <w:rPr>
          <w:rFonts w:asciiTheme="minorEastAsia" w:hAnsiTheme="minorEastAsia" w:eastAsiaTheme="minorEastAsia" w:cstheme="minorEastAsia"/>
          <w:b/>
          <w:snapToGrid w:val="0"/>
          <w:sz w:val="24"/>
          <w:szCs w:val="24"/>
          <w:lang w:eastAsia="zh-CN"/>
        </w:rPr>
      </w:pPr>
      <w:bookmarkStart w:id="105" w:name="_bookmark16"/>
      <w:bookmarkEnd w:id="105"/>
      <w:bookmarkStart w:id="106" w:name="_Toc171584068"/>
      <w:bookmarkStart w:id="107" w:name="_Toc94149511"/>
      <w:r>
        <w:rPr>
          <w:rFonts w:hint="eastAsia" w:asciiTheme="minorEastAsia" w:hAnsiTheme="minorEastAsia" w:eastAsiaTheme="minorEastAsia" w:cstheme="minorEastAsia"/>
          <w:b/>
          <w:snapToGrid w:val="0"/>
          <w:sz w:val="24"/>
          <w:szCs w:val="24"/>
          <w:lang w:eastAsia="zh-CN"/>
        </w:rPr>
        <w:t>4.1推荐成交供应商</w:t>
      </w:r>
      <w:bookmarkEnd w:id="106"/>
      <w:bookmarkEnd w:id="107"/>
    </w:p>
    <w:p>
      <w:pPr>
        <w:spacing w:line="400" w:lineRule="exact"/>
        <w:ind w:firstLine="480"/>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u w:val="single"/>
          <w:lang w:eastAsia="zh-CN"/>
        </w:rPr>
        <w:t>□</w:t>
      </w:r>
      <w:r>
        <w:rPr>
          <w:rFonts w:hint="eastAsia" w:asciiTheme="minorEastAsia" w:hAnsiTheme="minorEastAsia" w:eastAsiaTheme="minorEastAsia" w:cstheme="minorEastAsia"/>
          <w:snapToGrid w:val="0"/>
          <w:sz w:val="24"/>
          <w:szCs w:val="24"/>
          <w:lang w:eastAsia="zh-CN"/>
        </w:rPr>
        <w:t>采购小组应在书面评审资料中按照综合得分最高的向采购人推荐成交供应商。</w:t>
      </w:r>
    </w:p>
    <w:p>
      <w:pPr>
        <w:spacing w:line="400" w:lineRule="exact"/>
        <w:ind w:firstLine="480"/>
        <w:jc w:val="both"/>
        <w:rPr>
          <w:rFonts w:asciiTheme="minorEastAsia" w:hAnsiTheme="minorEastAsia" w:eastAsiaTheme="minorEastAsia" w:cstheme="minorEastAsia"/>
          <w:snapToGrid w:val="0"/>
          <w:sz w:val="24"/>
          <w:szCs w:val="24"/>
          <w:lang w:eastAsia="zh-CN"/>
        </w:rPr>
      </w:pPr>
      <w:r>
        <w:rPr>
          <w:rFonts w:ascii="Segoe UI Symbol" w:hAnsi="Segoe UI Symbol" w:cs="Segoe UI Symbol" w:eastAsiaTheme="minorEastAsia"/>
          <w:snapToGrid w:val="0"/>
          <w:sz w:val="24"/>
          <w:szCs w:val="24"/>
          <w:lang w:eastAsia="zh-CN"/>
        </w:rPr>
        <w:t>☑</w:t>
      </w:r>
      <w:r>
        <w:rPr>
          <w:rFonts w:hint="eastAsia"/>
          <w:snapToGrid w:val="0"/>
          <w:sz w:val="24"/>
          <w:szCs w:val="24"/>
          <w:lang w:eastAsia="zh-CN"/>
        </w:rPr>
        <w:t>采购小组应在书面评审资料中按照综合得分从高到低依次向采购人推荐成交候</w:t>
      </w:r>
      <w:r>
        <w:rPr>
          <w:rFonts w:hint="eastAsia" w:asciiTheme="minorEastAsia" w:hAnsiTheme="minorEastAsia" w:eastAsiaTheme="minorEastAsia" w:cstheme="minorEastAsia"/>
          <w:snapToGrid w:val="0"/>
          <w:sz w:val="24"/>
          <w:szCs w:val="24"/>
          <w:lang w:eastAsia="zh-CN"/>
        </w:rPr>
        <w:t>选供应商2名。</w:t>
      </w:r>
    </w:p>
    <w:p>
      <w:pPr>
        <w:adjustRightInd w:val="0"/>
        <w:snapToGrid w:val="0"/>
        <w:spacing w:line="276" w:lineRule="auto"/>
        <w:jc w:val="both"/>
        <w:rPr>
          <w:rFonts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z w:val="20"/>
          <w:szCs w:val="20"/>
          <w:lang w:eastAsia="zh-CN"/>
        </w:rPr>
        <mc:AlternateContent>
          <mc:Choice Requires="wps">
            <w:drawing>
              <wp:anchor distT="0" distB="0" distL="114300" distR="114300" simplePos="0" relativeHeight="251660288" behindDoc="0" locked="0" layoutInCell="1" allowOverlap="1">
                <wp:simplePos x="0" y="0"/>
                <wp:positionH relativeFrom="page">
                  <wp:posOffset>1477645</wp:posOffset>
                </wp:positionH>
                <wp:positionV relativeFrom="page">
                  <wp:posOffset>4445</wp:posOffset>
                </wp:positionV>
                <wp:extent cx="6081395" cy="0"/>
                <wp:effectExtent l="0" t="0" r="0" b="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a:effectLst/>
                      </wps:spPr>
                      <wps:bodyPr/>
                    </wps:wsp>
                  </a:graphicData>
                </a:graphic>
              </wp:anchor>
            </w:drawing>
          </mc:Choice>
          <mc:Fallback>
            <w:pict>
              <v:line id="Line 2" o:spid="_x0000_s1026" o:spt="20" style="position:absolute;left:0pt;margin-left:116.35pt;margin-top:0.35pt;height:0pt;width:478.85pt;mso-position-horizontal-relative:page;mso-position-vertical-relative:page;z-index:251660288;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pdszIc4BAACtAwAADgAAAGRycy9lMm9Eb2MueG1srVPBbtswDL0P&#10;2D8Iui92MqRojTg9JOgu2Rag3QcoshwLk0RBVGLn70fJcdp1lx7mgyCK5CPfI716HKxhZxVQg6v5&#10;fFZyppyERrtjzX+9PH255wyjcI0w4FTNLwr54/rzp1XvK7WADkyjAiMQh1Xva97F6KuiQNkpK3AG&#10;XjlythCsiGSGY9EE0RO6NcWiLO+KHkLjA0iFSK/b0cmviOEjgNC2WqotyJNVLo6oQRkRiRJ22iNf&#10;527bVsn4s21RRWZqTkxjPqkI3Q/pLNYrUR2D8J2W1xbER1p4x8kK7ajoDWoromCnoP+BsloGQGjj&#10;TIItRiJZEWIxL99p89wJrzIXkhr9TXT8f7Dyx3kfmG5oEzhzwtLAd9optkjK9B4rCti4fUjc5OCe&#10;/Q7kb2QONp1wR5U7fLl4SpunjOKvlGSgJ/xD/x0aihGnCFmmoQ02QZIAbMjTuNymoYbIJD3elffz&#10;rw9LzuTkK0Q1JfqA8ZsCy9Kl5oZ6zsDivMOYGhHVFJLqOHjSxuRhG8f6mj/Ml8ucgGB0k5wpDMPx&#10;sDGBnUVal/xlVuR5Gxbg5JqxiHEpT+VNu1aeWI/6HaC57MMkDU0x93bduLQmb+0s4Otft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gi1zNIAAAAGAQAADwAAAAAAAAABACAAAAAiAAAAZHJzL2Rv&#10;d25yZXYueG1sUEsBAhQAFAAAAAgAh07iQKXbMyHOAQAArQMAAA4AAAAAAAAAAQAgAAAAIQEAAGRy&#10;cy9lMm9Eb2MueG1sUEsFBgAAAAAGAAYAWQEAAGEFAAAAAA==&#10;">
                <v:fill on="f" focussize="0,0"/>
                <v:stroke weight="0.720866141732283pt" color="#000000" joinstyle="round"/>
                <v:imagedata o:title=""/>
                <o:lock v:ext="edit" aspectratio="f"/>
              </v:line>
            </w:pict>
          </mc:Fallback>
        </mc:AlternateContent>
      </w:r>
    </w:p>
    <w:p>
      <w:pPr>
        <w:adjustRightInd w:val="0"/>
        <w:snapToGrid w:val="0"/>
        <w:spacing w:line="276" w:lineRule="auto"/>
        <w:rPr>
          <w:rFonts w:ascii="Times New Roman" w:hAnsi="Times New Roman" w:eastAsia="仿宋_GB2312" w:cs="Times New Roman"/>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2"/>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pPr>
      <w:bookmarkStart w:id="108" w:name="扫描0044"/>
      <w:bookmarkEnd w:id="108"/>
      <w:bookmarkStart w:id="109" w:name="_Toc171584069"/>
      <w:r>
        <w:rPr>
          <w:rFonts w:hint="eastAsia"/>
        </w:rPr>
        <w:t>第</w:t>
      </w:r>
      <w:r>
        <w:t>四</w:t>
      </w:r>
      <w:r>
        <w:rPr>
          <w:rFonts w:hint="eastAsia"/>
        </w:rPr>
        <w:t>章 合同</w:t>
      </w:r>
      <w:bookmarkEnd w:id="109"/>
    </w:p>
    <w:p>
      <w:pPr>
        <w:jc w:val="center"/>
        <w:rPr>
          <w:rFonts w:ascii="黑体" w:hAnsi="黑体" w:eastAsia="黑体"/>
          <w:b/>
          <w:sz w:val="44"/>
          <w:szCs w:val="44"/>
          <w:lang w:eastAsia="zh-CN"/>
        </w:rPr>
      </w:pPr>
    </w:p>
    <w:p>
      <w:pPr>
        <w:jc w:val="center"/>
        <w:rPr>
          <w:rFonts w:ascii="黑体" w:hAnsi="黑体" w:eastAsia="黑体"/>
          <w:b/>
          <w:sz w:val="44"/>
          <w:szCs w:val="44"/>
          <w:lang w:eastAsia="zh-CN"/>
        </w:rPr>
      </w:pPr>
    </w:p>
    <w:p>
      <w:pPr>
        <w:jc w:val="center"/>
        <w:rPr>
          <w:rFonts w:ascii="黑体" w:hAnsi="黑体" w:eastAsia="黑体"/>
          <w:b/>
          <w:sz w:val="44"/>
          <w:szCs w:val="44"/>
          <w:lang w:eastAsia="zh-CN"/>
        </w:rPr>
      </w:pPr>
    </w:p>
    <w:p>
      <w:pPr>
        <w:jc w:val="center"/>
        <w:rPr>
          <w:rFonts w:ascii="黑体" w:hAnsi="黑体" w:eastAsia="黑体"/>
          <w:b/>
          <w:sz w:val="44"/>
          <w:szCs w:val="44"/>
          <w:lang w:eastAsia="zh-CN"/>
        </w:rPr>
      </w:pPr>
      <w:r>
        <w:rPr>
          <w:rFonts w:ascii="黑体" w:hAnsi="黑体" w:eastAsia="黑体"/>
          <w:b/>
          <w:sz w:val="44"/>
          <w:szCs w:val="44"/>
          <w:lang w:eastAsia="zh-CN"/>
        </w:rPr>
        <w:t>中粮糖业</w:t>
      </w:r>
      <w:r>
        <w:rPr>
          <w:rFonts w:hint="eastAsia" w:ascii="黑体" w:hAnsi="黑体" w:eastAsia="黑体"/>
          <w:b/>
          <w:sz w:val="44"/>
          <w:szCs w:val="44"/>
          <w:lang w:eastAsia="zh-CN"/>
        </w:rPr>
        <w:t>甘蔗糖部</w:t>
      </w:r>
    </w:p>
    <w:p>
      <w:pPr>
        <w:rPr>
          <w:sz w:val="52"/>
          <w:szCs w:val="52"/>
          <w:lang w:eastAsia="zh-CN"/>
        </w:rPr>
      </w:pPr>
    </w:p>
    <w:p>
      <w:pPr>
        <w:tabs>
          <w:tab w:val="left" w:pos="851"/>
        </w:tabs>
        <w:ind w:left="993" w:leftChars="12" w:hanging="967" w:hangingChars="186"/>
        <w:jc w:val="center"/>
        <w:rPr>
          <w:bCs/>
          <w:sz w:val="52"/>
          <w:szCs w:val="52"/>
          <w:lang w:eastAsia="zh-CN"/>
        </w:rPr>
      </w:pPr>
    </w:p>
    <w:p>
      <w:pPr>
        <w:tabs>
          <w:tab w:val="left" w:pos="851"/>
        </w:tabs>
        <w:ind w:left="918" w:leftChars="12" w:hanging="892" w:hangingChars="186"/>
        <w:jc w:val="center"/>
        <w:rPr>
          <w:bCs/>
          <w:sz w:val="48"/>
          <w:szCs w:val="48"/>
          <w:lang w:eastAsia="zh-CN"/>
        </w:rPr>
      </w:pPr>
    </w:p>
    <w:p>
      <w:pPr>
        <w:spacing w:line="500" w:lineRule="exact"/>
        <w:jc w:val="center"/>
        <w:rPr>
          <w:rFonts w:ascii="方正小标宋_GBK" w:eastAsia="方正小标宋_GBK"/>
          <w:sz w:val="32"/>
          <w:szCs w:val="32"/>
          <w:lang w:eastAsia="zh-CN"/>
        </w:rPr>
      </w:pPr>
      <w:r>
        <w:rPr>
          <w:rFonts w:hint="eastAsia" w:ascii="方正小标宋_GBK" w:eastAsia="方正小标宋_GBK"/>
          <w:sz w:val="32"/>
          <w:szCs w:val="32"/>
          <w:lang w:eastAsia="zh-CN"/>
        </w:rPr>
        <w:t>2024年北海糖业制炼车间丙糖螺旋输送槽大修项目</w:t>
      </w:r>
      <w:r>
        <w:rPr>
          <w:rFonts w:ascii="方正小标宋_GBK" w:eastAsia="方正小标宋_GBK"/>
          <w:sz w:val="32"/>
          <w:szCs w:val="32"/>
          <w:lang w:eastAsia="zh-CN"/>
        </w:rPr>
        <w:t>合同</w:t>
      </w:r>
    </w:p>
    <w:p>
      <w:pPr>
        <w:spacing w:line="500" w:lineRule="exact"/>
        <w:rPr>
          <w:rFonts w:ascii="方正小标宋_GBK" w:eastAsia="方正小标宋_GBK"/>
          <w:sz w:val="32"/>
          <w:szCs w:val="32"/>
          <w:lang w:eastAsia="zh-CN"/>
        </w:rPr>
      </w:pPr>
    </w:p>
    <w:p>
      <w:pPr>
        <w:jc w:val="center"/>
        <w:rPr>
          <w:rFonts w:eastAsia="仿宋_GB2312"/>
          <w:sz w:val="28"/>
          <w:lang w:eastAsia="zh-CN"/>
        </w:rPr>
      </w:pPr>
    </w:p>
    <w:p>
      <w:pPr>
        <w:spacing w:line="500" w:lineRule="exact"/>
        <w:rPr>
          <w:sz w:val="24"/>
          <w:szCs w:val="24"/>
          <w:lang w:eastAsia="zh-CN"/>
        </w:rPr>
      </w:pPr>
    </w:p>
    <w:p>
      <w:pPr>
        <w:spacing w:line="500" w:lineRule="exact"/>
        <w:ind w:firstLine="2160" w:firstLineChars="900"/>
        <w:rPr>
          <w:sz w:val="24"/>
          <w:szCs w:val="24"/>
          <w:lang w:eastAsia="zh-CN"/>
        </w:rPr>
      </w:pPr>
      <w:r>
        <w:rPr>
          <w:rFonts w:hint="eastAsia"/>
          <w:sz w:val="24"/>
          <w:szCs w:val="24"/>
          <w:lang w:eastAsia="zh-CN"/>
        </w:rPr>
        <w:t>甲方：中粮北海糖业有限公司</w:t>
      </w:r>
    </w:p>
    <w:p>
      <w:pPr>
        <w:spacing w:line="500" w:lineRule="exact"/>
        <w:ind w:firstLine="2160" w:firstLineChars="900"/>
        <w:rPr>
          <w:sz w:val="24"/>
          <w:szCs w:val="24"/>
          <w:lang w:eastAsia="zh-CN"/>
        </w:rPr>
      </w:pPr>
      <w:r>
        <w:rPr>
          <w:rFonts w:hint="eastAsia"/>
          <w:sz w:val="24"/>
          <w:szCs w:val="24"/>
          <w:lang w:eastAsia="zh-CN"/>
        </w:rPr>
        <w:t xml:space="preserve">乙方： </w:t>
      </w:r>
    </w:p>
    <w:p>
      <w:pPr>
        <w:spacing w:line="500" w:lineRule="exact"/>
        <w:ind w:firstLine="2160" w:firstLineChars="900"/>
        <w:rPr>
          <w:sz w:val="24"/>
          <w:szCs w:val="24"/>
          <w:lang w:eastAsia="zh-CN"/>
        </w:rPr>
      </w:pPr>
      <w:r>
        <w:rPr>
          <w:rFonts w:hint="eastAsia"/>
          <w:sz w:val="24"/>
          <w:szCs w:val="24"/>
          <w:lang w:eastAsia="zh-CN"/>
        </w:rPr>
        <w:t>合同签订地点：广西北海市</w:t>
      </w:r>
    </w:p>
    <w:p>
      <w:pPr>
        <w:spacing w:line="500" w:lineRule="exact"/>
        <w:ind w:firstLine="2160" w:firstLineChars="900"/>
        <w:rPr>
          <w:sz w:val="24"/>
          <w:szCs w:val="24"/>
          <w:lang w:eastAsia="zh-CN"/>
        </w:rPr>
      </w:pPr>
      <w:r>
        <w:rPr>
          <w:rFonts w:hint="eastAsia"/>
          <w:sz w:val="24"/>
          <w:szCs w:val="24"/>
          <w:lang w:eastAsia="zh-CN"/>
        </w:rPr>
        <w:t>甲方合同编号：</w:t>
      </w:r>
    </w:p>
    <w:p>
      <w:pPr>
        <w:spacing w:line="500" w:lineRule="exact"/>
        <w:ind w:firstLine="2160" w:firstLineChars="900"/>
        <w:rPr>
          <w:sz w:val="24"/>
          <w:szCs w:val="24"/>
          <w:lang w:eastAsia="zh-CN"/>
        </w:rPr>
      </w:pPr>
      <w:r>
        <w:rPr>
          <w:rFonts w:hint="eastAsia"/>
          <w:sz w:val="24"/>
          <w:szCs w:val="24"/>
          <w:lang w:eastAsia="zh-CN"/>
        </w:rPr>
        <w:t>乙方合同编号：</w:t>
      </w:r>
    </w:p>
    <w:p>
      <w:pPr>
        <w:spacing w:line="500" w:lineRule="exact"/>
        <w:ind w:firstLine="2160" w:firstLineChars="900"/>
        <w:rPr>
          <w:sz w:val="24"/>
          <w:szCs w:val="24"/>
          <w:lang w:eastAsia="zh-CN"/>
        </w:rPr>
      </w:pPr>
      <w:r>
        <w:rPr>
          <w:rFonts w:hint="eastAsia"/>
          <w:sz w:val="24"/>
          <w:szCs w:val="24"/>
          <w:lang w:eastAsia="zh-CN"/>
        </w:rPr>
        <w:t xml:space="preserve">合同签订日期：    年   月  日 </w:t>
      </w:r>
    </w:p>
    <w:p>
      <w:pPr>
        <w:spacing w:line="276" w:lineRule="auto"/>
        <w:rPr>
          <w:rFonts w:eastAsia="仿宋_GB2312"/>
          <w:lang w:eastAsia="zh-CN"/>
        </w:rPr>
      </w:pPr>
      <w:bookmarkStart w:id="110" w:name="_Toc184635097"/>
    </w:p>
    <w:bookmarkEnd w:id="110"/>
    <w:p>
      <w:pPr>
        <w:spacing w:line="276" w:lineRule="auto"/>
        <w:rPr>
          <w:rFonts w:eastAsia="仿宋" w:asciiTheme="minorEastAsia" w:hAnsiTheme="minorEastAsia"/>
          <w:snapToGrid w:val="0"/>
          <w:sz w:val="24"/>
          <w:szCs w:val="24"/>
          <w:lang w:eastAsia="zh-CN"/>
        </w:rPr>
      </w:pPr>
    </w:p>
    <w:p>
      <w:pPr>
        <w:rPr>
          <w:rFonts w:eastAsia="仿宋"/>
          <w:sz w:val="24"/>
          <w:szCs w:val="24"/>
          <w:lang w:eastAsia="zh-CN"/>
        </w:rPr>
      </w:pPr>
    </w:p>
    <w:p>
      <w:pPr>
        <w:rPr>
          <w:rFonts w:eastAsia="仿宋"/>
          <w:lang w:eastAsia="zh-CN"/>
        </w:rPr>
      </w:pPr>
    </w:p>
    <w:p>
      <w:pPr>
        <w:spacing w:line="276" w:lineRule="auto"/>
        <w:rPr>
          <w:rFonts w:eastAsia="仿宋" w:asciiTheme="minorEastAsia" w:hAnsiTheme="minorEastAsia"/>
          <w:snapToGrid w:val="0"/>
          <w:sz w:val="24"/>
          <w:szCs w:val="24"/>
          <w:lang w:eastAsia="zh-CN"/>
        </w:rPr>
      </w:pPr>
    </w:p>
    <w:p>
      <w:pPr>
        <w:pStyle w:val="5"/>
        <w:jc w:val="both"/>
        <w:rPr>
          <w:rFonts w:ascii="华文中宋" w:hAnsi="华文中宋" w:eastAsia="仿宋"/>
          <w:b/>
          <w:bCs/>
          <w:sz w:val="44"/>
          <w:szCs w:val="44"/>
          <w:lang w:eastAsia="zh-CN"/>
        </w:rPr>
      </w:pPr>
      <w:r>
        <w:rPr>
          <w:rFonts w:ascii="华文中宋" w:hAnsi="华文中宋" w:eastAsia="仿宋"/>
          <w:b/>
          <w:bCs/>
          <w:sz w:val="24"/>
          <w:lang w:eastAsia="zh-CN"/>
        </w:rPr>
        <w:br w:type="page"/>
      </w:r>
    </w:p>
    <w:p>
      <w:pPr>
        <w:adjustRightInd w:val="0"/>
        <w:snapToGrid w:val="0"/>
        <w:spacing w:line="500" w:lineRule="exact"/>
        <w:ind w:firstLine="480" w:firstLineChars="200"/>
        <w:rPr>
          <w:rFonts w:cs="仿宋_GB2312"/>
          <w:sz w:val="24"/>
          <w:lang w:eastAsia="zh-CN"/>
        </w:rPr>
      </w:pPr>
      <w:r>
        <w:rPr>
          <w:rFonts w:hint="eastAsia" w:cs="微软雅黑"/>
          <w:sz w:val="24"/>
          <w:u w:val="single"/>
          <w:lang w:eastAsia="zh-CN"/>
        </w:rPr>
        <w:t>【</w:t>
      </w:r>
      <w:r>
        <w:rPr>
          <w:rFonts w:hint="eastAsia" w:cs="仿宋_GB2312"/>
          <w:sz w:val="24"/>
          <w:u w:val="single"/>
          <w:lang w:eastAsia="zh-CN"/>
        </w:rPr>
        <w:t>中粮北海糖业有限公司</w:t>
      </w:r>
      <w:r>
        <w:rPr>
          <w:rFonts w:hint="eastAsia" w:cs="微软雅黑"/>
          <w:sz w:val="24"/>
          <w:u w:val="single"/>
          <w:lang w:eastAsia="zh-CN"/>
        </w:rPr>
        <w:t>】</w:t>
      </w:r>
      <w:r>
        <w:rPr>
          <w:rFonts w:hint="eastAsia" w:cs="仿宋_GB2312"/>
          <w:sz w:val="24"/>
          <w:lang w:eastAsia="zh-CN"/>
        </w:rPr>
        <w:t>（以下简称甲方）与</w:t>
      </w:r>
      <w:r>
        <w:rPr>
          <w:rFonts w:hint="eastAsia" w:cs="微软雅黑"/>
          <w:sz w:val="24"/>
          <w:lang w:eastAsia="zh-CN"/>
        </w:rPr>
        <w:t>【</w:t>
      </w:r>
      <w:r>
        <w:rPr>
          <w:rFonts w:hint="eastAsia" w:cs="仿宋_GB2312"/>
          <w:sz w:val="24"/>
          <w:u w:val="single"/>
          <w:lang w:eastAsia="zh-CN"/>
        </w:rPr>
        <w:t>XXX公司</w:t>
      </w:r>
      <w:r>
        <w:rPr>
          <w:rFonts w:hint="eastAsia" w:cs="微软雅黑"/>
          <w:sz w:val="24"/>
          <w:u w:val="single"/>
          <w:lang w:eastAsia="zh-CN"/>
        </w:rPr>
        <w:t>】</w:t>
      </w:r>
      <w:r>
        <w:rPr>
          <w:rFonts w:hint="eastAsia" w:cs="仿宋_GB2312"/>
          <w:sz w:val="24"/>
          <w:lang w:eastAsia="zh-CN"/>
        </w:rPr>
        <w:t>（以下简称乙方）就乙方为</w:t>
      </w:r>
      <w:r>
        <w:rPr>
          <w:rFonts w:hint="eastAsia" w:cs="仿宋_GB2312"/>
          <w:sz w:val="24"/>
          <w:u w:val="single"/>
          <w:lang w:eastAsia="zh-CN"/>
        </w:rPr>
        <w:t>中粮糖业甘蔗糖部2024年北海糖业制炼车间丙糖螺旋输送槽大修项目合同</w:t>
      </w:r>
      <w:r>
        <w:rPr>
          <w:rFonts w:hint="eastAsia" w:cs="仿宋_GB2312"/>
          <w:sz w:val="24"/>
          <w:lang w:eastAsia="zh-CN"/>
        </w:rPr>
        <w:t>向甲方提供的货物及工程安装服务，经甲乙双方协商一致，签订本合同，共同遵守如下条款：</w:t>
      </w:r>
    </w:p>
    <w:p>
      <w:pPr>
        <w:numPr>
          <w:ilvl w:val="0"/>
          <w:numId w:val="7"/>
        </w:numPr>
        <w:autoSpaceDE/>
        <w:autoSpaceDN/>
        <w:adjustRightInd w:val="0"/>
        <w:snapToGrid w:val="0"/>
        <w:spacing w:line="500" w:lineRule="exact"/>
        <w:ind w:firstLine="482" w:firstLineChars="200"/>
        <w:jc w:val="both"/>
        <w:rPr>
          <w:b/>
          <w:sz w:val="24"/>
        </w:rPr>
      </w:pPr>
      <w:r>
        <w:rPr>
          <w:b/>
          <w:sz w:val="24"/>
        </w:rPr>
        <w:t>合同标的</w:t>
      </w:r>
    </w:p>
    <w:p>
      <w:pPr>
        <w:adjustRightInd w:val="0"/>
        <w:snapToGrid w:val="0"/>
        <w:spacing w:line="500" w:lineRule="exact"/>
        <w:ind w:firstLine="440" w:firstLineChars="200"/>
        <w:rPr>
          <w:b/>
          <w:szCs w:val="21"/>
          <w:lang w:eastAsia="zh-CN"/>
        </w:rPr>
      </w:pPr>
      <w:r>
        <w:rPr>
          <w:szCs w:val="21"/>
          <w:lang w:eastAsia="zh-CN"/>
        </w:rPr>
        <w:t>1．本合同标的（包括设备供货及服务）。</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402"/>
        <w:gridCol w:w="851"/>
        <w:gridCol w:w="850"/>
        <w:gridCol w:w="1701"/>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adjustRightInd w:val="0"/>
              <w:snapToGrid w:val="0"/>
              <w:spacing w:line="340" w:lineRule="exact"/>
              <w:jc w:val="center"/>
              <w:rPr>
                <w:szCs w:val="21"/>
              </w:rPr>
            </w:pPr>
            <w:r>
              <w:rPr>
                <w:szCs w:val="21"/>
              </w:rPr>
              <w:t>序号</w:t>
            </w:r>
          </w:p>
        </w:tc>
        <w:tc>
          <w:tcPr>
            <w:tcW w:w="3402" w:type="dxa"/>
            <w:vAlign w:val="center"/>
          </w:tcPr>
          <w:p>
            <w:pPr>
              <w:adjustRightInd w:val="0"/>
              <w:snapToGrid w:val="0"/>
              <w:spacing w:line="340" w:lineRule="exact"/>
              <w:jc w:val="center"/>
              <w:rPr>
                <w:szCs w:val="21"/>
              </w:rPr>
            </w:pPr>
            <w:r>
              <w:rPr>
                <w:szCs w:val="21"/>
              </w:rPr>
              <w:t>各分项内容</w:t>
            </w:r>
          </w:p>
        </w:tc>
        <w:tc>
          <w:tcPr>
            <w:tcW w:w="851" w:type="dxa"/>
            <w:vAlign w:val="center"/>
          </w:tcPr>
          <w:p>
            <w:pPr>
              <w:adjustRightInd w:val="0"/>
              <w:snapToGrid w:val="0"/>
              <w:spacing w:line="340" w:lineRule="exact"/>
              <w:jc w:val="center"/>
              <w:rPr>
                <w:szCs w:val="21"/>
              </w:rPr>
            </w:pPr>
            <w:r>
              <w:rPr>
                <w:szCs w:val="21"/>
              </w:rPr>
              <w:t>单位</w:t>
            </w:r>
          </w:p>
        </w:tc>
        <w:tc>
          <w:tcPr>
            <w:tcW w:w="850" w:type="dxa"/>
            <w:vAlign w:val="center"/>
          </w:tcPr>
          <w:p>
            <w:pPr>
              <w:adjustRightInd w:val="0"/>
              <w:snapToGrid w:val="0"/>
              <w:spacing w:line="340" w:lineRule="exact"/>
              <w:jc w:val="center"/>
              <w:rPr>
                <w:szCs w:val="21"/>
              </w:rPr>
            </w:pPr>
            <w:r>
              <w:rPr>
                <w:szCs w:val="21"/>
              </w:rPr>
              <w:t>数量</w:t>
            </w:r>
          </w:p>
        </w:tc>
        <w:tc>
          <w:tcPr>
            <w:tcW w:w="1701" w:type="dxa"/>
            <w:vAlign w:val="center"/>
          </w:tcPr>
          <w:p>
            <w:pPr>
              <w:adjustRightInd w:val="0"/>
              <w:snapToGrid w:val="0"/>
              <w:spacing w:line="340" w:lineRule="exact"/>
              <w:jc w:val="center"/>
              <w:rPr>
                <w:szCs w:val="21"/>
                <w:lang w:eastAsia="zh-CN"/>
              </w:rPr>
            </w:pPr>
            <w:r>
              <w:rPr>
                <w:szCs w:val="21"/>
              </w:rPr>
              <w:t>金额</w:t>
            </w:r>
            <w:r>
              <w:rPr>
                <w:rFonts w:hint="eastAsia"/>
                <w:szCs w:val="21"/>
                <w:lang w:eastAsia="zh-CN"/>
              </w:rPr>
              <w:t>（元</w:t>
            </w:r>
            <w:r>
              <w:rPr>
                <w:szCs w:val="21"/>
                <w:lang w:eastAsia="zh-CN"/>
              </w:rPr>
              <w:t>）</w:t>
            </w:r>
          </w:p>
        </w:tc>
        <w:tc>
          <w:tcPr>
            <w:tcW w:w="1665" w:type="dxa"/>
            <w:vAlign w:val="center"/>
          </w:tcPr>
          <w:p>
            <w:pPr>
              <w:adjustRightInd w:val="0"/>
              <w:snapToGrid w:val="0"/>
              <w:spacing w:line="34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adjustRightInd w:val="0"/>
              <w:snapToGrid w:val="0"/>
              <w:spacing w:line="340" w:lineRule="exact"/>
              <w:jc w:val="center"/>
              <w:rPr>
                <w:szCs w:val="21"/>
              </w:rPr>
            </w:pPr>
            <w:r>
              <w:rPr>
                <w:szCs w:val="21"/>
              </w:rPr>
              <w:t>1</w:t>
            </w:r>
          </w:p>
        </w:tc>
        <w:tc>
          <w:tcPr>
            <w:tcW w:w="3402" w:type="dxa"/>
            <w:vAlign w:val="center"/>
          </w:tcPr>
          <w:p>
            <w:pPr>
              <w:adjustRightInd w:val="0"/>
              <w:snapToGrid w:val="0"/>
              <w:spacing w:line="340" w:lineRule="exact"/>
              <w:jc w:val="center"/>
              <w:rPr>
                <w:szCs w:val="21"/>
                <w:u w:val="single"/>
                <w:lang w:eastAsia="zh-CN"/>
              </w:rPr>
            </w:pPr>
            <w:r>
              <w:rPr>
                <w:rFonts w:hint="eastAsia"/>
                <w:szCs w:val="21"/>
                <w:lang w:eastAsia="zh-CN"/>
              </w:rPr>
              <w:t>丙糖螺旋输送槽大修</w:t>
            </w:r>
          </w:p>
        </w:tc>
        <w:tc>
          <w:tcPr>
            <w:tcW w:w="851" w:type="dxa"/>
            <w:vAlign w:val="center"/>
          </w:tcPr>
          <w:p>
            <w:pPr>
              <w:adjustRightInd w:val="0"/>
              <w:snapToGrid w:val="0"/>
              <w:spacing w:line="340" w:lineRule="exact"/>
              <w:jc w:val="center"/>
              <w:rPr>
                <w:szCs w:val="21"/>
              </w:rPr>
            </w:pPr>
            <w:r>
              <w:rPr>
                <w:szCs w:val="21"/>
              </w:rPr>
              <w:t>项</w:t>
            </w:r>
          </w:p>
        </w:tc>
        <w:tc>
          <w:tcPr>
            <w:tcW w:w="850" w:type="dxa"/>
            <w:vAlign w:val="center"/>
          </w:tcPr>
          <w:p>
            <w:pPr>
              <w:adjustRightInd w:val="0"/>
              <w:snapToGrid w:val="0"/>
              <w:spacing w:line="340" w:lineRule="exact"/>
              <w:jc w:val="center"/>
              <w:rPr>
                <w:szCs w:val="21"/>
              </w:rPr>
            </w:pPr>
            <w:r>
              <w:rPr>
                <w:szCs w:val="21"/>
              </w:rPr>
              <w:t>1</w:t>
            </w:r>
          </w:p>
        </w:tc>
        <w:tc>
          <w:tcPr>
            <w:tcW w:w="1701" w:type="dxa"/>
            <w:vAlign w:val="center"/>
          </w:tcPr>
          <w:p>
            <w:pPr>
              <w:adjustRightInd w:val="0"/>
              <w:snapToGrid w:val="0"/>
              <w:spacing w:line="340" w:lineRule="exact"/>
              <w:jc w:val="center"/>
              <w:rPr>
                <w:szCs w:val="21"/>
              </w:rPr>
            </w:pPr>
          </w:p>
        </w:tc>
        <w:tc>
          <w:tcPr>
            <w:tcW w:w="1665" w:type="dxa"/>
            <w:vAlign w:val="center"/>
          </w:tcPr>
          <w:p>
            <w:pPr>
              <w:adjustRightInd w:val="0"/>
              <w:snapToGrid w:val="0"/>
              <w:spacing w:line="340" w:lineRule="exact"/>
              <w:jc w:val="center"/>
              <w:rPr>
                <w:szCs w:val="21"/>
              </w:rPr>
            </w:pPr>
            <w:r>
              <w:rPr>
                <w:rFonts w:hint="eastAsia"/>
                <w:szCs w:val="21"/>
                <w:lang w:eastAsia="zh-CN"/>
              </w:rPr>
              <w:t>详见技术协议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adjustRightInd w:val="0"/>
              <w:snapToGrid w:val="0"/>
              <w:spacing w:line="340" w:lineRule="exact"/>
              <w:jc w:val="center"/>
              <w:rPr>
                <w:szCs w:val="21"/>
                <w:lang w:eastAsia="zh-CN"/>
              </w:rPr>
            </w:pPr>
          </w:p>
        </w:tc>
        <w:tc>
          <w:tcPr>
            <w:tcW w:w="3402" w:type="dxa"/>
            <w:vAlign w:val="center"/>
          </w:tcPr>
          <w:p>
            <w:pPr>
              <w:jc w:val="center"/>
              <w:rPr>
                <w:szCs w:val="21"/>
                <w:lang w:eastAsia="zh-CN"/>
              </w:rPr>
            </w:pPr>
          </w:p>
        </w:tc>
        <w:tc>
          <w:tcPr>
            <w:tcW w:w="851" w:type="dxa"/>
            <w:vAlign w:val="center"/>
          </w:tcPr>
          <w:p>
            <w:pPr>
              <w:adjustRightInd w:val="0"/>
              <w:snapToGrid w:val="0"/>
              <w:spacing w:line="340" w:lineRule="exact"/>
              <w:jc w:val="center"/>
              <w:rPr>
                <w:szCs w:val="21"/>
              </w:rPr>
            </w:pPr>
          </w:p>
        </w:tc>
        <w:tc>
          <w:tcPr>
            <w:tcW w:w="850" w:type="dxa"/>
            <w:vAlign w:val="center"/>
          </w:tcPr>
          <w:p>
            <w:pPr>
              <w:adjustRightInd w:val="0"/>
              <w:snapToGrid w:val="0"/>
              <w:spacing w:line="340" w:lineRule="exact"/>
              <w:jc w:val="center"/>
              <w:rPr>
                <w:szCs w:val="21"/>
              </w:rPr>
            </w:pPr>
          </w:p>
        </w:tc>
        <w:tc>
          <w:tcPr>
            <w:tcW w:w="1701" w:type="dxa"/>
            <w:vAlign w:val="center"/>
          </w:tcPr>
          <w:p>
            <w:pPr>
              <w:adjustRightInd w:val="0"/>
              <w:snapToGrid w:val="0"/>
              <w:spacing w:line="340" w:lineRule="exact"/>
              <w:jc w:val="center"/>
              <w:rPr>
                <w:szCs w:val="21"/>
              </w:rPr>
            </w:pPr>
          </w:p>
        </w:tc>
        <w:tc>
          <w:tcPr>
            <w:tcW w:w="1665" w:type="dxa"/>
            <w:vAlign w:val="center"/>
          </w:tcPr>
          <w:p>
            <w:pPr>
              <w:adjustRightInd w:val="0"/>
              <w:snapToGrid w:val="0"/>
              <w:spacing w:line="340" w:lineRule="exact"/>
              <w:jc w:val="center"/>
              <w:rPr>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adjustRightInd w:val="0"/>
              <w:snapToGrid w:val="0"/>
              <w:spacing w:line="340" w:lineRule="exact"/>
              <w:jc w:val="center"/>
              <w:rPr>
                <w:szCs w:val="21"/>
                <w:lang w:eastAsia="zh-CN"/>
              </w:rPr>
            </w:pPr>
          </w:p>
        </w:tc>
        <w:tc>
          <w:tcPr>
            <w:tcW w:w="3402" w:type="dxa"/>
            <w:vAlign w:val="center"/>
          </w:tcPr>
          <w:p>
            <w:pPr>
              <w:jc w:val="center"/>
              <w:rPr>
                <w:szCs w:val="21"/>
                <w:lang w:eastAsia="zh-CN"/>
              </w:rPr>
            </w:pPr>
          </w:p>
        </w:tc>
        <w:tc>
          <w:tcPr>
            <w:tcW w:w="851" w:type="dxa"/>
            <w:vAlign w:val="center"/>
          </w:tcPr>
          <w:p>
            <w:pPr>
              <w:adjustRightInd w:val="0"/>
              <w:snapToGrid w:val="0"/>
              <w:spacing w:line="340" w:lineRule="exact"/>
              <w:jc w:val="center"/>
              <w:rPr>
                <w:szCs w:val="21"/>
              </w:rPr>
            </w:pPr>
          </w:p>
        </w:tc>
        <w:tc>
          <w:tcPr>
            <w:tcW w:w="850" w:type="dxa"/>
            <w:vAlign w:val="center"/>
          </w:tcPr>
          <w:p>
            <w:pPr>
              <w:adjustRightInd w:val="0"/>
              <w:snapToGrid w:val="0"/>
              <w:spacing w:line="340" w:lineRule="exact"/>
              <w:jc w:val="center"/>
              <w:rPr>
                <w:szCs w:val="21"/>
              </w:rPr>
            </w:pPr>
          </w:p>
        </w:tc>
        <w:tc>
          <w:tcPr>
            <w:tcW w:w="1701" w:type="dxa"/>
            <w:vAlign w:val="center"/>
          </w:tcPr>
          <w:p>
            <w:pPr>
              <w:adjustRightInd w:val="0"/>
              <w:snapToGrid w:val="0"/>
              <w:spacing w:line="340" w:lineRule="exact"/>
              <w:jc w:val="center"/>
              <w:rPr>
                <w:szCs w:val="21"/>
              </w:rPr>
            </w:pPr>
          </w:p>
        </w:tc>
        <w:tc>
          <w:tcPr>
            <w:tcW w:w="1665" w:type="dxa"/>
            <w:vAlign w:val="center"/>
          </w:tcPr>
          <w:p>
            <w:pPr>
              <w:adjustRightInd w:val="0"/>
              <w:snapToGrid w:val="0"/>
              <w:spacing w:line="340" w:lineRule="exact"/>
              <w:jc w:val="center"/>
              <w:rPr>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9" w:type="dxa"/>
            <w:gridSpan w:val="2"/>
            <w:vAlign w:val="center"/>
          </w:tcPr>
          <w:p>
            <w:pPr>
              <w:adjustRightInd w:val="0"/>
              <w:snapToGrid w:val="0"/>
              <w:spacing w:line="340" w:lineRule="exact"/>
              <w:jc w:val="center"/>
              <w:rPr>
                <w:szCs w:val="21"/>
                <w:lang w:eastAsia="zh-CN"/>
              </w:rPr>
            </w:pPr>
            <w:r>
              <w:rPr>
                <w:szCs w:val="21"/>
              </w:rPr>
              <w:t>合计</w:t>
            </w:r>
            <w:r>
              <w:rPr>
                <w:rFonts w:hint="eastAsia"/>
                <w:szCs w:val="21"/>
                <w:lang w:eastAsia="zh-CN"/>
              </w:rPr>
              <w:t>（</w:t>
            </w:r>
            <w:r>
              <w:rPr>
                <w:szCs w:val="21"/>
                <w:lang w:eastAsia="zh-CN"/>
              </w:rPr>
              <w:t>元）</w:t>
            </w:r>
          </w:p>
        </w:tc>
        <w:tc>
          <w:tcPr>
            <w:tcW w:w="851" w:type="dxa"/>
            <w:vAlign w:val="center"/>
          </w:tcPr>
          <w:p>
            <w:pPr>
              <w:adjustRightInd w:val="0"/>
              <w:snapToGrid w:val="0"/>
              <w:spacing w:line="340" w:lineRule="exact"/>
              <w:jc w:val="center"/>
              <w:rPr>
                <w:szCs w:val="21"/>
              </w:rPr>
            </w:pPr>
          </w:p>
        </w:tc>
        <w:tc>
          <w:tcPr>
            <w:tcW w:w="850" w:type="dxa"/>
            <w:vAlign w:val="center"/>
          </w:tcPr>
          <w:p>
            <w:pPr>
              <w:adjustRightInd w:val="0"/>
              <w:snapToGrid w:val="0"/>
              <w:spacing w:line="340" w:lineRule="exact"/>
              <w:jc w:val="center"/>
              <w:rPr>
                <w:szCs w:val="21"/>
              </w:rPr>
            </w:pPr>
          </w:p>
        </w:tc>
        <w:tc>
          <w:tcPr>
            <w:tcW w:w="1701" w:type="dxa"/>
            <w:vAlign w:val="center"/>
          </w:tcPr>
          <w:p>
            <w:pPr>
              <w:adjustRightInd w:val="0"/>
              <w:snapToGrid w:val="0"/>
              <w:spacing w:line="340" w:lineRule="exact"/>
              <w:jc w:val="center"/>
              <w:rPr>
                <w:szCs w:val="21"/>
              </w:rPr>
            </w:pPr>
          </w:p>
        </w:tc>
        <w:tc>
          <w:tcPr>
            <w:tcW w:w="1665" w:type="dxa"/>
            <w:vAlign w:val="center"/>
          </w:tcPr>
          <w:p>
            <w:pPr>
              <w:adjustRightInd w:val="0"/>
              <w:snapToGrid w:val="0"/>
              <w:spacing w:line="3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286" w:type="dxa"/>
            <w:gridSpan w:val="6"/>
            <w:vAlign w:val="center"/>
          </w:tcPr>
          <w:p>
            <w:pPr>
              <w:adjustRightInd w:val="0"/>
              <w:snapToGrid w:val="0"/>
              <w:spacing w:line="340" w:lineRule="exact"/>
              <w:rPr>
                <w:szCs w:val="21"/>
                <w:lang w:eastAsia="zh-CN"/>
              </w:rPr>
            </w:pPr>
            <w:r>
              <w:rPr>
                <w:rFonts w:hint="eastAsia"/>
                <w:szCs w:val="21"/>
                <w:lang w:eastAsia="zh-CN"/>
              </w:rPr>
              <w:t>含税总金额大写:</w:t>
            </w:r>
          </w:p>
          <w:p>
            <w:pPr>
              <w:adjustRightInd w:val="0"/>
              <w:snapToGrid w:val="0"/>
              <w:spacing w:line="340" w:lineRule="exact"/>
              <w:rPr>
                <w:szCs w:val="21"/>
                <w:lang w:eastAsia="zh-CN"/>
              </w:rPr>
            </w:pPr>
            <w:r>
              <w:rPr>
                <w:rFonts w:hint="eastAsia"/>
                <w:szCs w:val="21"/>
                <w:lang w:eastAsia="zh-CN"/>
              </w:rPr>
              <w:t>不含税总金额大写:</w:t>
            </w:r>
          </w:p>
          <w:p>
            <w:pPr>
              <w:adjustRightInd w:val="0"/>
              <w:snapToGrid w:val="0"/>
              <w:spacing w:line="340" w:lineRule="exact"/>
              <w:rPr>
                <w:szCs w:val="21"/>
              </w:rPr>
            </w:pPr>
            <w:r>
              <w:rPr>
                <w:rFonts w:hint="eastAsia"/>
                <w:szCs w:val="21"/>
              </w:rPr>
              <w:t>税率总金额大写: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86" w:type="dxa"/>
            <w:gridSpan w:val="6"/>
          </w:tcPr>
          <w:p>
            <w:pPr>
              <w:rPr>
                <w:szCs w:val="21"/>
                <w:u w:val="single"/>
                <w:lang w:eastAsia="zh-CN"/>
              </w:rPr>
            </w:pPr>
            <w:r>
              <w:rPr>
                <w:rFonts w:hint="eastAsia"/>
                <w:szCs w:val="21"/>
                <w:lang w:eastAsia="zh-CN"/>
              </w:rPr>
              <w:t>1、不含税金额</w:t>
            </w:r>
            <w:r>
              <w:rPr>
                <w:rFonts w:hint="eastAsia"/>
                <w:szCs w:val="21"/>
                <w:u w:val="single"/>
                <w:lang w:eastAsia="zh-CN"/>
              </w:rPr>
              <w:t xml:space="preserve">        元，税额    元（</w:t>
            </w:r>
            <w:r>
              <w:rPr>
                <w:szCs w:val="21"/>
                <w:u w:val="single"/>
                <w:lang w:eastAsia="zh-CN"/>
              </w:rPr>
              <w:t xml:space="preserve">  </w:t>
            </w:r>
            <w:r>
              <w:rPr>
                <w:rFonts w:hint="eastAsia"/>
                <w:szCs w:val="21"/>
                <w:u w:val="single"/>
                <w:lang w:eastAsia="zh-CN"/>
              </w:rPr>
              <w:t>%增值税专用发票）。</w:t>
            </w:r>
          </w:p>
          <w:p>
            <w:pPr>
              <w:spacing w:line="360" w:lineRule="exact"/>
              <w:rPr>
                <w:szCs w:val="21"/>
                <w:lang w:eastAsia="zh-CN"/>
              </w:rPr>
            </w:pPr>
            <w:r>
              <w:rPr>
                <w:rFonts w:hint="eastAsia"/>
                <w:szCs w:val="21"/>
                <w:lang w:eastAsia="zh-CN"/>
              </w:rPr>
              <w:t>2、费用包含提供由中标方的设计费用等。</w:t>
            </w:r>
          </w:p>
          <w:p>
            <w:pPr>
              <w:spacing w:line="360" w:lineRule="exact"/>
              <w:rPr>
                <w:szCs w:val="21"/>
                <w:lang w:eastAsia="zh-CN"/>
              </w:rPr>
            </w:pPr>
            <w:r>
              <w:rPr>
                <w:rFonts w:hint="eastAsia"/>
                <w:szCs w:val="21"/>
                <w:lang w:eastAsia="zh-CN"/>
              </w:rPr>
              <w:t>3、费用已包含招标文件中要求的所有货物或工程内容、运输、卸车、检测、试运行、验收、服务等所有费用。</w:t>
            </w:r>
          </w:p>
        </w:tc>
      </w:tr>
    </w:tbl>
    <w:p>
      <w:pPr>
        <w:adjustRightInd w:val="0"/>
        <w:snapToGrid w:val="0"/>
        <w:spacing w:line="500" w:lineRule="exact"/>
        <w:ind w:firstLine="480" w:firstLineChars="200"/>
        <w:rPr>
          <w:sz w:val="24"/>
          <w:lang w:eastAsia="zh-CN"/>
        </w:rPr>
      </w:pPr>
      <w:r>
        <w:rPr>
          <w:rFonts w:hint="eastAsia"/>
          <w:sz w:val="24"/>
          <w:lang w:eastAsia="zh-CN"/>
        </w:rPr>
        <w:t>1.1乙方为甲方设计制造并提供系统所需的设备及材料或工程内容。乙方的所有供货及服务必须完全满足技术规格的要求，技术规格详见合同附件1《技术协议》；</w:t>
      </w:r>
    </w:p>
    <w:p>
      <w:pPr>
        <w:adjustRightInd w:val="0"/>
        <w:snapToGrid w:val="0"/>
        <w:spacing w:line="500" w:lineRule="exact"/>
        <w:ind w:firstLine="480" w:firstLineChars="200"/>
        <w:rPr>
          <w:sz w:val="24"/>
          <w:lang w:eastAsia="zh-CN"/>
        </w:rPr>
      </w:pPr>
      <w:r>
        <w:rPr>
          <w:rFonts w:hint="eastAsia"/>
          <w:sz w:val="24"/>
          <w:lang w:eastAsia="zh-CN"/>
        </w:rPr>
        <w:t xml:space="preserve">1.2 乙方向甲方提供所供设备或工程包含以下服务：设计、培训、运输（含二次运输、吊卸）、装卸、安装调试、测试验收的服务、质量保证、售后服务以及伴随服务等，伴随服务包括但不限于： </w:t>
      </w:r>
    </w:p>
    <w:p>
      <w:pPr>
        <w:adjustRightInd w:val="0"/>
        <w:snapToGrid w:val="0"/>
        <w:spacing w:line="500" w:lineRule="exact"/>
        <w:ind w:firstLine="480" w:firstLineChars="200"/>
        <w:rPr>
          <w:sz w:val="24"/>
          <w:lang w:eastAsia="zh-CN"/>
        </w:rPr>
      </w:pPr>
      <w:r>
        <w:rPr>
          <w:rFonts w:hint="eastAsia"/>
          <w:sz w:val="24"/>
          <w:lang w:eastAsia="zh-CN"/>
        </w:rPr>
        <w:t>（1）实施或监督所供货物或工程的现场组装施工和试运行；</w:t>
      </w:r>
    </w:p>
    <w:p>
      <w:pPr>
        <w:adjustRightInd w:val="0"/>
        <w:snapToGrid w:val="0"/>
        <w:spacing w:line="500" w:lineRule="exact"/>
        <w:ind w:firstLine="480" w:firstLineChars="200"/>
        <w:rPr>
          <w:sz w:val="24"/>
          <w:lang w:eastAsia="zh-CN"/>
        </w:rPr>
      </w:pPr>
      <w:r>
        <w:rPr>
          <w:rFonts w:hint="eastAsia"/>
          <w:sz w:val="24"/>
          <w:lang w:eastAsia="zh-CN"/>
        </w:rPr>
        <w:t>（2）提供货物或工程组装和维修所需的工具；</w:t>
      </w:r>
    </w:p>
    <w:p>
      <w:pPr>
        <w:adjustRightInd w:val="0"/>
        <w:snapToGrid w:val="0"/>
        <w:spacing w:line="500" w:lineRule="exact"/>
        <w:ind w:firstLine="480" w:firstLineChars="200"/>
        <w:rPr>
          <w:sz w:val="24"/>
          <w:lang w:eastAsia="zh-CN"/>
        </w:rPr>
      </w:pPr>
      <w:r>
        <w:rPr>
          <w:rFonts w:hint="eastAsia"/>
          <w:sz w:val="24"/>
          <w:lang w:eastAsia="zh-CN"/>
        </w:rPr>
        <w:t>（3）为所供货物或工程的重要配件提供详细的技术资料，包括规格说明文件等；</w:t>
      </w:r>
    </w:p>
    <w:p>
      <w:pPr>
        <w:adjustRightInd w:val="0"/>
        <w:snapToGrid w:val="0"/>
        <w:spacing w:line="500" w:lineRule="exact"/>
        <w:ind w:firstLine="480" w:firstLineChars="200"/>
        <w:rPr>
          <w:sz w:val="24"/>
          <w:lang w:eastAsia="zh-CN"/>
        </w:rPr>
      </w:pPr>
      <w:r>
        <w:rPr>
          <w:rFonts w:hint="eastAsia"/>
          <w:sz w:val="24"/>
          <w:lang w:eastAsia="zh-CN"/>
        </w:rPr>
        <w:t>（4）在双方商定的一定期限内对所供货物或工程实施运行或监督或维护或修理，但前提条件是该服务并不能免除乙方在合同保证期内所承担的义务；</w:t>
      </w:r>
    </w:p>
    <w:p>
      <w:pPr>
        <w:adjustRightInd w:val="0"/>
        <w:snapToGrid w:val="0"/>
        <w:spacing w:line="500" w:lineRule="exact"/>
        <w:ind w:firstLine="480" w:firstLineChars="200"/>
        <w:rPr>
          <w:sz w:val="24"/>
          <w:lang w:eastAsia="zh-CN"/>
        </w:rPr>
      </w:pPr>
      <w:r>
        <w:rPr>
          <w:rFonts w:hint="eastAsia"/>
          <w:sz w:val="24"/>
          <w:lang w:eastAsia="zh-CN"/>
        </w:rPr>
        <w:t>（5）在甲方项目现场就所供货物的组装、试运行、运行、维护和修理对甲方人员进行培训。</w:t>
      </w:r>
    </w:p>
    <w:p>
      <w:pPr>
        <w:adjustRightInd w:val="0"/>
        <w:snapToGrid w:val="0"/>
        <w:spacing w:line="500" w:lineRule="exact"/>
        <w:ind w:firstLine="480" w:firstLineChars="200"/>
        <w:rPr>
          <w:sz w:val="24"/>
          <w:lang w:eastAsia="zh-CN"/>
        </w:rPr>
      </w:pPr>
      <w:r>
        <w:rPr>
          <w:rFonts w:hint="eastAsia"/>
          <w:sz w:val="24"/>
          <w:lang w:eastAsia="zh-CN"/>
        </w:rPr>
        <w:t>1.3乙方应对本合同项下其承担的全部工作实施有效管理，以确保上作的进度符合合同附件的要求。</w:t>
      </w:r>
    </w:p>
    <w:p>
      <w:pPr>
        <w:adjustRightInd w:val="0"/>
        <w:snapToGrid w:val="0"/>
        <w:spacing w:line="500" w:lineRule="exact"/>
        <w:ind w:firstLine="480" w:firstLineChars="200"/>
        <w:rPr>
          <w:sz w:val="24"/>
          <w:lang w:eastAsia="zh-CN"/>
        </w:rPr>
      </w:pPr>
      <w:r>
        <w:rPr>
          <w:rFonts w:hint="eastAsia"/>
          <w:sz w:val="24"/>
          <w:lang w:eastAsia="zh-CN"/>
        </w:rPr>
        <w:t>1.4 乙方为保证按时保质完工，本项目乙方施工队不少于【</w:t>
      </w:r>
      <w:r>
        <w:rPr>
          <w:sz w:val="24"/>
          <w:lang w:eastAsia="zh-CN"/>
        </w:rPr>
        <w:t>2</w:t>
      </w:r>
      <w:r>
        <w:rPr>
          <w:rFonts w:hint="eastAsia"/>
          <w:sz w:val="24"/>
          <w:lang w:eastAsia="zh-CN"/>
        </w:rPr>
        <w:t xml:space="preserve">】人/天。            </w:t>
      </w:r>
    </w:p>
    <w:p>
      <w:pPr>
        <w:adjustRightInd w:val="0"/>
        <w:snapToGrid w:val="0"/>
        <w:spacing w:line="500" w:lineRule="exact"/>
        <w:ind w:firstLine="482" w:firstLineChars="200"/>
        <w:rPr>
          <w:b/>
          <w:bCs/>
          <w:sz w:val="24"/>
          <w:lang w:eastAsia="zh-CN"/>
        </w:rPr>
      </w:pPr>
      <w:r>
        <w:rPr>
          <w:rFonts w:hint="eastAsia"/>
          <w:b/>
          <w:bCs/>
          <w:sz w:val="24"/>
          <w:lang w:eastAsia="zh-CN"/>
        </w:rPr>
        <w:t>二、付款</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．付款方式</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.1本合同使用货币种类为：人民币。</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 xml:space="preserve">.2付款方式：银行电汇 </w:t>
      </w:r>
    </w:p>
    <w:p>
      <w:pPr>
        <w:adjustRightInd w:val="0"/>
        <w:snapToGrid w:val="0"/>
        <w:spacing w:line="500" w:lineRule="exact"/>
        <w:ind w:firstLine="480" w:firstLineChars="200"/>
        <w:rPr>
          <w:sz w:val="24"/>
          <w:lang w:eastAsia="zh-CN"/>
        </w:rPr>
      </w:pPr>
      <w:r>
        <w:rPr>
          <w:rFonts w:hint="eastAsia"/>
          <w:sz w:val="24"/>
          <w:lang w:eastAsia="zh-CN"/>
        </w:rPr>
        <w:t>1.3合同款项的支付：</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.3.1合同总额:（人民币大写）</w:t>
      </w:r>
      <w:r>
        <w:rPr>
          <w:rFonts w:hint="eastAsia"/>
          <w:sz w:val="24"/>
          <w:u w:val="single"/>
          <w:lang w:eastAsia="zh-CN"/>
        </w:rPr>
        <w:t>XXX（￥XX XX元）</w:t>
      </w:r>
      <w:r>
        <w:rPr>
          <w:rFonts w:hint="eastAsia"/>
          <w:sz w:val="24"/>
          <w:lang w:eastAsia="zh-CN"/>
        </w:rPr>
        <w:t>, 其中不含税金额：（人民币大写）</w:t>
      </w:r>
      <w:r>
        <w:rPr>
          <w:rFonts w:hint="eastAsia"/>
          <w:sz w:val="24"/>
          <w:u w:val="single"/>
          <w:lang w:eastAsia="zh-CN"/>
        </w:rPr>
        <w:t>XX XX（￥XX XX元）</w:t>
      </w:r>
      <w:r>
        <w:rPr>
          <w:rFonts w:hint="eastAsia"/>
          <w:sz w:val="24"/>
          <w:lang w:eastAsia="zh-CN"/>
        </w:rPr>
        <w:t>,税额：（人民币大写）</w:t>
      </w:r>
      <w:r>
        <w:rPr>
          <w:rFonts w:hint="eastAsia"/>
          <w:sz w:val="24"/>
          <w:u w:val="single"/>
          <w:lang w:eastAsia="zh-CN"/>
        </w:rPr>
        <w:t>XX XX（￥XX XX元）</w:t>
      </w:r>
      <w:r>
        <w:rPr>
          <w:rFonts w:hint="eastAsia"/>
          <w:sz w:val="24"/>
          <w:lang w:eastAsia="zh-CN"/>
        </w:rPr>
        <w:t>,开具税率为</w:t>
      </w:r>
      <w:r>
        <w:rPr>
          <w:rFonts w:hint="eastAsia"/>
          <w:sz w:val="24"/>
          <w:u w:val="single"/>
          <w:lang w:eastAsia="zh-CN"/>
        </w:rPr>
        <w:t xml:space="preserve"> </w:t>
      </w:r>
      <w:r>
        <w:rPr>
          <w:rFonts w:hint="eastAsia"/>
          <w:sz w:val="24"/>
          <w:lang w:eastAsia="zh-CN"/>
        </w:rPr>
        <w:t>%增值税专用发票。</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.3.2设备材料进场经甲方验收合格后，乙方开具全额增值税专用发票给甲方，甲方向乙方支付合同总额的【30】%，金额：（人民币大写）</w:t>
      </w:r>
      <w:r>
        <w:rPr>
          <w:rFonts w:hint="eastAsia"/>
          <w:sz w:val="24"/>
          <w:u w:val="single"/>
          <w:lang w:eastAsia="zh-CN"/>
        </w:rPr>
        <w:t>XXXX（￥XXXX元）</w:t>
      </w:r>
      <w:r>
        <w:rPr>
          <w:rFonts w:hint="eastAsia"/>
          <w:sz w:val="24"/>
          <w:lang w:eastAsia="zh-CN"/>
        </w:rPr>
        <w:t>。</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.3.3设备安装完毕，竣工验收合格，甲方向乙方支付合同总额的【</w:t>
      </w:r>
      <w:r>
        <w:rPr>
          <w:sz w:val="24"/>
          <w:lang w:eastAsia="zh-CN"/>
        </w:rPr>
        <w:t>3</w:t>
      </w:r>
      <w:r>
        <w:rPr>
          <w:rFonts w:hint="eastAsia"/>
          <w:sz w:val="24"/>
          <w:lang w:eastAsia="zh-CN"/>
        </w:rPr>
        <w:t>0】%，金额：（人民币大写）</w:t>
      </w:r>
      <w:r>
        <w:rPr>
          <w:rFonts w:hint="eastAsia"/>
          <w:sz w:val="24"/>
          <w:u w:val="single"/>
          <w:lang w:eastAsia="zh-CN"/>
        </w:rPr>
        <w:t>XXXX（￥XXXX元）</w:t>
      </w:r>
      <w:r>
        <w:rPr>
          <w:rFonts w:hint="eastAsia"/>
          <w:sz w:val="24"/>
          <w:lang w:eastAsia="zh-CN"/>
        </w:rPr>
        <w:t>。</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.3.4设备安装调试合格，运行</w:t>
      </w:r>
      <w:r>
        <w:rPr>
          <w:sz w:val="24"/>
          <w:u w:val="single"/>
          <w:lang w:eastAsia="zh-CN"/>
        </w:rPr>
        <w:t>2</w:t>
      </w:r>
      <w:r>
        <w:rPr>
          <w:rFonts w:hint="eastAsia"/>
          <w:sz w:val="24"/>
          <w:lang w:eastAsia="zh-CN"/>
        </w:rPr>
        <w:t>个月</w:t>
      </w:r>
      <w:r>
        <w:rPr>
          <w:sz w:val="24"/>
          <w:lang w:eastAsia="zh-CN"/>
        </w:rPr>
        <w:t>后无质量</w:t>
      </w:r>
      <w:r>
        <w:rPr>
          <w:rFonts w:hint="eastAsia"/>
          <w:sz w:val="24"/>
          <w:lang w:eastAsia="zh-CN"/>
        </w:rPr>
        <w:t>及隐患</w:t>
      </w:r>
      <w:r>
        <w:rPr>
          <w:sz w:val="24"/>
          <w:lang w:eastAsia="zh-CN"/>
        </w:rPr>
        <w:t>问题,甲方验收合格</w:t>
      </w:r>
      <w:r>
        <w:rPr>
          <w:rFonts w:hint="eastAsia"/>
          <w:sz w:val="24"/>
          <w:lang w:eastAsia="zh-CN"/>
        </w:rPr>
        <w:t>且</w:t>
      </w:r>
      <w:r>
        <w:rPr>
          <w:sz w:val="24"/>
          <w:lang w:eastAsia="zh-CN"/>
        </w:rPr>
        <w:t>通过内部结算审核后</w:t>
      </w:r>
      <w:r>
        <w:rPr>
          <w:rFonts w:hint="eastAsia"/>
          <w:sz w:val="24"/>
          <w:lang w:eastAsia="zh-CN"/>
        </w:rPr>
        <w:t>，支付合同总额</w:t>
      </w:r>
      <w:r>
        <w:rPr>
          <w:sz w:val="24"/>
          <w:lang w:eastAsia="zh-CN"/>
        </w:rPr>
        <w:t>30</w:t>
      </w:r>
      <w:r>
        <w:rPr>
          <w:rFonts w:hint="eastAsia"/>
          <w:sz w:val="24"/>
          <w:lang w:eastAsia="zh-CN"/>
        </w:rPr>
        <w:t>%</w:t>
      </w:r>
      <w:r>
        <w:rPr>
          <w:sz w:val="24"/>
          <w:lang w:eastAsia="zh-CN"/>
        </w:rPr>
        <w:t>。</w:t>
      </w:r>
      <w:r>
        <w:rPr>
          <w:rFonts w:hint="eastAsia"/>
          <w:sz w:val="24"/>
          <w:lang w:eastAsia="zh-CN"/>
        </w:rPr>
        <w:t>金额：（人民币大写）</w:t>
      </w:r>
      <w:r>
        <w:rPr>
          <w:rFonts w:hint="eastAsia"/>
          <w:sz w:val="24"/>
          <w:u w:val="single"/>
          <w:lang w:eastAsia="zh-CN"/>
        </w:rPr>
        <w:t>XXXX元整（￥XXXX元）</w:t>
      </w:r>
      <w:r>
        <w:rPr>
          <w:rFonts w:hint="eastAsia"/>
          <w:sz w:val="24"/>
          <w:lang w:eastAsia="zh-CN"/>
        </w:rPr>
        <w:t>。</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.3.5剩余【</w:t>
      </w:r>
      <w:r>
        <w:rPr>
          <w:sz w:val="24"/>
          <w:lang w:eastAsia="zh-CN"/>
        </w:rPr>
        <w:t>10</w:t>
      </w:r>
      <w:r>
        <w:rPr>
          <w:rFonts w:hint="eastAsia"/>
          <w:sz w:val="24"/>
          <w:lang w:eastAsia="zh-CN"/>
        </w:rPr>
        <w:t>】%作为质保金，金额：（人民币大写）</w:t>
      </w:r>
      <w:r>
        <w:rPr>
          <w:rFonts w:hint="eastAsia"/>
          <w:sz w:val="24"/>
          <w:u w:val="single"/>
          <w:lang w:eastAsia="zh-CN"/>
        </w:rPr>
        <w:t>XXXX元整（￥XXXX元）</w:t>
      </w:r>
      <w:r>
        <w:rPr>
          <w:rFonts w:hint="eastAsia"/>
          <w:sz w:val="24"/>
          <w:lang w:eastAsia="zh-CN"/>
        </w:rPr>
        <w:t>。于质保期(质保期自【竣工验收合格之日】起算【365天】) 满且设备无任何质量问题后，30个工作日内甲方无息一次性付完给乙方。</w:t>
      </w:r>
    </w:p>
    <w:p>
      <w:pPr>
        <w:adjustRightInd w:val="0"/>
        <w:snapToGrid w:val="0"/>
        <w:spacing w:line="500" w:lineRule="exact"/>
        <w:ind w:firstLine="480" w:firstLineChars="200"/>
        <w:rPr>
          <w:sz w:val="24"/>
          <w:lang w:eastAsia="zh-CN"/>
        </w:rPr>
      </w:pPr>
      <w:r>
        <w:rPr>
          <w:rFonts w:hint="eastAsia"/>
          <w:sz w:val="24"/>
          <w:lang w:eastAsia="zh-CN"/>
        </w:rPr>
        <w:t>2.履约保证金的交付及退还</w:t>
      </w:r>
    </w:p>
    <w:p>
      <w:pPr>
        <w:adjustRightInd w:val="0"/>
        <w:snapToGrid w:val="0"/>
        <w:spacing w:line="500" w:lineRule="exact"/>
        <w:ind w:firstLine="480" w:firstLineChars="200"/>
        <w:rPr>
          <w:sz w:val="24"/>
          <w:lang w:eastAsia="zh-CN"/>
        </w:rPr>
      </w:pPr>
      <w:r>
        <w:rPr>
          <w:rFonts w:hint="eastAsia"/>
          <w:sz w:val="24"/>
          <w:lang w:eastAsia="zh-CN"/>
        </w:rPr>
        <w:t>履约保证金为合同总价的</w:t>
      </w:r>
      <w:r>
        <w:rPr>
          <w:rFonts w:hint="eastAsia"/>
          <w:sz w:val="24"/>
          <w:u w:val="single"/>
          <w:lang w:eastAsia="zh-CN"/>
        </w:rPr>
        <w:t xml:space="preserve"> </w:t>
      </w:r>
      <w:r>
        <w:rPr>
          <w:sz w:val="24"/>
          <w:u w:val="single"/>
          <w:lang w:eastAsia="zh-CN"/>
        </w:rPr>
        <w:t>5</w:t>
      </w:r>
      <w:r>
        <w:rPr>
          <w:rFonts w:hint="eastAsia"/>
          <w:sz w:val="24"/>
          <w:u w:val="single"/>
          <w:lang w:eastAsia="zh-CN"/>
        </w:rPr>
        <w:t xml:space="preserve"> </w:t>
      </w:r>
      <w:r>
        <w:rPr>
          <w:rFonts w:hint="eastAsia"/>
          <w:sz w:val="24"/>
          <w:lang w:eastAsia="zh-CN"/>
        </w:rPr>
        <w:t>%，金额：（人民币大写）</w:t>
      </w:r>
      <w:r>
        <w:rPr>
          <w:rFonts w:hint="eastAsia"/>
          <w:sz w:val="24"/>
          <w:u w:val="single"/>
          <w:lang w:eastAsia="zh-CN"/>
        </w:rPr>
        <w:t>XXXX元整（￥XXXX元）</w:t>
      </w:r>
      <w:r>
        <w:rPr>
          <w:rFonts w:hint="eastAsia"/>
          <w:sz w:val="24"/>
          <w:lang w:eastAsia="zh-CN"/>
        </w:rPr>
        <w:t>。乙方于合同签订前向甲方支付。甲方于项目竣工且验收合格后60个工作日内将全额履约保证金无息退还给乙方。</w:t>
      </w:r>
    </w:p>
    <w:p>
      <w:pPr>
        <w:adjustRightInd w:val="0"/>
        <w:snapToGrid w:val="0"/>
        <w:spacing w:line="500" w:lineRule="exact"/>
        <w:ind w:firstLine="480" w:firstLineChars="200"/>
        <w:rPr>
          <w:sz w:val="24"/>
          <w:lang w:eastAsia="zh-CN"/>
        </w:rPr>
      </w:pPr>
      <w:r>
        <w:rPr>
          <w:rFonts w:hint="eastAsia"/>
          <w:sz w:val="24"/>
          <w:lang w:eastAsia="zh-CN"/>
        </w:rPr>
        <w:t>3.扣除</w:t>
      </w:r>
    </w:p>
    <w:p>
      <w:pPr>
        <w:adjustRightInd w:val="0"/>
        <w:snapToGrid w:val="0"/>
        <w:spacing w:line="500" w:lineRule="exact"/>
        <w:ind w:firstLine="480" w:firstLineChars="200"/>
        <w:rPr>
          <w:sz w:val="24"/>
          <w:lang w:eastAsia="zh-CN"/>
        </w:rPr>
      </w:pPr>
      <w:r>
        <w:rPr>
          <w:rFonts w:hint="eastAsia"/>
          <w:sz w:val="24"/>
          <w:lang w:eastAsia="zh-CN"/>
        </w:rPr>
        <w:t>根据本合同的规定，如果乙方有赔偿和/或支付违约金的责任，则甲方有权从上述任何一笔未付款中扣除相应金额。</w:t>
      </w:r>
    </w:p>
    <w:p>
      <w:pPr>
        <w:adjustRightInd w:val="0"/>
        <w:snapToGrid w:val="0"/>
        <w:spacing w:line="500" w:lineRule="exact"/>
        <w:ind w:firstLine="480" w:firstLineChars="200"/>
        <w:rPr>
          <w:sz w:val="24"/>
          <w:lang w:eastAsia="zh-CN"/>
        </w:rPr>
      </w:pPr>
      <w:r>
        <w:rPr>
          <w:rFonts w:hint="eastAsia"/>
          <w:sz w:val="24"/>
          <w:lang w:eastAsia="zh-CN"/>
        </w:rPr>
        <w:t>三、铭牌及标准</w:t>
      </w:r>
    </w:p>
    <w:p>
      <w:pPr>
        <w:adjustRightInd w:val="0"/>
        <w:snapToGrid w:val="0"/>
        <w:spacing w:line="500" w:lineRule="exact"/>
        <w:ind w:firstLine="480" w:firstLineChars="200"/>
        <w:rPr>
          <w:sz w:val="24"/>
          <w:lang w:eastAsia="zh-CN"/>
        </w:rPr>
      </w:pPr>
      <w:r>
        <w:rPr>
          <w:rFonts w:hint="eastAsia"/>
          <w:sz w:val="24"/>
          <w:lang w:eastAsia="zh-CN"/>
        </w:rPr>
        <w:t>1.铭牌</w:t>
      </w:r>
    </w:p>
    <w:p>
      <w:pPr>
        <w:adjustRightInd w:val="0"/>
        <w:snapToGrid w:val="0"/>
        <w:spacing w:line="500" w:lineRule="exact"/>
        <w:ind w:firstLine="480" w:firstLineChars="200"/>
        <w:rPr>
          <w:sz w:val="24"/>
          <w:lang w:eastAsia="zh-CN"/>
        </w:rPr>
      </w:pPr>
      <w:r>
        <w:rPr>
          <w:rFonts w:hint="eastAsia"/>
          <w:sz w:val="24"/>
          <w:lang w:eastAsia="zh-CN"/>
        </w:rPr>
        <w:t>铭牌至少应该有下列内容（包括但不限于此）：设备名称、规格型号、制作厂家、主要技术参数、出厂年份、出厂编号等。</w:t>
      </w:r>
    </w:p>
    <w:p>
      <w:pPr>
        <w:adjustRightInd w:val="0"/>
        <w:snapToGrid w:val="0"/>
        <w:spacing w:line="500" w:lineRule="exact"/>
        <w:ind w:firstLine="480" w:firstLineChars="200"/>
        <w:rPr>
          <w:sz w:val="24"/>
          <w:lang w:eastAsia="zh-CN"/>
        </w:rPr>
      </w:pPr>
      <w:r>
        <w:rPr>
          <w:rFonts w:hint="eastAsia"/>
          <w:sz w:val="24"/>
          <w:lang w:eastAsia="zh-CN"/>
        </w:rPr>
        <w:t>2．标准：本合同所指的货物或工程及服务应符合相关国家行业标准、制造国家标准及本合同约定标准。四、交货及完工时间</w:t>
      </w:r>
    </w:p>
    <w:p>
      <w:pPr>
        <w:adjustRightInd w:val="0"/>
        <w:snapToGrid w:val="0"/>
        <w:spacing w:line="500" w:lineRule="exact"/>
        <w:ind w:firstLine="480" w:firstLineChars="200"/>
        <w:rPr>
          <w:sz w:val="24"/>
          <w:lang w:eastAsia="zh-CN"/>
        </w:rPr>
      </w:pPr>
      <w:r>
        <w:rPr>
          <w:rFonts w:hint="eastAsia"/>
          <w:sz w:val="24"/>
          <w:lang w:eastAsia="zh-CN"/>
        </w:rPr>
        <w:t>1．交货地点：中粮北海糖业有限公司生</w:t>
      </w:r>
      <w:r>
        <w:rPr>
          <w:sz w:val="24"/>
          <w:lang w:eastAsia="zh-CN"/>
        </w:rPr>
        <w:t>产区内</w:t>
      </w:r>
      <w:r>
        <w:rPr>
          <w:rFonts w:hint="eastAsia"/>
          <w:sz w:val="24"/>
          <w:lang w:eastAsia="zh-CN"/>
        </w:rPr>
        <w:t xml:space="preserve">。 </w:t>
      </w:r>
    </w:p>
    <w:p>
      <w:pPr>
        <w:adjustRightInd w:val="0"/>
        <w:snapToGrid w:val="0"/>
        <w:spacing w:line="500" w:lineRule="exact"/>
        <w:ind w:firstLine="480" w:firstLineChars="200"/>
        <w:rPr>
          <w:sz w:val="24"/>
          <w:lang w:eastAsia="zh-CN"/>
        </w:rPr>
      </w:pPr>
      <w:r>
        <w:rPr>
          <w:rFonts w:hint="eastAsia"/>
          <w:sz w:val="24"/>
          <w:lang w:eastAsia="zh-CN"/>
        </w:rPr>
        <w:t>2．完工时间：签订合同之日起</w:t>
      </w:r>
      <w:r>
        <w:rPr>
          <w:sz w:val="24"/>
          <w:u w:val="single"/>
          <w:lang w:eastAsia="zh-CN"/>
        </w:rPr>
        <w:t>2</w:t>
      </w:r>
      <w:r>
        <w:rPr>
          <w:rFonts w:hint="eastAsia"/>
          <w:sz w:val="24"/>
          <w:u w:val="single"/>
          <w:lang w:eastAsia="zh-CN"/>
        </w:rPr>
        <w:t>5</w:t>
      </w:r>
      <w:r>
        <w:rPr>
          <w:rFonts w:hint="eastAsia"/>
          <w:sz w:val="24"/>
          <w:lang w:eastAsia="zh-CN"/>
        </w:rPr>
        <w:t>个日历日。因不可抗力或经甲方同意，工期可顺延。</w:t>
      </w:r>
    </w:p>
    <w:p>
      <w:pPr>
        <w:adjustRightInd w:val="0"/>
        <w:snapToGrid w:val="0"/>
        <w:spacing w:line="500" w:lineRule="exact"/>
        <w:ind w:firstLine="480" w:firstLineChars="200"/>
        <w:rPr>
          <w:sz w:val="24"/>
          <w:lang w:eastAsia="zh-CN"/>
        </w:rPr>
      </w:pPr>
      <w:r>
        <w:rPr>
          <w:rFonts w:hint="eastAsia"/>
          <w:sz w:val="24"/>
          <w:lang w:eastAsia="zh-CN"/>
        </w:rPr>
        <w:t>3.运输费用已含在合同总价款内由乙方承担。因运输过程造成的货物损坏或丢失，均由乙方负责修复或补齐，且交货期不能影响工期。</w:t>
      </w:r>
    </w:p>
    <w:p>
      <w:pPr>
        <w:adjustRightInd w:val="0"/>
        <w:snapToGrid w:val="0"/>
        <w:spacing w:line="500" w:lineRule="exact"/>
        <w:ind w:firstLine="480" w:firstLineChars="200"/>
        <w:rPr>
          <w:sz w:val="24"/>
          <w:lang w:eastAsia="zh-CN"/>
        </w:rPr>
      </w:pPr>
      <w:r>
        <w:rPr>
          <w:rFonts w:hint="eastAsia"/>
          <w:sz w:val="24"/>
          <w:lang w:eastAsia="zh-CN"/>
        </w:rPr>
        <w:t>4.货物包装、发运及运输</w:t>
      </w:r>
    </w:p>
    <w:p>
      <w:pPr>
        <w:adjustRightInd w:val="0"/>
        <w:snapToGrid w:val="0"/>
        <w:spacing w:line="500" w:lineRule="exact"/>
        <w:ind w:firstLine="480" w:firstLineChars="200"/>
        <w:rPr>
          <w:sz w:val="24"/>
          <w:lang w:eastAsia="zh-CN"/>
        </w:rPr>
      </w:pPr>
      <w:r>
        <w:rPr>
          <w:rFonts w:hint="eastAsia"/>
          <w:sz w:val="24"/>
          <w:lang w:eastAsia="zh-CN"/>
        </w:rPr>
        <w:t>4.1乙方应在货物发运前对其进行满足于运输距离、防潮、防震、防锈和防破损装卸要求的包装，以保证货物安全运输到达甲方指定地点。</w:t>
      </w:r>
    </w:p>
    <w:p>
      <w:pPr>
        <w:adjustRightInd w:val="0"/>
        <w:snapToGrid w:val="0"/>
        <w:spacing w:line="500" w:lineRule="exact"/>
        <w:ind w:firstLine="480" w:firstLineChars="200"/>
        <w:rPr>
          <w:sz w:val="24"/>
          <w:lang w:eastAsia="zh-CN"/>
        </w:rPr>
      </w:pPr>
      <w:r>
        <w:rPr>
          <w:rFonts w:hint="eastAsia"/>
          <w:sz w:val="24"/>
          <w:lang w:eastAsia="zh-CN"/>
        </w:rPr>
        <w:t>4.2使用说明书、随配附件和工具以及清单等一并附于货物内。</w:t>
      </w:r>
    </w:p>
    <w:p>
      <w:pPr>
        <w:adjustRightInd w:val="0"/>
        <w:snapToGrid w:val="0"/>
        <w:spacing w:line="500" w:lineRule="exact"/>
        <w:ind w:firstLine="480" w:firstLineChars="200"/>
        <w:rPr>
          <w:sz w:val="24"/>
          <w:lang w:eastAsia="zh-CN"/>
        </w:rPr>
      </w:pPr>
      <w:r>
        <w:rPr>
          <w:rFonts w:hint="eastAsia"/>
          <w:sz w:val="24"/>
          <w:lang w:eastAsia="zh-CN"/>
        </w:rPr>
        <w:t>4.3货物在交货前发生的不可预见的风险均由乙方负责。</w:t>
      </w:r>
    </w:p>
    <w:p>
      <w:pPr>
        <w:adjustRightInd w:val="0"/>
        <w:snapToGrid w:val="0"/>
        <w:spacing w:line="500" w:lineRule="exact"/>
        <w:ind w:firstLine="480" w:firstLineChars="200"/>
        <w:rPr>
          <w:sz w:val="24"/>
          <w:lang w:eastAsia="zh-CN"/>
        </w:rPr>
      </w:pPr>
      <w:r>
        <w:rPr>
          <w:rFonts w:hint="eastAsia"/>
          <w:sz w:val="24"/>
          <w:lang w:eastAsia="zh-CN"/>
        </w:rPr>
        <w:t>4.4乙方在货物发运手续办理完毕后24小时内或货到前48小时通知甲方，以准备接货。</w:t>
      </w:r>
    </w:p>
    <w:p>
      <w:pPr>
        <w:adjustRightInd w:val="0"/>
        <w:snapToGrid w:val="0"/>
        <w:spacing w:line="500" w:lineRule="exact"/>
        <w:ind w:firstLine="482" w:firstLineChars="200"/>
        <w:rPr>
          <w:b/>
          <w:bCs/>
          <w:sz w:val="24"/>
          <w:lang w:eastAsia="zh-CN"/>
        </w:rPr>
      </w:pPr>
      <w:r>
        <w:rPr>
          <w:rFonts w:hint="eastAsia"/>
          <w:b/>
          <w:bCs/>
          <w:sz w:val="24"/>
          <w:lang w:eastAsia="zh-CN"/>
        </w:rPr>
        <w:t>五、验收、质量保证</w:t>
      </w:r>
    </w:p>
    <w:p>
      <w:pPr>
        <w:adjustRightInd w:val="0"/>
        <w:snapToGrid w:val="0"/>
        <w:spacing w:line="500" w:lineRule="exact"/>
        <w:ind w:firstLine="480" w:firstLineChars="200"/>
        <w:rPr>
          <w:sz w:val="24"/>
          <w:lang w:eastAsia="zh-CN"/>
        </w:rPr>
      </w:pPr>
      <w:r>
        <w:rPr>
          <w:rFonts w:hint="eastAsia"/>
          <w:sz w:val="24"/>
          <w:lang w:eastAsia="zh-CN"/>
        </w:rPr>
        <w:t>1.乙方交货前应对产品做出全面检查和对验收文件进行整理列出清单，作为甲方收货验收和使用的技术条件依据，检验的结果证明文件应随货物交甲方。</w:t>
      </w:r>
    </w:p>
    <w:p>
      <w:pPr>
        <w:adjustRightInd w:val="0"/>
        <w:snapToGrid w:val="0"/>
        <w:spacing w:line="500" w:lineRule="exact"/>
        <w:ind w:firstLine="480" w:firstLineChars="200"/>
        <w:rPr>
          <w:sz w:val="24"/>
          <w:lang w:eastAsia="zh-CN"/>
        </w:rPr>
      </w:pPr>
      <w:r>
        <w:rPr>
          <w:rFonts w:hint="eastAsia"/>
          <w:sz w:val="24"/>
          <w:lang w:eastAsia="zh-CN"/>
        </w:rPr>
        <w:t>2.甲方对乙方所交货物依照本协议技术规格要求和国家（设备制造国）有关标准进行现场验收，性能达到技术要求的，给予签收。验收不合格的不予签收，后果由乙方负责。</w:t>
      </w:r>
    </w:p>
    <w:p>
      <w:pPr>
        <w:adjustRightInd w:val="0"/>
        <w:snapToGrid w:val="0"/>
        <w:spacing w:line="500" w:lineRule="exact"/>
        <w:ind w:firstLine="480" w:firstLineChars="200"/>
        <w:rPr>
          <w:sz w:val="24"/>
          <w:lang w:eastAsia="zh-CN"/>
        </w:rPr>
      </w:pPr>
      <w:r>
        <w:rPr>
          <w:rFonts w:hint="eastAsia"/>
          <w:sz w:val="24"/>
          <w:lang w:eastAsia="zh-CN"/>
        </w:rPr>
        <w:t>3.甲方应在货到指定地点安装调试完毕之日起五个工作日内验收完毕，并作出验收结果报告。验收时乙方必须在现场。</w:t>
      </w:r>
    </w:p>
    <w:p>
      <w:pPr>
        <w:adjustRightInd w:val="0"/>
        <w:snapToGrid w:val="0"/>
        <w:spacing w:line="500" w:lineRule="exact"/>
        <w:ind w:firstLine="480" w:firstLineChars="200"/>
        <w:rPr>
          <w:sz w:val="24"/>
          <w:lang w:eastAsia="zh-CN"/>
        </w:rPr>
      </w:pPr>
      <w:r>
        <w:rPr>
          <w:rFonts w:hint="eastAsia"/>
          <w:sz w:val="24"/>
          <w:lang w:eastAsia="zh-CN"/>
        </w:rPr>
        <w:t>4.乙方提供货物的质量保证按招标文件的规定执行。在保证期内因货物本身的质量问题发生故障，乙方应负责免费修理和更换零部件。对达不到技术要求的，根据实际情况，经双方协商，可按以下办法处理：</w:t>
      </w:r>
    </w:p>
    <w:p>
      <w:pPr>
        <w:adjustRightInd w:val="0"/>
        <w:snapToGrid w:val="0"/>
        <w:spacing w:line="500" w:lineRule="exact"/>
        <w:ind w:firstLine="480" w:firstLineChars="200"/>
        <w:rPr>
          <w:sz w:val="24"/>
          <w:lang w:eastAsia="zh-CN"/>
        </w:rPr>
      </w:pPr>
      <w:r>
        <w:rPr>
          <w:rFonts w:hint="eastAsia"/>
          <w:sz w:val="24"/>
          <w:lang w:eastAsia="zh-CN"/>
        </w:rPr>
        <w:t>更换：由乙方承担所发生的全部费用；</w:t>
      </w:r>
    </w:p>
    <w:p>
      <w:pPr>
        <w:adjustRightInd w:val="0"/>
        <w:snapToGrid w:val="0"/>
        <w:spacing w:line="500" w:lineRule="exact"/>
        <w:ind w:firstLine="480" w:firstLineChars="200"/>
        <w:rPr>
          <w:sz w:val="24"/>
          <w:lang w:eastAsia="zh-CN"/>
        </w:rPr>
      </w:pPr>
      <w:r>
        <w:rPr>
          <w:rFonts w:hint="eastAsia"/>
          <w:sz w:val="24"/>
          <w:lang w:eastAsia="zh-CN"/>
        </w:rPr>
        <w:t>贬值处理：由甲乙双方合议定价；</w:t>
      </w:r>
    </w:p>
    <w:p>
      <w:pPr>
        <w:adjustRightInd w:val="0"/>
        <w:snapToGrid w:val="0"/>
        <w:spacing w:line="500" w:lineRule="exact"/>
        <w:ind w:firstLine="480" w:firstLineChars="200"/>
        <w:rPr>
          <w:sz w:val="24"/>
          <w:lang w:eastAsia="zh-CN"/>
        </w:rPr>
      </w:pPr>
      <w:r>
        <w:rPr>
          <w:rFonts w:hint="eastAsia"/>
          <w:sz w:val="24"/>
          <w:lang w:eastAsia="zh-CN"/>
        </w:rPr>
        <w:t>退货处理：乙方应退还甲方支付的货物款，同时应承担该货物的直接费用(运输、保险、检验及银行手续费等)。</w:t>
      </w:r>
    </w:p>
    <w:p>
      <w:pPr>
        <w:adjustRightInd w:val="0"/>
        <w:snapToGrid w:val="0"/>
        <w:spacing w:line="500" w:lineRule="exact"/>
        <w:ind w:firstLine="480" w:firstLineChars="200"/>
        <w:rPr>
          <w:sz w:val="24"/>
          <w:lang w:eastAsia="zh-CN"/>
        </w:rPr>
      </w:pPr>
      <w:r>
        <w:rPr>
          <w:rFonts w:hint="eastAsia"/>
          <w:sz w:val="24"/>
          <w:lang w:eastAsia="zh-CN"/>
        </w:rPr>
        <w:t>4.其他验收要求见合同附件、招标文件、投标文件。</w:t>
      </w:r>
    </w:p>
    <w:p>
      <w:pPr>
        <w:adjustRightInd w:val="0"/>
        <w:snapToGrid w:val="0"/>
        <w:spacing w:line="500" w:lineRule="exact"/>
        <w:ind w:firstLine="480" w:firstLineChars="200"/>
        <w:rPr>
          <w:sz w:val="24"/>
          <w:lang w:eastAsia="zh-CN"/>
        </w:rPr>
      </w:pPr>
      <w:r>
        <w:rPr>
          <w:rFonts w:hint="eastAsia"/>
          <w:sz w:val="24"/>
          <w:lang w:eastAsia="zh-CN"/>
        </w:rPr>
        <w:t>5.如在使用过程中发生质量问题，乙方在接到甲方通知后按所承诺的时间内到达甲方现场处理，乙方应对货物出现的所有质量及安全问题负责处理解决。</w:t>
      </w:r>
    </w:p>
    <w:p>
      <w:pPr>
        <w:adjustRightInd w:val="0"/>
        <w:snapToGrid w:val="0"/>
        <w:spacing w:line="500" w:lineRule="exact"/>
        <w:ind w:firstLine="480" w:firstLineChars="200"/>
        <w:rPr>
          <w:sz w:val="24"/>
          <w:lang w:eastAsia="zh-CN"/>
        </w:rPr>
      </w:pPr>
      <w:r>
        <w:rPr>
          <w:rFonts w:hint="eastAsia"/>
          <w:sz w:val="24"/>
          <w:lang w:eastAsia="zh-CN"/>
        </w:rPr>
        <w:t>6.</w:t>
      </w:r>
      <w:r>
        <w:rPr>
          <w:sz w:val="24"/>
          <w:lang w:eastAsia="zh-CN"/>
        </w:rPr>
        <w:t xml:space="preserve"> 甲方负责提供</w:t>
      </w:r>
      <w:r>
        <w:rPr>
          <w:rFonts w:hint="eastAsia"/>
          <w:sz w:val="24"/>
          <w:lang w:eastAsia="zh-CN"/>
        </w:rPr>
        <w:t>施工</w:t>
      </w:r>
      <w:r>
        <w:rPr>
          <w:sz w:val="24"/>
          <w:lang w:eastAsia="zh-CN"/>
        </w:rPr>
        <w:t>场地及通</w:t>
      </w:r>
      <w:r>
        <w:rPr>
          <w:rFonts w:hint="eastAsia"/>
          <w:sz w:val="24"/>
          <w:lang w:eastAsia="zh-CN"/>
        </w:rPr>
        <w:t>气</w:t>
      </w:r>
      <w:r>
        <w:rPr>
          <w:sz w:val="24"/>
          <w:lang w:eastAsia="zh-CN"/>
        </w:rPr>
        <w:t>、通电</w:t>
      </w:r>
      <w:r>
        <w:rPr>
          <w:rFonts w:hint="eastAsia"/>
          <w:sz w:val="24"/>
          <w:lang w:eastAsia="zh-CN"/>
        </w:rPr>
        <w:t>、通水，相关费用由甲方负责。</w:t>
      </w:r>
    </w:p>
    <w:p>
      <w:pPr>
        <w:adjustRightInd w:val="0"/>
        <w:snapToGrid w:val="0"/>
        <w:spacing w:line="500" w:lineRule="exact"/>
        <w:ind w:firstLine="482" w:firstLineChars="200"/>
        <w:rPr>
          <w:b/>
          <w:bCs/>
          <w:sz w:val="24"/>
          <w:lang w:eastAsia="zh-CN"/>
        </w:rPr>
      </w:pPr>
      <w:r>
        <w:rPr>
          <w:rFonts w:hint="eastAsia"/>
          <w:b/>
          <w:bCs/>
          <w:sz w:val="24"/>
          <w:lang w:eastAsia="zh-CN"/>
        </w:rPr>
        <w:t>六、违约责任</w:t>
      </w:r>
    </w:p>
    <w:p>
      <w:pPr>
        <w:adjustRightInd w:val="0"/>
        <w:snapToGrid w:val="0"/>
        <w:spacing w:line="500" w:lineRule="exact"/>
        <w:ind w:firstLine="480" w:firstLineChars="200"/>
        <w:rPr>
          <w:sz w:val="24"/>
          <w:lang w:eastAsia="zh-CN"/>
        </w:rPr>
      </w:pPr>
      <w:r>
        <w:rPr>
          <w:rFonts w:hint="eastAsia"/>
          <w:sz w:val="24"/>
          <w:lang w:eastAsia="zh-CN"/>
        </w:rPr>
        <w:t>1.由于乙方原因项目质量未达约定要求，乙方应无条件返工，返工费用和因此而造成的经济损失由乙方承担，由此工期延误的，乙方还应按本条第3款承担逾期违约责任。</w:t>
      </w:r>
    </w:p>
    <w:p>
      <w:pPr>
        <w:adjustRightInd w:val="0"/>
        <w:snapToGrid w:val="0"/>
        <w:spacing w:line="500" w:lineRule="exact"/>
        <w:ind w:firstLine="480" w:firstLineChars="200"/>
        <w:rPr>
          <w:sz w:val="24"/>
          <w:lang w:eastAsia="zh-CN"/>
        </w:rPr>
      </w:pPr>
      <w:r>
        <w:rPr>
          <w:rFonts w:hint="eastAsia"/>
          <w:sz w:val="24"/>
          <w:lang w:eastAsia="zh-CN"/>
        </w:rPr>
        <w:t>2.因乙方施工管理不善导致的人身损害或财产损失等安全问题，造成的经济损失由乙方承担。</w:t>
      </w:r>
    </w:p>
    <w:p>
      <w:pPr>
        <w:adjustRightInd w:val="0"/>
        <w:snapToGrid w:val="0"/>
        <w:spacing w:line="500" w:lineRule="exact"/>
        <w:ind w:firstLine="480" w:firstLineChars="200"/>
        <w:rPr>
          <w:sz w:val="24"/>
          <w:lang w:eastAsia="zh-CN"/>
        </w:rPr>
      </w:pPr>
      <w:r>
        <w:rPr>
          <w:rFonts w:hint="eastAsia"/>
          <w:sz w:val="24"/>
          <w:lang w:eastAsia="zh-CN"/>
        </w:rPr>
        <w:t>3.由于乙方原因</w:t>
      </w:r>
      <w:r>
        <w:rPr>
          <w:sz w:val="24"/>
          <w:lang w:eastAsia="zh-CN"/>
        </w:rPr>
        <w:t>造成</w:t>
      </w:r>
      <w:r>
        <w:rPr>
          <w:rFonts w:hint="eastAsia"/>
          <w:sz w:val="24"/>
          <w:lang w:eastAsia="zh-CN"/>
        </w:rPr>
        <w:t>逾期竣工的，工期逾期≤</w:t>
      </w:r>
      <w:r>
        <w:rPr>
          <w:sz w:val="24"/>
          <w:lang w:eastAsia="zh-CN"/>
        </w:rPr>
        <w:t>5</w:t>
      </w:r>
      <w:r>
        <w:rPr>
          <w:rFonts w:hint="eastAsia"/>
          <w:sz w:val="24"/>
          <w:lang w:eastAsia="zh-CN"/>
        </w:rPr>
        <w:t>天的，乙方向甲方支付违约金合同总</w:t>
      </w:r>
      <w:r>
        <w:rPr>
          <w:sz w:val="24"/>
          <w:lang w:eastAsia="zh-CN"/>
        </w:rPr>
        <w:t>金额</w:t>
      </w:r>
      <w:r>
        <w:rPr>
          <w:rFonts w:hint="eastAsia"/>
          <w:sz w:val="24"/>
          <w:lang w:eastAsia="zh-CN"/>
        </w:rPr>
        <w:t>0.</w:t>
      </w:r>
      <w:r>
        <w:rPr>
          <w:sz w:val="24"/>
          <w:lang w:eastAsia="zh-CN"/>
        </w:rPr>
        <w:t>2</w:t>
      </w:r>
      <w:r>
        <w:rPr>
          <w:rFonts w:hint="eastAsia"/>
          <w:sz w:val="24"/>
          <w:lang w:eastAsia="zh-CN"/>
        </w:rPr>
        <w:t>5</w:t>
      </w:r>
      <w:r>
        <w:rPr>
          <w:sz w:val="24"/>
          <w:lang w:eastAsia="zh-CN"/>
        </w:rPr>
        <w:t>%</w:t>
      </w:r>
      <w:r>
        <w:rPr>
          <w:rFonts w:hint="eastAsia"/>
          <w:sz w:val="24"/>
          <w:lang w:eastAsia="zh-CN"/>
        </w:rPr>
        <w:t>/天；</w:t>
      </w:r>
      <w:r>
        <w:rPr>
          <w:sz w:val="24"/>
          <w:lang w:eastAsia="zh-CN"/>
        </w:rPr>
        <w:t>5</w:t>
      </w:r>
      <w:r>
        <w:rPr>
          <w:rFonts w:hint="eastAsia"/>
          <w:sz w:val="24"/>
          <w:lang w:eastAsia="zh-CN"/>
        </w:rPr>
        <w:t>天＜工期逾期≤10天，乙方向甲方支付违约金合同总</w:t>
      </w:r>
      <w:r>
        <w:rPr>
          <w:sz w:val="24"/>
          <w:lang w:eastAsia="zh-CN"/>
        </w:rPr>
        <w:t>金额</w:t>
      </w:r>
      <w:r>
        <w:rPr>
          <w:rFonts w:hint="eastAsia"/>
          <w:sz w:val="24"/>
          <w:lang w:eastAsia="zh-CN"/>
        </w:rPr>
        <w:t>0</w:t>
      </w:r>
      <w:r>
        <w:rPr>
          <w:sz w:val="24"/>
          <w:lang w:eastAsia="zh-CN"/>
        </w:rPr>
        <w:t>.5%</w:t>
      </w:r>
      <w:r>
        <w:rPr>
          <w:rFonts w:hint="eastAsia"/>
          <w:sz w:val="24"/>
          <w:lang w:eastAsia="zh-CN"/>
        </w:rPr>
        <w:t>/天；</w:t>
      </w:r>
      <w:r>
        <w:rPr>
          <w:sz w:val="24"/>
          <w:lang w:eastAsia="zh-CN"/>
        </w:rPr>
        <w:t>10</w:t>
      </w:r>
      <w:r>
        <w:rPr>
          <w:rFonts w:hint="eastAsia"/>
          <w:sz w:val="24"/>
          <w:lang w:eastAsia="zh-CN"/>
        </w:rPr>
        <w:t>天＜工期逾期≤1</w:t>
      </w:r>
      <w:r>
        <w:rPr>
          <w:sz w:val="24"/>
          <w:lang w:eastAsia="zh-CN"/>
        </w:rPr>
        <w:t>5</w:t>
      </w:r>
      <w:r>
        <w:rPr>
          <w:rFonts w:hint="eastAsia"/>
          <w:sz w:val="24"/>
          <w:lang w:eastAsia="zh-CN"/>
        </w:rPr>
        <w:t>天，乙方向甲方支付违约金合同总</w:t>
      </w:r>
      <w:r>
        <w:rPr>
          <w:sz w:val="24"/>
          <w:lang w:eastAsia="zh-CN"/>
        </w:rPr>
        <w:t>金额</w:t>
      </w:r>
      <w:r>
        <w:rPr>
          <w:rFonts w:hint="eastAsia"/>
          <w:sz w:val="24"/>
          <w:lang w:eastAsia="zh-CN"/>
        </w:rPr>
        <w:t>1</w:t>
      </w:r>
      <w:r>
        <w:rPr>
          <w:sz w:val="24"/>
          <w:lang w:eastAsia="zh-CN"/>
        </w:rPr>
        <w:t>%</w:t>
      </w:r>
      <w:r>
        <w:rPr>
          <w:rFonts w:hint="eastAsia"/>
          <w:sz w:val="24"/>
          <w:lang w:eastAsia="zh-CN"/>
        </w:rPr>
        <w:t>/天；逾期＞15天，甲方有权单方解除合同，双方据实结算，乙方应按合同总价的20%支付甲方违约金，并赔偿由此造成的甲方所有损失。</w:t>
      </w:r>
    </w:p>
    <w:p>
      <w:pPr>
        <w:adjustRightInd w:val="0"/>
        <w:snapToGrid w:val="0"/>
        <w:spacing w:line="500" w:lineRule="exact"/>
        <w:ind w:firstLine="482" w:firstLineChars="200"/>
        <w:rPr>
          <w:b/>
          <w:bCs/>
          <w:sz w:val="24"/>
          <w:lang w:eastAsia="zh-CN"/>
        </w:rPr>
      </w:pPr>
      <w:r>
        <w:rPr>
          <w:rFonts w:hint="eastAsia"/>
          <w:b/>
          <w:bCs/>
          <w:sz w:val="24"/>
          <w:lang w:eastAsia="zh-CN"/>
        </w:rPr>
        <w:t>七、不可抗力事件处理</w:t>
      </w:r>
    </w:p>
    <w:p>
      <w:pPr>
        <w:adjustRightInd w:val="0"/>
        <w:snapToGrid w:val="0"/>
        <w:spacing w:line="500" w:lineRule="exact"/>
        <w:ind w:firstLine="480" w:firstLineChars="200"/>
        <w:rPr>
          <w:sz w:val="24"/>
          <w:lang w:eastAsia="zh-CN"/>
        </w:rPr>
      </w:pPr>
      <w:r>
        <w:rPr>
          <w:rFonts w:hint="eastAsia"/>
          <w:sz w:val="24"/>
          <w:lang w:eastAsia="zh-CN"/>
        </w:rPr>
        <w:t>1.在合同有效期限内，任何一方因不可抗力事件导致不能履行合同，则合同履行期可延长，其延长期与不可抗力影响期相同。由于不可抗力事件导致合同根本目的不能实现时，一方可解除合同。</w:t>
      </w:r>
    </w:p>
    <w:p>
      <w:pPr>
        <w:adjustRightInd w:val="0"/>
        <w:snapToGrid w:val="0"/>
        <w:spacing w:line="500" w:lineRule="exact"/>
        <w:ind w:firstLine="480" w:firstLineChars="200"/>
        <w:rPr>
          <w:sz w:val="24"/>
          <w:lang w:eastAsia="zh-CN"/>
        </w:rPr>
      </w:pPr>
      <w:r>
        <w:rPr>
          <w:rFonts w:hint="eastAsia"/>
          <w:sz w:val="24"/>
          <w:lang w:eastAsia="zh-CN"/>
        </w:rPr>
        <w:t>2.不可抗力事件发生后，应立即通知对方，并寄送有关权威机构出具的证明。</w:t>
      </w:r>
    </w:p>
    <w:p>
      <w:pPr>
        <w:adjustRightInd w:val="0"/>
        <w:snapToGrid w:val="0"/>
        <w:spacing w:line="500" w:lineRule="exact"/>
        <w:ind w:firstLine="480" w:firstLineChars="200"/>
        <w:rPr>
          <w:sz w:val="24"/>
          <w:lang w:eastAsia="zh-CN"/>
        </w:rPr>
      </w:pPr>
      <w:r>
        <w:rPr>
          <w:rFonts w:hint="eastAsia"/>
          <w:sz w:val="24"/>
          <w:lang w:eastAsia="zh-CN"/>
        </w:rPr>
        <w:t>3.不可抗力事件延续25天以上，双方应通过友好协商，确定是否继续履行合同。</w:t>
      </w:r>
    </w:p>
    <w:p>
      <w:pPr>
        <w:adjustRightInd w:val="0"/>
        <w:snapToGrid w:val="0"/>
        <w:spacing w:line="500" w:lineRule="exact"/>
        <w:ind w:firstLine="482" w:firstLineChars="200"/>
        <w:rPr>
          <w:b/>
          <w:bCs/>
          <w:sz w:val="24"/>
          <w:lang w:eastAsia="zh-CN"/>
        </w:rPr>
      </w:pPr>
      <w:r>
        <w:rPr>
          <w:rFonts w:hint="eastAsia"/>
          <w:b/>
          <w:bCs/>
          <w:sz w:val="24"/>
          <w:lang w:eastAsia="zh-CN"/>
        </w:rPr>
        <w:t>八、合同争议的解决</w:t>
      </w:r>
    </w:p>
    <w:p>
      <w:pPr>
        <w:adjustRightInd w:val="0"/>
        <w:snapToGrid w:val="0"/>
        <w:spacing w:line="500" w:lineRule="exact"/>
        <w:ind w:firstLine="480" w:firstLineChars="200"/>
        <w:rPr>
          <w:sz w:val="24"/>
          <w:lang w:eastAsia="zh-CN"/>
        </w:rPr>
      </w:pPr>
      <w:r>
        <w:rPr>
          <w:rFonts w:hint="eastAsia"/>
          <w:sz w:val="24"/>
          <w:lang w:eastAsia="zh-CN"/>
        </w:rPr>
        <w:t>1.本合同适用法律为中华人民共和国有关法律。</w:t>
      </w:r>
    </w:p>
    <w:p>
      <w:pPr>
        <w:adjustRightInd w:val="0"/>
        <w:snapToGrid w:val="0"/>
        <w:spacing w:line="500" w:lineRule="exact"/>
        <w:ind w:firstLine="480" w:firstLineChars="200"/>
        <w:rPr>
          <w:sz w:val="24"/>
          <w:lang w:eastAsia="zh-CN"/>
        </w:rPr>
      </w:pPr>
      <w:r>
        <w:rPr>
          <w:rFonts w:hint="eastAsia"/>
          <w:sz w:val="24"/>
          <w:lang w:eastAsia="zh-CN"/>
        </w:rPr>
        <w:t>2.凡与本合同有关的一切争议，双方应友好协商解决，协商不能达成一致时，应向甲方所在地人民法院提起诉讼。诉讼费、律师代理费、交通费等相关费用由违约方承担。</w:t>
      </w:r>
    </w:p>
    <w:p>
      <w:pPr>
        <w:adjustRightInd w:val="0"/>
        <w:snapToGrid w:val="0"/>
        <w:spacing w:line="500" w:lineRule="exact"/>
        <w:ind w:firstLine="482" w:firstLineChars="200"/>
        <w:rPr>
          <w:b/>
          <w:bCs/>
          <w:sz w:val="24"/>
          <w:lang w:eastAsia="zh-CN"/>
        </w:rPr>
      </w:pPr>
      <w:r>
        <w:rPr>
          <w:rFonts w:hint="eastAsia"/>
          <w:b/>
          <w:bCs/>
          <w:sz w:val="24"/>
          <w:lang w:eastAsia="zh-CN"/>
        </w:rPr>
        <w:t>九、知识产权</w:t>
      </w:r>
    </w:p>
    <w:p>
      <w:pPr>
        <w:adjustRightInd w:val="0"/>
        <w:snapToGrid w:val="0"/>
        <w:spacing w:line="500" w:lineRule="exact"/>
        <w:ind w:firstLine="480" w:firstLineChars="200"/>
        <w:rPr>
          <w:sz w:val="24"/>
          <w:lang w:eastAsia="zh-CN"/>
        </w:rPr>
      </w:pPr>
      <w:r>
        <w:rPr>
          <w:rFonts w:hint="eastAsia"/>
          <w:sz w:val="24"/>
          <w:lang w:eastAsia="zh-CN"/>
        </w:rPr>
        <w:t>1.乙方应保证所提供的货物或其任何一部分均不会侵犯任何第三方的专利权、商标权或著作权，否则承担由此给甲方造成的一切损失。</w:t>
      </w:r>
    </w:p>
    <w:p>
      <w:pPr>
        <w:adjustRightInd w:val="0"/>
        <w:snapToGrid w:val="0"/>
        <w:spacing w:line="500" w:lineRule="exact"/>
        <w:ind w:firstLine="482" w:firstLineChars="200"/>
        <w:rPr>
          <w:b/>
          <w:bCs/>
          <w:sz w:val="24"/>
          <w:lang w:eastAsia="zh-CN"/>
        </w:rPr>
      </w:pPr>
      <w:r>
        <w:rPr>
          <w:rFonts w:hint="eastAsia"/>
          <w:b/>
          <w:bCs/>
          <w:sz w:val="24"/>
          <w:lang w:eastAsia="zh-CN"/>
        </w:rPr>
        <w:t>十、合同生效及其它</w:t>
      </w:r>
    </w:p>
    <w:p>
      <w:pPr>
        <w:adjustRightInd w:val="0"/>
        <w:snapToGrid w:val="0"/>
        <w:spacing w:line="500" w:lineRule="exact"/>
        <w:ind w:firstLine="480" w:firstLineChars="200"/>
        <w:rPr>
          <w:sz w:val="24"/>
          <w:lang w:eastAsia="zh-CN"/>
        </w:rPr>
      </w:pPr>
      <w:r>
        <w:rPr>
          <w:rFonts w:hint="eastAsia"/>
          <w:sz w:val="24"/>
          <w:lang w:eastAsia="zh-CN"/>
        </w:rPr>
        <w:t>1.本合同由双方法定代表人或其委托代表人签字加盖合同章之日起生效，本合同壹式【贰】份，甲方执壹式【壹】份，乙方执壹式【壹】份。</w:t>
      </w:r>
    </w:p>
    <w:p>
      <w:pPr>
        <w:adjustRightInd w:val="0"/>
        <w:snapToGrid w:val="0"/>
        <w:spacing w:line="500" w:lineRule="exact"/>
        <w:ind w:firstLine="480" w:firstLineChars="200"/>
        <w:rPr>
          <w:sz w:val="24"/>
          <w:lang w:eastAsia="zh-CN"/>
        </w:rPr>
      </w:pPr>
      <w:r>
        <w:rPr>
          <w:rFonts w:hint="eastAsia"/>
          <w:sz w:val="24"/>
          <w:lang w:eastAsia="zh-CN"/>
        </w:rPr>
        <w:t>2.没有另一方的事先同意，合同任何一方不得将合同项下的任何权利和义务转让给第三方。</w:t>
      </w:r>
    </w:p>
    <w:p>
      <w:pPr>
        <w:adjustRightInd w:val="0"/>
        <w:snapToGrid w:val="0"/>
        <w:spacing w:line="500" w:lineRule="exact"/>
        <w:ind w:firstLine="480" w:firstLineChars="200"/>
        <w:rPr>
          <w:sz w:val="24"/>
          <w:lang w:eastAsia="zh-CN"/>
        </w:rPr>
      </w:pPr>
      <w:r>
        <w:rPr>
          <w:rFonts w:hint="eastAsia"/>
          <w:sz w:val="24"/>
          <w:lang w:eastAsia="zh-CN"/>
        </w:rPr>
        <w:t>3.合同履行中，如需修改或补充合同内容（但不能对本合同的内容作实质的改变），由双方协商另签署书面修改或补充协议并作为主合同不可分割的一部分。</w:t>
      </w:r>
    </w:p>
    <w:p>
      <w:pPr>
        <w:adjustRightInd w:val="0"/>
        <w:snapToGrid w:val="0"/>
        <w:spacing w:line="500" w:lineRule="exact"/>
        <w:ind w:firstLine="482" w:firstLineChars="200"/>
        <w:rPr>
          <w:b/>
          <w:bCs/>
          <w:sz w:val="24"/>
          <w:lang w:eastAsia="zh-CN"/>
        </w:rPr>
      </w:pPr>
      <w:r>
        <w:rPr>
          <w:rFonts w:hint="eastAsia"/>
          <w:b/>
          <w:bCs/>
          <w:sz w:val="24"/>
          <w:lang w:eastAsia="zh-CN"/>
        </w:rPr>
        <w:t>十一、组成合同的文件</w:t>
      </w:r>
    </w:p>
    <w:p>
      <w:pPr>
        <w:adjustRightInd w:val="0"/>
        <w:snapToGrid w:val="0"/>
        <w:spacing w:line="500" w:lineRule="exact"/>
        <w:ind w:firstLine="480" w:firstLineChars="200"/>
        <w:rPr>
          <w:sz w:val="24"/>
          <w:lang w:eastAsia="zh-CN"/>
        </w:rPr>
      </w:pPr>
      <w:r>
        <w:rPr>
          <w:rFonts w:hint="eastAsia"/>
          <w:sz w:val="24"/>
          <w:lang w:eastAsia="zh-CN"/>
        </w:rPr>
        <w:t>组成本合同的文件及效力等级如下：</w:t>
      </w:r>
    </w:p>
    <w:p>
      <w:pPr>
        <w:adjustRightInd w:val="0"/>
        <w:snapToGrid w:val="0"/>
        <w:spacing w:line="500" w:lineRule="exact"/>
        <w:ind w:firstLine="480" w:firstLineChars="200"/>
        <w:rPr>
          <w:sz w:val="24"/>
          <w:lang w:eastAsia="zh-CN"/>
        </w:rPr>
      </w:pPr>
      <w:r>
        <w:rPr>
          <w:rFonts w:hint="eastAsia"/>
          <w:sz w:val="24"/>
          <w:lang w:eastAsia="zh-CN"/>
        </w:rPr>
        <w:t>1．合同</w:t>
      </w:r>
    </w:p>
    <w:p>
      <w:pPr>
        <w:adjustRightInd w:val="0"/>
        <w:snapToGrid w:val="0"/>
        <w:spacing w:line="500" w:lineRule="exact"/>
        <w:ind w:firstLine="480" w:firstLineChars="200"/>
        <w:rPr>
          <w:sz w:val="24"/>
          <w:lang w:eastAsia="zh-CN"/>
        </w:rPr>
      </w:pPr>
      <w:r>
        <w:rPr>
          <w:rFonts w:hint="eastAsia"/>
          <w:sz w:val="24"/>
          <w:lang w:eastAsia="zh-CN"/>
        </w:rPr>
        <w:t>2．合同附件一：技术协议书</w:t>
      </w:r>
    </w:p>
    <w:p>
      <w:pPr>
        <w:adjustRightInd w:val="0"/>
        <w:snapToGrid w:val="0"/>
        <w:spacing w:line="500" w:lineRule="exact"/>
        <w:ind w:firstLine="480" w:firstLineChars="200"/>
        <w:rPr>
          <w:sz w:val="24"/>
          <w:lang w:eastAsia="zh-CN"/>
        </w:rPr>
      </w:pPr>
      <w:r>
        <w:rPr>
          <w:rFonts w:hint="eastAsia"/>
          <w:sz w:val="24"/>
          <w:lang w:eastAsia="zh-CN"/>
        </w:rPr>
        <w:t>3．合同附件二：廉洁协议书</w:t>
      </w:r>
    </w:p>
    <w:p>
      <w:pPr>
        <w:tabs>
          <w:tab w:val="left" w:pos="5520"/>
        </w:tabs>
        <w:spacing w:line="500" w:lineRule="exact"/>
        <w:ind w:firstLine="480" w:firstLineChars="200"/>
        <w:rPr>
          <w:sz w:val="24"/>
          <w:lang w:eastAsia="zh-CN"/>
        </w:rPr>
      </w:pPr>
      <w:r>
        <w:rPr>
          <w:rFonts w:hint="eastAsia"/>
          <w:sz w:val="24"/>
          <w:lang w:eastAsia="zh-CN"/>
        </w:rPr>
        <w:t>4．合同附件三：环保管理协议（2</w:t>
      </w:r>
      <w:r>
        <w:rPr>
          <w:sz w:val="24"/>
          <w:lang w:eastAsia="zh-CN"/>
        </w:rPr>
        <w:t>023-C</w:t>
      </w:r>
      <w:r>
        <w:rPr>
          <w:rFonts w:hint="eastAsia"/>
          <w:sz w:val="24"/>
          <w:lang w:eastAsia="zh-CN"/>
        </w:rPr>
        <w:t>）</w:t>
      </w:r>
    </w:p>
    <w:p>
      <w:pPr>
        <w:spacing w:line="420" w:lineRule="exact"/>
        <w:ind w:firstLine="480" w:firstLineChars="200"/>
        <w:rPr>
          <w:sz w:val="24"/>
          <w:lang w:eastAsia="zh-CN"/>
        </w:rPr>
      </w:pPr>
      <w:r>
        <w:rPr>
          <w:rFonts w:hint="eastAsia"/>
          <w:sz w:val="24"/>
          <w:lang w:eastAsia="zh-CN"/>
        </w:rPr>
        <w:t>5．合同附件四：安全（消防）管理协议书（2</w:t>
      </w:r>
      <w:r>
        <w:rPr>
          <w:sz w:val="24"/>
          <w:lang w:eastAsia="zh-CN"/>
        </w:rPr>
        <w:t>023-C</w:t>
      </w:r>
      <w:r>
        <w:rPr>
          <w:rFonts w:hint="eastAsia"/>
          <w:sz w:val="24"/>
          <w:lang w:eastAsia="zh-CN"/>
        </w:rPr>
        <w:t>）</w:t>
      </w:r>
    </w:p>
    <w:p>
      <w:pPr>
        <w:adjustRightInd w:val="0"/>
        <w:snapToGrid w:val="0"/>
        <w:spacing w:line="500" w:lineRule="exact"/>
        <w:ind w:firstLine="480" w:firstLineChars="200"/>
        <w:rPr>
          <w:sz w:val="24"/>
          <w:lang w:eastAsia="zh-CN"/>
        </w:rPr>
      </w:pPr>
      <w:r>
        <w:rPr>
          <w:rFonts w:hint="eastAsia"/>
          <w:sz w:val="24"/>
          <w:lang w:eastAsia="zh-CN"/>
        </w:rPr>
        <w:t>6.</w:t>
      </w:r>
      <w:r>
        <w:rPr>
          <w:sz w:val="24"/>
          <w:lang w:eastAsia="zh-CN"/>
        </w:rPr>
        <w:t xml:space="preserve"> </w:t>
      </w:r>
      <w:r>
        <w:rPr>
          <w:rFonts w:hint="eastAsia"/>
          <w:sz w:val="24"/>
          <w:lang w:eastAsia="zh-CN"/>
        </w:rPr>
        <w:t>合同附件五：食品接触材料设备设施质量规范及安装要求</w:t>
      </w:r>
    </w:p>
    <w:p>
      <w:pPr>
        <w:pStyle w:val="2"/>
        <w:ind w:firstLine="480" w:firstLineChars="200"/>
      </w:pPr>
    </w:p>
    <w:tbl>
      <w:tblPr>
        <w:tblStyle w:val="31"/>
        <w:tblpPr w:leftFromText="180" w:rightFromText="180" w:vertAnchor="text" w:horzAnchor="margin" w:tblpXSpec="center" w:tblpY="25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3"/>
        <w:gridCol w:w="5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0" w:hRule="atLeast"/>
        </w:trPr>
        <w:tc>
          <w:tcPr>
            <w:tcW w:w="4713" w:type="dxa"/>
            <w:tcBorders>
              <w:bottom w:val="single" w:color="auto" w:sz="4" w:space="0"/>
            </w:tcBorders>
          </w:tcPr>
          <w:p>
            <w:pPr>
              <w:spacing w:line="420" w:lineRule="exact"/>
              <w:jc w:val="center"/>
              <w:rPr>
                <w:sz w:val="24"/>
                <w:lang w:eastAsia="zh-CN"/>
              </w:rPr>
            </w:pPr>
            <w:r>
              <w:rPr>
                <w:sz w:val="24"/>
                <w:lang w:eastAsia="zh-CN"/>
              </w:rPr>
              <w:t>甲方</w:t>
            </w:r>
          </w:p>
          <w:p>
            <w:pPr>
              <w:spacing w:line="420" w:lineRule="exact"/>
              <w:rPr>
                <w:sz w:val="24"/>
                <w:lang w:eastAsia="zh-CN"/>
              </w:rPr>
            </w:pPr>
            <w:r>
              <w:rPr>
                <w:sz w:val="24"/>
                <w:lang w:eastAsia="zh-CN"/>
              </w:rPr>
              <w:t>单位名称：中粮</w:t>
            </w:r>
            <w:r>
              <w:rPr>
                <w:rFonts w:hint="eastAsia"/>
                <w:sz w:val="24"/>
                <w:lang w:eastAsia="zh-CN"/>
              </w:rPr>
              <w:t>北海糖业</w:t>
            </w:r>
            <w:r>
              <w:rPr>
                <w:sz w:val="24"/>
                <w:lang w:eastAsia="zh-CN"/>
              </w:rPr>
              <w:t>有限公司</w:t>
            </w:r>
          </w:p>
          <w:p>
            <w:pPr>
              <w:spacing w:line="420" w:lineRule="exact"/>
              <w:rPr>
                <w:sz w:val="24"/>
                <w:lang w:eastAsia="zh-CN"/>
              </w:rPr>
            </w:pPr>
            <w:r>
              <w:rPr>
                <w:sz w:val="24"/>
                <w:lang w:eastAsia="zh-CN"/>
              </w:rPr>
              <w:t>单位地址：广西壮族自治区</w:t>
            </w:r>
            <w:r>
              <w:rPr>
                <w:rFonts w:hint="eastAsia"/>
                <w:sz w:val="24"/>
                <w:lang w:eastAsia="zh-CN"/>
              </w:rPr>
              <w:t>北海市</w:t>
            </w:r>
            <w:r>
              <w:rPr>
                <w:sz w:val="24"/>
                <w:lang w:eastAsia="zh-CN"/>
              </w:rPr>
              <w:t>铁山港区南康镇富康路</w:t>
            </w:r>
            <w:r>
              <w:rPr>
                <w:rFonts w:hint="eastAsia"/>
                <w:sz w:val="24"/>
                <w:lang w:eastAsia="zh-CN"/>
              </w:rPr>
              <w:t>166号</w:t>
            </w:r>
          </w:p>
          <w:p>
            <w:pPr>
              <w:spacing w:line="420" w:lineRule="exact"/>
              <w:rPr>
                <w:sz w:val="24"/>
                <w:lang w:eastAsia="zh-CN"/>
              </w:rPr>
            </w:pPr>
            <w:r>
              <w:rPr>
                <w:sz w:val="24"/>
                <w:lang w:eastAsia="zh-CN"/>
              </w:rPr>
              <w:t>法定代表人：</w:t>
            </w:r>
          </w:p>
          <w:p>
            <w:pPr>
              <w:spacing w:line="420" w:lineRule="exact"/>
              <w:rPr>
                <w:sz w:val="24"/>
                <w:lang w:eastAsia="zh-CN"/>
              </w:rPr>
            </w:pPr>
            <w:r>
              <w:rPr>
                <w:sz w:val="24"/>
                <w:lang w:eastAsia="zh-CN"/>
              </w:rPr>
              <w:t>委托代理人：</w:t>
            </w:r>
          </w:p>
          <w:p>
            <w:pPr>
              <w:spacing w:line="420" w:lineRule="exact"/>
              <w:rPr>
                <w:sz w:val="24"/>
                <w:lang w:eastAsia="zh-CN"/>
              </w:rPr>
            </w:pPr>
            <w:r>
              <w:rPr>
                <w:sz w:val="24"/>
                <w:lang w:eastAsia="zh-CN"/>
              </w:rPr>
              <w:t>电话号码：</w:t>
            </w:r>
            <w:r>
              <w:rPr>
                <w:rFonts w:hint="eastAsia"/>
                <w:sz w:val="24"/>
                <w:lang w:eastAsia="zh-CN"/>
              </w:rPr>
              <w:t>077</w:t>
            </w:r>
            <w:r>
              <w:rPr>
                <w:sz w:val="24"/>
                <w:lang w:eastAsia="zh-CN"/>
              </w:rPr>
              <w:t>9</w:t>
            </w:r>
            <w:r>
              <w:rPr>
                <w:rFonts w:hint="eastAsia"/>
                <w:sz w:val="24"/>
                <w:lang w:eastAsia="zh-CN"/>
              </w:rPr>
              <w:t>-</w:t>
            </w:r>
            <w:r>
              <w:rPr>
                <w:rFonts w:eastAsia="仿宋_GB2312"/>
                <w:sz w:val="24"/>
                <w:szCs w:val="24"/>
                <w:lang w:eastAsia="zh-CN"/>
              </w:rPr>
              <w:t>8606000</w:t>
            </w:r>
          </w:p>
          <w:p>
            <w:pPr>
              <w:spacing w:line="420" w:lineRule="exact"/>
              <w:rPr>
                <w:sz w:val="24"/>
                <w:szCs w:val="24"/>
                <w:lang w:eastAsia="zh-CN"/>
              </w:rPr>
            </w:pPr>
            <w:r>
              <w:rPr>
                <w:sz w:val="24"/>
                <w:lang w:eastAsia="zh-CN"/>
              </w:rPr>
              <w:t>传真号码：0779-</w:t>
            </w:r>
            <w:r>
              <w:rPr>
                <w:rFonts w:eastAsia="仿宋_GB2312"/>
                <w:sz w:val="24"/>
                <w:szCs w:val="24"/>
                <w:lang w:eastAsia="zh-CN"/>
              </w:rPr>
              <w:t>8607920</w:t>
            </w:r>
          </w:p>
          <w:p>
            <w:pPr>
              <w:spacing w:line="440" w:lineRule="exact"/>
              <w:ind w:left="960" w:right="-2" w:hanging="960" w:hangingChars="400"/>
              <w:rPr>
                <w:rFonts w:eastAsia="仿宋_GB2312"/>
                <w:sz w:val="32"/>
                <w:szCs w:val="32"/>
                <w:lang w:eastAsia="zh-CN"/>
              </w:rPr>
            </w:pPr>
            <w:r>
              <w:rPr>
                <w:sz w:val="24"/>
                <w:lang w:eastAsia="zh-CN"/>
              </w:rPr>
              <w:t>开户行：</w:t>
            </w:r>
            <w:r>
              <w:rPr>
                <w:rFonts w:hint="eastAsia" w:asciiTheme="minorEastAsia" w:hAnsiTheme="minorEastAsia" w:eastAsiaTheme="minorEastAsia"/>
                <w:sz w:val="24"/>
                <w:szCs w:val="24"/>
                <w:lang w:eastAsia="zh-CN"/>
              </w:rPr>
              <w:t>中国农业银行股份有限公司北海铁山港支行</w:t>
            </w:r>
          </w:p>
          <w:p>
            <w:pPr>
              <w:spacing w:line="420" w:lineRule="exact"/>
              <w:rPr>
                <w:sz w:val="24"/>
                <w:lang w:eastAsia="zh-CN"/>
              </w:rPr>
            </w:pPr>
            <w:r>
              <w:rPr>
                <w:sz w:val="24"/>
                <w:lang w:eastAsia="zh-CN"/>
              </w:rPr>
              <w:t>帐号</w:t>
            </w:r>
            <w:r>
              <w:rPr>
                <w:rFonts w:hint="eastAsia"/>
                <w:sz w:val="24"/>
                <w:lang w:eastAsia="zh-CN"/>
              </w:rPr>
              <w:t>：20-713101040008348</w:t>
            </w:r>
          </w:p>
          <w:p>
            <w:pPr>
              <w:spacing w:line="420" w:lineRule="exact"/>
              <w:rPr>
                <w:sz w:val="24"/>
                <w:lang w:eastAsia="zh-CN"/>
              </w:rPr>
            </w:pPr>
            <w:r>
              <w:rPr>
                <w:rFonts w:hint="eastAsia"/>
                <w:sz w:val="24"/>
                <w:lang w:eastAsia="zh-CN"/>
              </w:rPr>
              <w:t>税号：91450500557245507M</w:t>
            </w:r>
          </w:p>
          <w:p>
            <w:pPr>
              <w:spacing w:line="420" w:lineRule="exact"/>
              <w:rPr>
                <w:sz w:val="24"/>
                <w:lang w:eastAsia="zh-CN"/>
              </w:rPr>
            </w:pPr>
            <w:r>
              <w:rPr>
                <w:rFonts w:hint="eastAsia"/>
                <w:sz w:val="24"/>
                <w:lang w:eastAsia="zh-CN"/>
              </w:rPr>
              <w:t>邮编：536017</w:t>
            </w:r>
          </w:p>
          <w:p>
            <w:pPr>
              <w:spacing w:line="420" w:lineRule="exact"/>
              <w:rPr>
                <w:sz w:val="24"/>
                <w:lang w:eastAsia="zh-CN"/>
              </w:rPr>
            </w:pPr>
          </w:p>
          <w:p>
            <w:pPr>
              <w:adjustRightInd w:val="0"/>
              <w:snapToGrid w:val="0"/>
              <w:spacing w:line="420" w:lineRule="exact"/>
              <w:rPr>
                <w:sz w:val="24"/>
                <w:lang w:eastAsia="zh-CN"/>
              </w:rPr>
            </w:pPr>
            <w:r>
              <w:rPr>
                <w:sz w:val="24"/>
                <w:lang w:eastAsia="zh-CN"/>
              </w:rPr>
              <w:t>签订日期：</w:t>
            </w:r>
            <w:r>
              <w:rPr>
                <w:rFonts w:hint="eastAsia"/>
                <w:sz w:val="24"/>
                <w:lang w:eastAsia="zh-CN"/>
              </w:rPr>
              <w:t xml:space="preserve">     </w:t>
            </w:r>
            <w:r>
              <w:rPr>
                <w:sz w:val="24"/>
                <w:lang w:eastAsia="zh-CN"/>
              </w:rPr>
              <w:t>年   月    日</w:t>
            </w:r>
          </w:p>
        </w:tc>
        <w:tc>
          <w:tcPr>
            <w:tcW w:w="5176" w:type="dxa"/>
          </w:tcPr>
          <w:p>
            <w:pPr>
              <w:spacing w:line="420" w:lineRule="exact"/>
              <w:jc w:val="center"/>
              <w:rPr>
                <w:sz w:val="24"/>
                <w:lang w:eastAsia="zh-CN"/>
              </w:rPr>
            </w:pPr>
            <w:r>
              <w:rPr>
                <w:sz w:val="24"/>
                <w:lang w:eastAsia="zh-CN"/>
              </w:rPr>
              <w:t>乙方</w:t>
            </w:r>
          </w:p>
          <w:p>
            <w:pPr>
              <w:spacing w:line="420" w:lineRule="exact"/>
              <w:ind w:left="1200" w:hanging="1200" w:hangingChars="500"/>
              <w:rPr>
                <w:sz w:val="24"/>
                <w:lang w:eastAsia="zh-CN"/>
              </w:rPr>
            </w:pPr>
            <w:r>
              <w:rPr>
                <w:sz w:val="24"/>
                <w:lang w:eastAsia="zh-CN"/>
              </w:rPr>
              <w:t xml:space="preserve">单位名称： </w:t>
            </w:r>
          </w:p>
          <w:p>
            <w:pPr>
              <w:spacing w:line="420" w:lineRule="exact"/>
              <w:ind w:left="1200" w:hanging="1200" w:hangingChars="500"/>
              <w:rPr>
                <w:sz w:val="24"/>
                <w:lang w:eastAsia="zh-CN"/>
              </w:rPr>
            </w:pPr>
            <w:r>
              <w:rPr>
                <w:sz w:val="24"/>
                <w:lang w:eastAsia="zh-CN"/>
              </w:rPr>
              <w:t xml:space="preserve">单位地址： </w:t>
            </w:r>
          </w:p>
          <w:p>
            <w:pPr>
              <w:spacing w:line="420" w:lineRule="exact"/>
              <w:rPr>
                <w:sz w:val="24"/>
                <w:lang w:eastAsia="zh-CN"/>
              </w:rPr>
            </w:pPr>
          </w:p>
          <w:p>
            <w:pPr>
              <w:spacing w:line="420" w:lineRule="exact"/>
              <w:rPr>
                <w:sz w:val="24"/>
                <w:lang w:eastAsia="zh-CN"/>
              </w:rPr>
            </w:pPr>
            <w:r>
              <w:rPr>
                <w:sz w:val="24"/>
                <w:lang w:eastAsia="zh-CN"/>
              </w:rPr>
              <w:t>法定代表人：</w:t>
            </w:r>
          </w:p>
          <w:p>
            <w:pPr>
              <w:spacing w:line="420" w:lineRule="exact"/>
              <w:rPr>
                <w:sz w:val="24"/>
                <w:lang w:eastAsia="zh-CN"/>
              </w:rPr>
            </w:pPr>
            <w:r>
              <w:rPr>
                <w:sz w:val="24"/>
                <w:lang w:eastAsia="zh-CN"/>
              </w:rPr>
              <w:t>委托代理人：</w:t>
            </w:r>
          </w:p>
          <w:p>
            <w:pPr>
              <w:spacing w:line="420" w:lineRule="exact"/>
              <w:rPr>
                <w:sz w:val="24"/>
                <w:lang w:eastAsia="zh-CN"/>
              </w:rPr>
            </w:pPr>
            <w:r>
              <w:rPr>
                <w:sz w:val="24"/>
                <w:lang w:eastAsia="zh-CN"/>
              </w:rPr>
              <w:t>电话号码：</w:t>
            </w:r>
          </w:p>
          <w:p>
            <w:pPr>
              <w:spacing w:line="420" w:lineRule="exact"/>
              <w:rPr>
                <w:sz w:val="24"/>
                <w:lang w:eastAsia="zh-CN"/>
              </w:rPr>
            </w:pPr>
            <w:r>
              <w:rPr>
                <w:sz w:val="24"/>
                <w:lang w:eastAsia="zh-CN"/>
              </w:rPr>
              <w:t>传真号码：</w:t>
            </w:r>
          </w:p>
          <w:p>
            <w:pPr>
              <w:spacing w:line="420" w:lineRule="exact"/>
              <w:ind w:left="960" w:hanging="960" w:hangingChars="400"/>
              <w:rPr>
                <w:sz w:val="24"/>
                <w:lang w:eastAsia="zh-CN"/>
              </w:rPr>
            </w:pPr>
            <w:r>
              <w:rPr>
                <w:sz w:val="24"/>
                <w:lang w:eastAsia="zh-CN"/>
              </w:rPr>
              <w:t xml:space="preserve">开户行： </w:t>
            </w:r>
          </w:p>
          <w:p>
            <w:pPr>
              <w:spacing w:line="420" w:lineRule="exact"/>
              <w:rPr>
                <w:sz w:val="24"/>
                <w:lang w:eastAsia="zh-CN"/>
              </w:rPr>
            </w:pPr>
          </w:p>
          <w:p>
            <w:pPr>
              <w:spacing w:line="420" w:lineRule="exact"/>
              <w:rPr>
                <w:sz w:val="24"/>
                <w:lang w:eastAsia="zh-CN"/>
              </w:rPr>
            </w:pPr>
            <w:r>
              <w:rPr>
                <w:sz w:val="24"/>
                <w:lang w:eastAsia="zh-CN"/>
              </w:rPr>
              <w:t>帐号：</w:t>
            </w:r>
          </w:p>
          <w:p>
            <w:pPr>
              <w:spacing w:line="420" w:lineRule="exact"/>
              <w:rPr>
                <w:sz w:val="24"/>
                <w:lang w:eastAsia="zh-CN"/>
              </w:rPr>
            </w:pPr>
            <w:r>
              <w:rPr>
                <w:sz w:val="24"/>
                <w:lang w:eastAsia="zh-CN"/>
              </w:rPr>
              <w:t>税号：</w:t>
            </w:r>
          </w:p>
          <w:p>
            <w:pPr>
              <w:spacing w:line="420" w:lineRule="exact"/>
              <w:rPr>
                <w:sz w:val="24"/>
                <w:lang w:eastAsia="zh-CN"/>
              </w:rPr>
            </w:pPr>
            <w:r>
              <w:rPr>
                <w:sz w:val="24"/>
                <w:lang w:eastAsia="zh-CN"/>
              </w:rPr>
              <w:t>邮编：</w:t>
            </w:r>
          </w:p>
          <w:p>
            <w:pPr>
              <w:spacing w:line="420" w:lineRule="exact"/>
              <w:rPr>
                <w:sz w:val="24"/>
                <w:lang w:eastAsia="zh-CN"/>
              </w:rPr>
            </w:pPr>
            <w:r>
              <w:rPr>
                <w:sz w:val="24"/>
                <w:lang w:eastAsia="zh-CN"/>
              </w:rPr>
              <w:t>签订日期：</w:t>
            </w:r>
            <w:r>
              <w:rPr>
                <w:rFonts w:hint="eastAsia"/>
                <w:sz w:val="24"/>
                <w:lang w:eastAsia="zh-CN"/>
              </w:rPr>
              <w:t xml:space="preserve"> </w:t>
            </w:r>
            <w:r>
              <w:rPr>
                <w:sz w:val="24"/>
                <w:lang w:eastAsia="zh-CN"/>
              </w:rPr>
              <w:t xml:space="preserve">    年   月    日</w:t>
            </w:r>
          </w:p>
        </w:tc>
      </w:tr>
    </w:tbl>
    <w:p>
      <w:pPr>
        <w:keepNext/>
        <w:keepLines/>
        <w:rPr>
          <w:b/>
          <w:bCs/>
          <w:szCs w:val="21"/>
          <w:lang w:eastAsia="zh-CN"/>
        </w:rPr>
        <w:sectPr>
          <w:footerReference r:id="rId5" w:type="default"/>
          <w:pgSz w:w="11906" w:h="16838"/>
          <w:pgMar w:top="1418" w:right="1418" w:bottom="1418" w:left="1418" w:header="851" w:footer="992" w:gutter="0"/>
          <w:cols w:space="720" w:num="1"/>
          <w:docGrid w:linePitch="312" w:charSpace="0"/>
        </w:sectPr>
      </w:pPr>
    </w:p>
    <w:p>
      <w:pPr>
        <w:keepNext/>
        <w:keepLines/>
        <w:rPr>
          <w:b/>
          <w:sz w:val="24"/>
          <w:lang w:eastAsia="zh-CN"/>
        </w:rPr>
      </w:pPr>
      <w:r>
        <w:rPr>
          <w:b/>
          <w:sz w:val="24"/>
          <w:lang w:eastAsia="zh-CN"/>
        </w:rPr>
        <w:t>附件</w:t>
      </w:r>
      <w:r>
        <w:rPr>
          <w:rFonts w:hint="eastAsia"/>
          <w:b/>
          <w:sz w:val="24"/>
          <w:lang w:eastAsia="zh-CN"/>
        </w:rPr>
        <w:t>1</w:t>
      </w:r>
      <w:r>
        <w:rPr>
          <w:b/>
          <w:sz w:val="24"/>
          <w:lang w:eastAsia="zh-CN"/>
        </w:rPr>
        <w:t>：技术协议</w:t>
      </w:r>
    </w:p>
    <w:p>
      <w:pPr>
        <w:keepNext/>
        <w:keepLines/>
        <w:rPr>
          <w:rFonts w:eastAsia="仿宋_GB2312"/>
          <w:sz w:val="30"/>
          <w:szCs w:val="30"/>
          <w:lang w:eastAsia="zh-CN"/>
        </w:rPr>
      </w:pPr>
    </w:p>
    <w:p>
      <w:pPr>
        <w:pStyle w:val="4"/>
        <w:rPr>
          <w:snapToGrid/>
        </w:rPr>
      </w:pPr>
      <w:bookmarkStart w:id="111" w:name="_Toc171584070"/>
      <w:r>
        <w:rPr>
          <w:snapToGrid/>
        </w:rPr>
        <w:t>技术协议</w:t>
      </w:r>
      <w:bookmarkEnd w:id="111"/>
    </w:p>
    <w:p>
      <w:pPr>
        <w:tabs>
          <w:tab w:val="left" w:pos="8148"/>
        </w:tabs>
        <w:rPr>
          <w:b/>
          <w:bCs/>
          <w:sz w:val="24"/>
          <w:lang w:eastAsia="zh-CN"/>
        </w:rPr>
      </w:pPr>
      <w:r>
        <w:rPr>
          <w:b/>
          <w:bCs/>
          <w:sz w:val="24"/>
          <w:lang w:eastAsia="zh-CN"/>
        </w:rPr>
        <w:tab/>
      </w:r>
    </w:p>
    <w:p>
      <w:pPr>
        <w:rPr>
          <w:sz w:val="24"/>
          <w:lang w:eastAsia="zh-CN"/>
        </w:rPr>
      </w:pPr>
      <w:r>
        <w:rPr>
          <w:sz w:val="24"/>
          <w:lang w:eastAsia="zh-CN"/>
        </w:rPr>
        <w:t>甲方:中粮</w:t>
      </w:r>
      <w:r>
        <w:rPr>
          <w:rFonts w:hint="eastAsia"/>
          <w:sz w:val="24"/>
          <w:lang w:eastAsia="zh-CN"/>
        </w:rPr>
        <w:t>北海糖业</w:t>
      </w:r>
      <w:r>
        <w:rPr>
          <w:sz w:val="24"/>
          <w:lang w:eastAsia="zh-CN"/>
        </w:rPr>
        <w:t>有限公司</w:t>
      </w:r>
    </w:p>
    <w:p>
      <w:pPr>
        <w:spacing w:line="400" w:lineRule="exact"/>
        <w:rPr>
          <w:rFonts w:cs="仿宋_GB2312"/>
          <w:sz w:val="24"/>
          <w:u w:val="single"/>
          <w:lang w:eastAsia="zh-CN"/>
        </w:rPr>
      </w:pPr>
      <w:r>
        <w:rPr>
          <w:sz w:val="24"/>
          <w:lang w:eastAsia="zh-CN"/>
        </w:rPr>
        <w:t>乙方：</w:t>
      </w:r>
    </w:p>
    <w:p>
      <w:pPr>
        <w:spacing w:line="400" w:lineRule="exact"/>
        <w:ind w:firstLine="480" w:firstLineChars="200"/>
        <w:rPr>
          <w:sz w:val="24"/>
          <w:lang w:eastAsia="zh-CN"/>
        </w:rPr>
      </w:pPr>
      <w:r>
        <w:rPr>
          <w:rFonts w:cs="仿宋_GB2312"/>
          <w:sz w:val="24"/>
          <w:lang w:eastAsia="zh-CN"/>
        </w:rPr>
        <w:t>经双方充分协商，甲方委托乙方承接</w:t>
      </w:r>
      <w:r>
        <w:rPr>
          <w:rFonts w:hint="eastAsia" w:cs="仿宋_GB2312"/>
          <w:sz w:val="24"/>
          <w:u w:val="single"/>
          <w:lang w:eastAsia="zh-CN"/>
        </w:rPr>
        <w:t>中粮糖业甘蔗糖部2024年北海糖业制炼车间丙糖螺旋输送槽大修项目</w:t>
      </w:r>
      <w:r>
        <w:rPr>
          <w:sz w:val="24"/>
          <w:lang w:eastAsia="zh-CN"/>
        </w:rPr>
        <w:t>。为了更好地执行合同的相关条款，特制订本技术要求，以资双方共同遵照。</w:t>
      </w:r>
    </w:p>
    <w:p>
      <w:pPr>
        <w:autoSpaceDE/>
        <w:autoSpaceDN/>
        <w:spacing w:line="400" w:lineRule="exact"/>
        <w:ind w:left="482"/>
        <w:jc w:val="both"/>
        <w:rPr>
          <w:b/>
          <w:sz w:val="24"/>
          <w:lang w:eastAsia="zh-CN"/>
        </w:rPr>
      </w:pPr>
      <w:r>
        <w:rPr>
          <w:b/>
          <w:sz w:val="24"/>
          <w:lang w:eastAsia="zh-CN"/>
        </w:rPr>
        <w:t>第</w:t>
      </w:r>
      <w:r>
        <w:rPr>
          <w:rFonts w:hint="eastAsia"/>
          <w:b/>
          <w:sz w:val="24"/>
          <w:lang w:eastAsia="zh-CN"/>
        </w:rPr>
        <w:t>一</w:t>
      </w:r>
      <w:r>
        <w:rPr>
          <w:b/>
          <w:sz w:val="24"/>
          <w:lang w:eastAsia="zh-CN"/>
        </w:rPr>
        <w:t>条</w:t>
      </w:r>
      <w:r>
        <w:rPr>
          <w:rFonts w:hint="eastAsia"/>
          <w:b/>
          <w:sz w:val="24"/>
          <w:lang w:eastAsia="zh-CN"/>
        </w:rPr>
        <w:t>项目需求、供货安装范围及需求</w:t>
      </w:r>
    </w:p>
    <w:p>
      <w:pPr>
        <w:spacing w:line="400" w:lineRule="exact"/>
        <w:ind w:firstLine="480" w:firstLineChars="200"/>
        <w:rPr>
          <w:sz w:val="24"/>
          <w:lang w:eastAsia="zh-CN"/>
        </w:rPr>
      </w:pPr>
      <w:r>
        <w:rPr>
          <w:sz w:val="24"/>
          <w:lang w:eastAsia="zh-CN"/>
        </w:rPr>
        <w:t>1.</w:t>
      </w:r>
      <w:r>
        <w:rPr>
          <w:rFonts w:hint="eastAsia"/>
          <w:sz w:val="24"/>
          <w:lang w:eastAsia="zh-CN"/>
        </w:rPr>
        <w:t>项目需求：</w:t>
      </w:r>
    </w:p>
    <w:p>
      <w:pPr>
        <w:spacing w:line="400" w:lineRule="exact"/>
        <w:ind w:firstLine="480" w:firstLineChars="200"/>
        <w:rPr>
          <w:sz w:val="24"/>
          <w:lang w:eastAsia="zh-CN"/>
        </w:rPr>
      </w:pPr>
      <w:r>
        <w:rPr>
          <w:rFonts w:hint="eastAsia"/>
          <w:sz w:val="24"/>
          <w:lang w:eastAsia="zh-CN"/>
        </w:rPr>
        <w:t>(</w:t>
      </w:r>
      <w:r>
        <w:rPr>
          <w:sz w:val="24"/>
          <w:lang w:eastAsia="zh-CN"/>
        </w:rPr>
        <w:t>1)</w:t>
      </w:r>
      <w:r>
        <w:rPr>
          <w:rFonts w:hint="eastAsia"/>
          <w:sz w:val="24"/>
          <w:lang w:eastAsia="zh-CN"/>
        </w:rPr>
        <w:t>将3</w:t>
      </w:r>
      <w:r>
        <w:rPr>
          <w:sz w:val="24"/>
          <w:vertAlign w:val="superscript"/>
          <w:lang w:eastAsia="zh-CN"/>
        </w:rPr>
        <w:t>#</w:t>
      </w:r>
      <w:r>
        <w:rPr>
          <w:rFonts w:hint="eastAsia"/>
          <w:sz w:val="24"/>
          <w:lang w:eastAsia="zh-CN"/>
        </w:rPr>
        <w:t>、4</w:t>
      </w:r>
      <w:r>
        <w:rPr>
          <w:sz w:val="24"/>
          <w:vertAlign w:val="superscript"/>
          <w:lang w:eastAsia="zh-CN"/>
        </w:rPr>
        <w:t>#</w:t>
      </w:r>
      <w:r>
        <w:rPr>
          <w:rFonts w:hint="eastAsia"/>
          <w:sz w:val="24"/>
          <w:lang w:eastAsia="zh-CN"/>
        </w:rPr>
        <w:t>丙糖分蜜机底部的2</w:t>
      </w:r>
      <w:r>
        <w:rPr>
          <w:sz w:val="24"/>
          <w:vertAlign w:val="superscript"/>
          <w:lang w:eastAsia="zh-CN"/>
        </w:rPr>
        <w:t>#</w:t>
      </w:r>
      <w:r>
        <w:rPr>
          <w:rFonts w:hint="eastAsia"/>
          <w:sz w:val="24"/>
          <w:lang w:eastAsia="zh-CN"/>
        </w:rPr>
        <w:t>丙糖螺旋输送槽（L</w:t>
      </w:r>
      <w:r>
        <w:rPr>
          <w:sz w:val="24"/>
          <w:lang w:eastAsia="zh-CN"/>
        </w:rPr>
        <w:t>S500*9000</w:t>
      </w:r>
      <w:r>
        <w:rPr>
          <w:rFonts w:hint="eastAsia"/>
          <w:sz w:val="24"/>
          <w:lang w:eastAsia="zh-CN"/>
        </w:rPr>
        <w:t>mm）拆回乙方厂内（含立式助晶机糖膏泵阻挡到项目施工的回溶锅等设备、糖浆管和蒸汽管的保护性拆除和恢复安装，墙体拆除）。对螺旋输送槽的已经损坏的输送搅叶和主轴进行拆除，将9米长的螺旋输送槽改造为8米，重新设计安装输送搅叶和主轴，大修完成后运输到甲方厂内重新安装好。详见以下“</w:t>
      </w:r>
      <w:r>
        <w:rPr>
          <w:rFonts w:hint="eastAsia"/>
          <w:b/>
          <w:sz w:val="24"/>
          <w:lang w:eastAsia="zh-CN"/>
        </w:rPr>
        <w:t>项目材料供货、安装范围</w:t>
      </w:r>
      <w:r>
        <w:rPr>
          <w:rFonts w:hint="eastAsia"/>
          <w:sz w:val="24"/>
          <w:lang w:eastAsia="zh-CN"/>
        </w:rPr>
        <w:t>”。</w:t>
      </w:r>
    </w:p>
    <w:p>
      <w:pPr>
        <w:spacing w:line="400" w:lineRule="exact"/>
        <w:ind w:firstLine="482" w:firstLineChars="200"/>
        <w:rPr>
          <w:lang w:eastAsia="zh-CN"/>
        </w:rPr>
      </w:pPr>
      <w:r>
        <w:rPr>
          <w:rFonts w:hint="eastAsia"/>
          <w:b/>
          <w:sz w:val="24"/>
          <w:lang w:eastAsia="zh-CN"/>
        </w:rPr>
        <w:t>2</w:t>
      </w:r>
      <w:r>
        <w:rPr>
          <w:b/>
          <w:sz w:val="24"/>
          <w:lang w:eastAsia="zh-CN"/>
        </w:rPr>
        <w:t>.</w:t>
      </w:r>
      <w:r>
        <w:rPr>
          <w:rFonts w:hint="eastAsia"/>
          <w:b/>
          <w:sz w:val="24"/>
          <w:lang w:eastAsia="zh-CN"/>
        </w:rPr>
        <w:t>项目材料供货、安装范围</w:t>
      </w:r>
    </w:p>
    <w:tbl>
      <w:tblPr>
        <w:tblStyle w:val="31"/>
        <w:tblW w:w="5000" w:type="pct"/>
        <w:tblInd w:w="0" w:type="dxa"/>
        <w:tblLayout w:type="autofit"/>
        <w:tblCellMar>
          <w:top w:w="0" w:type="dxa"/>
          <w:left w:w="108" w:type="dxa"/>
          <w:bottom w:w="0" w:type="dxa"/>
          <w:right w:w="108" w:type="dxa"/>
        </w:tblCellMar>
      </w:tblPr>
      <w:tblGrid>
        <w:gridCol w:w="525"/>
        <w:gridCol w:w="2408"/>
        <w:gridCol w:w="1561"/>
        <w:gridCol w:w="567"/>
        <w:gridCol w:w="567"/>
        <w:gridCol w:w="4140"/>
      </w:tblGrid>
      <w:tr>
        <w:tblPrEx>
          <w:tblCellMar>
            <w:top w:w="0" w:type="dxa"/>
            <w:left w:w="108" w:type="dxa"/>
            <w:bottom w:w="0" w:type="dxa"/>
            <w:right w:w="108" w:type="dxa"/>
          </w:tblCellMar>
        </w:tblPrEx>
        <w:trPr>
          <w:trHeight w:val="615" w:hRule="atLeast"/>
          <w:tblHead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设备材料供货、安装范围</w:t>
            </w:r>
          </w:p>
        </w:tc>
      </w:tr>
      <w:tr>
        <w:tblPrEx>
          <w:tblCellMar>
            <w:top w:w="0" w:type="dxa"/>
            <w:left w:w="108" w:type="dxa"/>
            <w:bottom w:w="0" w:type="dxa"/>
            <w:right w:w="108" w:type="dxa"/>
          </w:tblCellMar>
        </w:tblPrEx>
        <w:trPr>
          <w:trHeight w:val="615" w:hRule="atLeast"/>
          <w:tblHeader/>
        </w:trPr>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序号</w:t>
            </w:r>
          </w:p>
        </w:tc>
        <w:tc>
          <w:tcPr>
            <w:tcW w:w="1233"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项目及材料名称</w:t>
            </w:r>
          </w:p>
        </w:tc>
        <w:tc>
          <w:tcPr>
            <w:tcW w:w="799"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规格型号</w:t>
            </w:r>
          </w:p>
        </w:tc>
        <w:tc>
          <w:tcPr>
            <w:tcW w:w="290"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单位</w:t>
            </w:r>
          </w:p>
        </w:tc>
        <w:tc>
          <w:tcPr>
            <w:tcW w:w="290"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数量</w:t>
            </w:r>
          </w:p>
        </w:tc>
        <w:tc>
          <w:tcPr>
            <w:tcW w:w="2119"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主要指标及技术要求</w:t>
            </w:r>
          </w:p>
        </w:tc>
      </w:tr>
      <w:tr>
        <w:tblPrEx>
          <w:tblCellMar>
            <w:top w:w="0" w:type="dxa"/>
            <w:left w:w="108" w:type="dxa"/>
            <w:bottom w:w="0" w:type="dxa"/>
            <w:right w:w="108" w:type="dxa"/>
          </w:tblCellMar>
        </w:tblPrEx>
        <w:trPr>
          <w:trHeight w:val="5045" w:hRule="atLeast"/>
        </w:trPr>
        <w:tc>
          <w:tcPr>
            <w:tcW w:w="269"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sz w:val="24"/>
                <w:szCs w:val="24"/>
                <w:lang w:eastAsia="zh-CN"/>
              </w:rPr>
              <w:t>1</w:t>
            </w:r>
          </w:p>
        </w:tc>
        <w:tc>
          <w:tcPr>
            <w:tcW w:w="1233"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丙糖螺旋输送槽大修</w:t>
            </w:r>
          </w:p>
        </w:tc>
        <w:tc>
          <w:tcPr>
            <w:tcW w:w="799"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L</w:t>
            </w:r>
            <w:r>
              <w:rPr>
                <w:sz w:val="24"/>
                <w:szCs w:val="24"/>
                <w:lang w:eastAsia="zh-CN"/>
              </w:rPr>
              <w:t>S500</w:t>
            </w:r>
          </w:p>
        </w:tc>
        <w:tc>
          <w:tcPr>
            <w:tcW w:w="290"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台</w:t>
            </w:r>
          </w:p>
        </w:tc>
        <w:tc>
          <w:tcPr>
            <w:tcW w:w="290"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1</w:t>
            </w:r>
          </w:p>
        </w:tc>
        <w:tc>
          <w:tcPr>
            <w:tcW w:w="2119" w:type="pct"/>
            <w:tcBorders>
              <w:top w:val="nil"/>
              <w:left w:val="nil"/>
              <w:bottom w:val="single" w:color="auto" w:sz="4" w:space="0"/>
              <w:right w:val="single" w:color="auto" w:sz="4" w:space="0"/>
            </w:tcBorders>
            <w:shd w:val="clear" w:color="auto" w:fill="auto"/>
            <w:vAlign w:val="center"/>
          </w:tcPr>
          <w:p>
            <w:pPr>
              <w:widowControl/>
              <w:autoSpaceDE/>
              <w:autoSpaceDN/>
              <w:rPr>
                <w:sz w:val="24"/>
                <w:szCs w:val="24"/>
                <w:lang w:eastAsia="zh-CN"/>
              </w:rPr>
            </w:pPr>
            <w:r>
              <w:rPr>
                <w:rFonts w:hint="eastAsia"/>
                <w:sz w:val="24"/>
                <w:szCs w:val="24"/>
                <w:lang w:eastAsia="zh-CN"/>
              </w:rPr>
              <w:t>1</w:t>
            </w:r>
            <w:r>
              <w:rPr>
                <w:sz w:val="24"/>
                <w:szCs w:val="24"/>
                <w:lang w:eastAsia="zh-CN"/>
              </w:rPr>
              <w:t>.</w:t>
            </w:r>
            <w:r>
              <w:rPr>
                <w:rFonts w:hint="eastAsia"/>
                <w:sz w:val="24"/>
                <w:szCs w:val="24"/>
                <w:lang w:eastAsia="zh-CN"/>
              </w:rPr>
              <w:t xml:space="preserve"> L</w:t>
            </w:r>
            <w:r>
              <w:rPr>
                <w:sz w:val="24"/>
                <w:szCs w:val="24"/>
                <w:lang w:eastAsia="zh-CN"/>
              </w:rPr>
              <w:t>S500*9000</w:t>
            </w:r>
            <w:r>
              <w:rPr>
                <w:rFonts w:hint="eastAsia"/>
                <w:sz w:val="24"/>
                <w:szCs w:val="24"/>
                <w:lang w:eastAsia="zh-CN"/>
              </w:rPr>
              <w:t>改造为L</w:t>
            </w:r>
            <w:r>
              <w:rPr>
                <w:sz w:val="24"/>
                <w:szCs w:val="24"/>
                <w:lang w:eastAsia="zh-CN"/>
              </w:rPr>
              <w:t>S500*8000mm</w:t>
            </w:r>
            <w:r>
              <w:rPr>
                <w:rFonts w:hint="eastAsia"/>
                <w:sz w:val="24"/>
                <w:szCs w:val="24"/>
                <w:lang w:eastAsia="zh-CN"/>
              </w:rPr>
              <w:t>。</w:t>
            </w:r>
          </w:p>
          <w:p>
            <w:pPr>
              <w:widowControl/>
              <w:autoSpaceDE/>
              <w:autoSpaceDN/>
              <w:rPr>
                <w:sz w:val="24"/>
                <w:szCs w:val="24"/>
                <w:lang w:eastAsia="zh-CN"/>
              </w:rPr>
            </w:pPr>
            <w:r>
              <w:rPr>
                <w:sz w:val="24"/>
                <w:szCs w:val="24"/>
                <w:lang w:eastAsia="zh-CN"/>
              </w:rPr>
              <w:t>2</w:t>
            </w:r>
            <w:r>
              <w:rPr>
                <w:rFonts w:hint="eastAsia"/>
                <w:sz w:val="24"/>
                <w:szCs w:val="24"/>
                <w:lang w:eastAsia="zh-CN"/>
              </w:rPr>
              <w:t>.主轴材质3</w:t>
            </w:r>
            <w:r>
              <w:rPr>
                <w:sz w:val="24"/>
                <w:szCs w:val="24"/>
                <w:lang w:eastAsia="zh-CN"/>
              </w:rPr>
              <w:t>04</w:t>
            </w:r>
            <w:r>
              <w:rPr>
                <w:rFonts w:hint="eastAsia"/>
                <w:sz w:val="24"/>
                <w:szCs w:val="24"/>
                <w:lang w:eastAsia="zh-CN"/>
              </w:rPr>
              <w:t>不锈钢管，管径≥φ2</w:t>
            </w:r>
            <w:r>
              <w:rPr>
                <w:sz w:val="24"/>
                <w:szCs w:val="24"/>
                <w:lang w:eastAsia="zh-CN"/>
              </w:rPr>
              <w:t>19</w:t>
            </w:r>
            <w:r>
              <w:rPr>
                <w:rFonts w:hint="eastAsia"/>
                <w:sz w:val="24"/>
                <w:szCs w:val="24"/>
                <w:lang w:eastAsia="zh-CN"/>
              </w:rPr>
              <w:t>，壁厚≥1</w:t>
            </w:r>
            <w:r>
              <w:rPr>
                <w:sz w:val="24"/>
                <w:szCs w:val="24"/>
                <w:lang w:eastAsia="zh-CN"/>
              </w:rPr>
              <w:t>0</w:t>
            </w:r>
            <w:r>
              <w:rPr>
                <w:rFonts w:hint="eastAsia"/>
                <w:sz w:val="24"/>
                <w:szCs w:val="24"/>
                <w:lang w:eastAsia="zh-CN"/>
              </w:rPr>
              <w:t>mm；如拼接需在内部进行加强处理。</w:t>
            </w:r>
          </w:p>
          <w:p>
            <w:pPr>
              <w:rPr>
                <w:sz w:val="24"/>
                <w:szCs w:val="24"/>
                <w:lang w:eastAsia="zh-CN"/>
              </w:rPr>
            </w:pPr>
            <w:r>
              <w:rPr>
                <w:sz w:val="24"/>
                <w:szCs w:val="24"/>
                <w:lang w:eastAsia="zh-CN"/>
              </w:rPr>
              <w:t>3.</w:t>
            </w:r>
            <w:r>
              <w:rPr>
                <w:rFonts w:hint="eastAsia"/>
                <w:sz w:val="24"/>
                <w:szCs w:val="24"/>
                <w:lang w:eastAsia="zh-CN"/>
              </w:rPr>
              <w:t>输送搅叶材质3</w:t>
            </w:r>
            <w:r>
              <w:rPr>
                <w:sz w:val="24"/>
                <w:szCs w:val="24"/>
                <w:lang w:eastAsia="zh-CN"/>
              </w:rPr>
              <w:t>04</w:t>
            </w:r>
            <w:r>
              <w:rPr>
                <w:rFonts w:hint="eastAsia"/>
                <w:sz w:val="24"/>
                <w:szCs w:val="24"/>
                <w:lang w:eastAsia="zh-CN"/>
              </w:rPr>
              <w:t>不锈钢，厚度≥5mm，搅叶与主轴焊接需双面焊接，施工符合《附件</w:t>
            </w:r>
            <w:r>
              <w:rPr>
                <w:sz w:val="24"/>
                <w:szCs w:val="24"/>
                <w:lang w:eastAsia="zh-CN"/>
              </w:rPr>
              <w:t>5：食品接触材料设备设施质量规范及安装要求</w:t>
            </w:r>
            <w:r>
              <w:rPr>
                <w:rFonts w:hint="eastAsia"/>
                <w:sz w:val="24"/>
                <w:szCs w:val="24"/>
                <w:lang w:eastAsia="zh-CN"/>
              </w:rPr>
              <w:t>》。</w:t>
            </w:r>
          </w:p>
          <w:p>
            <w:pPr>
              <w:rPr>
                <w:sz w:val="24"/>
                <w:szCs w:val="24"/>
                <w:lang w:eastAsia="zh-CN"/>
              </w:rPr>
            </w:pPr>
            <w:r>
              <w:rPr>
                <w:sz w:val="24"/>
                <w:szCs w:val="24"/>
                <w:lang w:eastAsia="zh-CN"/>
              </w:rPr>
              <w:t>4.</w:t>
            </w:r>
            <w:r>
              <w:rPr>
                <w:rFonts w:hint="eastAsia"/>
                <w:sz w:val="24"/>
                <w:szCs w:val="24"/>
                <w:lang w:eastAsia="zh-CN"/>
              </w:rPr>
              <w:t>输送搅叶螺距为4</w:t>
            </w:r>
            <w:r>
              <w:rPr>
                <w:sz w:val="24"/>
                <w:szCs w:val="24"/>
                <w:lang w:eastAsia="zh-CN"/>
              </w:rPr>
              <w:t>00</w:t>
            </w:r>
            <w:r>
              <w:rPr>
                <w:rFonts w:hint="eastAsia"/>
                <w:sz w:val="24"/>
                <w:szCs w:val="24"/>
                <w:lang w:eastAsia="zh-CN"/>
              </w:rPr>
              <w:t>mm，输送搅叶与输送槽底部间隙小于等于1</w:t>
            </w:r>
            <w:r>
              <w:rPr>
                <w:sz w:val="24"/>
                <w:szCs w:val="24"/>
                <w:lang w:eastAsia="zh-CN"/>
              </w:rPr>
              <w:t>5</w:t>
            </w:r>
            <w:r>
              <w:rPr>
                <w:rFonts w:hint="eastAsia"/>
                <w:sz w:val="24"/>
                <w:szCs w:val="24"/>
                <w:lang w:eastAsia="zh-CN"/>
              </w:rPr>
              <w:t>mm。</w:t>
            </w:r>
          </w:p>
          <w:p>
            <w:pPr>
              <w:pStyle w:val="2"/>
              <w:rPr>
                <w:rFonts w:hAnsi="宋体" w:cs="宋体"/>
                <w:kern w:val="0"/>
              </w:rPr>
            </w:pPr>
            <w:r>
              <w:rPr>
                <w:rFonts w:hAnsi="宋体" w:cs="宋体"/>
                <w:kern w:val="0"/>
              </w:rPr>
              <w:t>5</w:t>
            </w:r>
            <w:r>
              <w:rPr>
                <w:rFonts w:hint="eastAsia" w:hAnsi="宋体" w:cs="宋体"/>
                <w:kern w:val="0"/>
              </w:rPr>
              <w:t>.电机、减速机、轴承座利旧，轴承换新。</w:t>
            </w:r>
          </w:p>
        </w:tc>
      </w:tr>
    </w:tbl>
    <w:p>
      <w:pPr>
        <w:pStyle w:val="2"/>
        <w:rPr>
          <w:rFonts w:hAnsi="宋体" w:cs="宋体"/>
          <w:kern w:val="0"/>
          <w:sz w:val="22"/>
          <w:szCs w:val="21"/>
        </w:rPr>
      </w:pPr>
    </w:p>
    <w:p>
      <w:pPr>
        <w:pStyle w:val="3"/>
        <w:rPr>
          <w:lang w:eastAsia="zh-CN"/>
        </w:rPr>
      </w:pPr>
    </w:p>
    <w:p>
      <w:pPr>
        <w:rPr>
          <w:lang w:eastAsia="zh-CN"/>
        </w:rPr>
      </w:pPr>
    </w:p>
    <w:p>
      <w:pPr>
        <w:pStyle w:val="2"/>
      </w:pPr>
    </w:p>
    <w:p>
      <w:pPr>
        <w:pStyle w:val="3"/>
        <w:rPr>
          <w:lang w:eastAsia="zh-CN"/>
        </w:rPr>
      </w:pPr>
    </w:p>
    <w:p>
      <w:pPr>
        <w:pStyle w:val="3"/>
        <w:rPr>
          <w:lang w:eastAsia="zh-CN"/>
        </w:rPr>
      </w:pPr>
    </w:p>
    <w:p>
      <w:pPr>
        <w:autoSpaceDE/>
        <w:autoSpaceDN/>
        <w:spacing w:line="400" w:lineRule="exact"/>
        <w:ind w:firstLine="361" w:firstLineChars="150"/>
        <w:jc w:val="both"/>
        <w:rPr>
          <w:b/>
          <w:sz w:val="24"/>
          <w:lang w:eastAsia="zh-CN"/>
        </w:rPr>
      </w:pPr>
      <w:r>
        <w:rPr>
          <w:b/>
          <w:sz w:val="24"/>
          <w:lang w:eastAsia="zh-CN"/>
        </w:rPr>
        <w:t>第</w:t>
      </w:r>
      <w:r>
        <w:rPr>
          <w:rFonts w:hint="eastAsia"/>
          <w:b/>
          <w:sz w:val="24"/>
          <w:lang w:eastAsia="zh-CN"/>
        </w:rPr>
        <w:t>二</w:t>
      </w:r>
      <w:r>
        <w:rPr>
          <w:b/>
          <w:sz w:val="24"/>
          <w:lang w:eastAsia="zh-CN"/>
        </w:rPr>
        <w:t>条</w:t>
      </w:r>
      <w:r>
        <w:rPr>
          <w:rFonts w:hint="eastAsia"/>
          <w:b/>
          <w:sz w:val="24"/>
          <w:lang w:eastAsia="zh-CN"/>
        </w:rPr>
        <w:t>设备品牌/厂家</w:t>
      </w:r>
      <w:r>
        <w:rPr>
          <w:b/>
          <w:sz w:val="24"/>
          <w:lang w:eastAsia="zh-CN"/>
        </w:rPr>
        <w:t>要求</w:t>
      </w:r>
    </w:p>
    <w:p>
      <w:pPr>
        <w:pStyle w:val="2"/>
      </w:pPr>
    </w:p>
    <w:tbl>
      <w:tblPr>
        <w:tblStyle w:val="31"/>
        <w:tblW w:w="5000" w:type="pct"/>
        <w:tblInd w:w="0" w:type="dxa"/>
        <w:tblLayout w:type="autofit"/>
        <w:tblCellMar>
          <w:top w:w="0" w:type="dxa"/>
          <w:left w:w="108" w:type="dxa"/>
          <w:bottom w:w="0" w:type="dxa"/>
          <w:right w:w="108" w:type="dxa"/>
        </w:tblCellMar>
      </w:tblPr>
      <w:tblGrid>
        <w:gridCol w:w="533"/>
        <w:gridCol w:w="2411"/>
        <w:gridCol w:w="5529"/>
        <w:gridCol w:w="1295"/>
      </w:tblGrid>
      <w:tr>
        <w:tblPrEx>
          <w:tblCellMar>
            <w:top w:w="0" w:type="dxa"/>
            <w:left w:w="108" w:type="dxa"/>
            <w:bottom w:w="0" w:type="dxa"/>
            <w:right w:w="108" w:type="dxa"/>
          </w:tblCellMar>
        </w:tblPrEx>
        <w:trPr>
          <w:trHeight w:val="270" w:hRule="atLeast"/>
        </w:trPr>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序号</w:t>
            </w:r>
          </w:p>
        </w:tc>
        <w:tc>
          <w:tcPr>
            <w:tcW w:w="1234"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部件名称</w:t>
            </w:r>
          </w:p>
        </w:tc>
        <w:tc>
          <w:tcPr>
            <w:tcW w:w="2830"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材质、品牌/厂家</w:t>
            </w:r>
          </w:p>
        </w:tc>
        <w:tc>
          <w:tcPr>
            <w:tcW w:w="663"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备注</w:t>
            </w:r>
          </w:p>
        </w:tc>
      </w:tr>
      <w:tr>
        <w:tblPrEx>
          <w:tblCellMar>
            <w:top w:w="0" w:type="dxa"/>
            <w:left w:w="108" w:type="dxa"/>
            <w:bottom w:w="0" w:type="dxa"/>
            <w:right w:w="108" w:type="dxa"/>
          </w:tblCellMar>
        </w:tblPrEx>
        <w:trPr>
          <w:trHeight w:val="593" w:hRule="atLeast"/>
        </w:trPr>
        <w:tc>
          <w:tcPr>
            <w:tcW w:w="273"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1</w:t>
            </w:r>
          </w:p>
        </w:tc>
        <w:tc>
          <w:tcPr>
            <w:tcW w:w="1234"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不锈钢钢管</w:t>
            </w:r>
          </w:p>
        </w:tc>
        <w:tc>
          <w:tcPr>
            <w:tcW w:w="2830"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鞍钢、太钢、中国宝钢、深圳富诚达、天津大无缝等同等品牌</w:t>
            </w:r>
          </w:p>
        </w:tc>
        <w:tc>
          <w:tcPr>
            <w:tcW w:w="663"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r>
      <w:tr>
        <w:tblPrEx>
          <w:tblCellMar>
            <w:top w:w="0" w:type="dxa"/>
            <w:left w:w="108" w:type="dxa"/>
            <w:bottom w:w="0" w:type="dxa"/>
            <w:right w:w="108" w:type="dxa"/>
          </w:tblCellMar>
        </w:tblPrEx>
        <w:trPr>
          <w:trHeight w:val="397" w:hRule="atLeast"/>
        </w:trPr>
        <w:tc>
          <w:tcPr>
            <w:tcW w:w="273"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2</w:t>
            </w:r>
          </w:p>
        </w:tc>
        <w:tc>
          <w:tcPr>
            <w:tcW w:w="1234"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不锈钢板</w:t>
            </w:r>
          </w:p>
        </w:tc>
        <w:tc>
          <w:tcPr>
            <w:tcW w:w="2830"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宝钢、鞍钢、柳钢、太钢等同等质量品牌</w:t>
            </w:r>
          </w:p>
        </w:tc>
        <w:tc>
          <w:tcPr>
            <w:tcW w:w="663"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r>
      <w:tr>
        <w:tblPrEx>
          <w:tblCellMar>
            <w:top w:w="0" w:type="dxa"/>
            <w:left w:w="108" w:type="dxa"/>
            <w:bottom w:w="0" w:type="dxa"/>
            <w:right w:w="108" w:type="dxa"/>
          </w:tblCellMar>
        </w:tblPrEx>
        <w:trPr>
          <w:trHeight w:val="397" w:hRule="atLeast"/>
        </w:trPr>
        <w:tc>
          <w:tcPr>
            <w:tcW w:w="273"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3</w:t>
            </w:r>
          </w:p>
        </w:tc>
        <w:tc>
          <w:tcPr>
            <w:tcW w:w="1234"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rPr>
              <w:t>无缝钢管</w:t>
            </w:r>
          </w:p>
        </w:tc>
        <w:tc>
          <w:tcPr>
            <w:tcW w:w="2830"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r>
              <w:rPr>
                <w:rFonts w:hint="eastAsia"/>
                <w:sz w:val="24"/>
                <w:szCs w:val="24"/>
                <w:lang w:eastAsia="zh-CN"/>
              </w:rPr>
              <w:t>宝钢、鞍钢、柳钢、太钢等同等质量品牌</w:t>
            </w:r>
          </w:p>
        </w:tc>
        <w:tc>
          <w:tcPr>
            <w:tcW w:w="663"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r>
      <w:tr>
        <w:tblPrEx>
          <w:tblCellMar>
            <w:top w:w="0" w:type="dxa"/>
            <w:left w:w="108" w:type="dxa"/>
            <w:bottom w:w="0" w:type="dxa"/>
            <w:right w:w="108" w:type="dxa"/>
          </w:tblCellMar>
        </w:tblPrEx>
        <w:trPr>
          <w:trHeight w:val="397" w:hRule="atLeast"/>
        </w:trPr>
        <w:tc>
          <w:tcPr>
            <w:tcW w:w="273"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1234"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2830"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663"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r>
      <w:tr>
        <w:tblPrEx>
          <w:tblCellMar>
            <w:top w:w="0" w:type="dxa"/>
            <w:left w:w="108" w:type="dxa"/>
            <w:bottom w:w="0" w:type="dxa"/>
            <w:right w:w="108" w:type="dxa"/>
          </w:tblCellMar>
        </w:tblPrEx>
        <w:trPr>
          <w:trHeight w:val="397" w:hRule="atLeast"/>
        </w:trPr>
        <w:tc>
          <w:tcPr>
            <w:tcW w:w="273"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1234"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2830"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663" w:type="pct"/>
            <w:tcBorders>
              <w:top w:val="nil"/>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r>
      <w:tr>
        <w:tblPrEx>
          <w:tblCellMar>
            <w:top w:w="0" w:type="dxa"/>
            <w:left w:w="108" w:type="dxa"/>
            <w:bottom w:w="0" w:type="dxa"/>
            <w:right w:w="108" w:type="dxa"/>
          </w:tblCellMar>
        </w:tblPrEx>
        <w:trPr>
          <w:trHeight w:val="397" w:hRule="atLeast"/>
        </w:trPr>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1234"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2830"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c>
          <w:tcPr>
            <w:tcW w:w="663"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sz w:val="24"/>
                <w:szCs w:val="24"/>
                <w:lang w:eastAsia="zh-CN"/>
              </w:rPr>
            </w:pPr>
          </w:p>
        </w:tc>
      </w:tr>
    </w:tbl>
    <w:p>
      <w:pPr>
        <w:pStyle w:val="2"/>
        <w:rPr>
          <w:b/>
        </w:rPr>
      </w:pPr>
    </w:p>
    <w:p>
      <w:pPr>
        <w:spacing w:line="420" w:lineRule="exact"/>
        <w:ind w:firstLine="482" w:firstLineChars="200"/>
        <w:rPr>
          <w:b/>
          <w:sz w:val="24"/>
          <w:lang w:eastAsia="zh-CN"/>
        </w:rPr>
      </w:pPr>
      <w:r>
        <w:rPr>
          <w:b/>
          <w:sz w:val="24"/>
          <w:lang w:eastAsia="zh-CN"/>
        </w:rPr>
        <w:t>第</w:t>
      </w:r>
      <w:r>
        <w:rPr>
          <w:rFonts w:hint="eastAsia"/>
          <w:b/>
          <w:sz w:val="24"/>
          <w:lang w:eastAsia="zh-CN"/>
        </w:rPr>
        <w:t>三</w:t>
      </w:r>
      <w:r>
        <w:rPr>
          <w:b/>
          <w:sz w:val="24"/>
          <w:lang w:eastAsia="zh-CN"/>
        </w:rPr>
        <w:t>条</w:t>
      </w:r>
    </w:p>
    <w:p>
      <w:pPr>
        <w:spacing w:line="500" w:lineRule="exact"/>
        <w:ind w:firstLine="480" w:firstLineChars="200"/>
        <w:rPr>
          <w:sz w:val="24"/>
          <w:lang w:eastAsia="zh-CN"/>
        </w:rPr>
      </w:pPr>
      <w:r>
        <w:rPr>
          <w:rFonts w:hint="eastAsia"/>
          <w:sz w:val="24"/>
          <w:lang w:eastAsia="zh-CN"/>
        </w:rPr>
        <w:t>（一）制作安装及其它技术要求</w:t>
      </w:r>
    </w:p>
    <w:p>
      <w:pPr>
        <w:spacing w:line="500" w:lineRule="exact"/>
        <w:ind w:firstLine="480" w:firstLineChars="200"/>
        <w:rPr>
          <w:sz w:val="24"/>
          <w:lang w:eastAsia="zh-CN"/>
        </w:rPr>
      </w:pPr>
      <w:r>
        <w:rPr>
          <w:sz w:val="24"/>
          <w:lang w:eastAsia="zh-CN"/>
        </w:rPr>
        <w:t>1.制作安装应符合但不限于以下技术规范：</w:t>
      </w:r>
    </w:p>
    <w:p>
      <w:pPr>
        <w:spacing w:line="500" w:lineRule="exact"/>
        <w:ind w:firstLine="480" w:firstLineChars="200"/>
        <w:rPr>
          <w:sz w:val="24"/>
          <w:lang w:eastAsia="zh-CN"/>
        </w:rPr>
      </w:pPr>
      <w:r>
        <w:rPr>
          <w:sz w:val="24"/>
          <w:lang w:eastAsia="zh-CN"/>
        </w:rPr>
        <w:t>GB 16798《食品机械安全卫生》</w:t>
      </w:r>
    </w:p>
    <w:p>
      <w:pPr>
        <w:spacing w:line="500" w:lineRule="exact"/>
        <w:ind w:firstLine="480" w:firstLineChars="200"/>
        <w:rPr>
          <w:sz w:val="24"/>
          <w:lang w:eastAsia="zh-CN"/>
        </w:rPr>
      </w:pPr>
      <w:r>
        <w:rPr>
          <w:sz w:val="24"/>
          <w:lang w:eastAsia="zh-CN"/>
        </w:rPr>
        <w:t>QB/T2467《食品工业用不锈钢管》</w:t>
      </w:r>
    </w:p>
    <w:p>
      <w:pPr>
        <w:pStyle w:val="2"/>
        <w:spacing w:line="500" w:lineRule="exact"/>
      </w:pPr>
      <w:r>
        <w:rPr>
          <w:rFonts w:hint="eastAsia"/>
        </w:rPr>
        <w:t xml:space="preserve">    </w:t>
      </w:r>
      <w:r>
        <w:t>GBT21472</w:t>
      </w:r>
      <w:r>
        <w:rPr>
          <w:rFonts w:hint="eastAsia"/>
        </w:rPr>
        <w:t>《</w:t>
      </w:r>
      <w:r>
        <w:t>食品工业用不锈钢</w:t>
      </w:r>
      <w:r>
        <w:rPr>
          <w:rFonts w:hint="eastAsia"/>
        </w:rPr>
        <w:t>弯</w:t>
      </w:r>
      <w:r>
        <w:t>头和三通》</w:t>
      </w:r>
    </w:p>
    <w:p>
      <w:pPr>
        <w:pStyle w:val="2"/>
        <w:spacing w:line="500" w:lineRule="exact"/>
      </w:pPr>
      <w:r>
        <w:rPr>
          <w:rFonts w:hint="eastAsia"/>
        </w:rPr>
        <w:t xml:space="preserve">    </w:t>
      </w:r>
      <w:r>
        <w:rPr>
          <w:rFonts w:hint="eastAsia"/>
          <w:color w:val="FF0000"/>
          <w:highlight w:val="yellow"/>
        </w:rPr>
        <w:t>丙糖螺旋输送槽</w:t>
      </w:r>
      <w:r>
        <w:rPr>
          <w:color w:val="FF0000"/>
          <w:szCs w:val="21"/>
          <w:highlight w:val="yellow"/>
        </w:rPr>
        <w:t>与</w:t>
      </w:r>
      <w:r>
        <w:rPr>
          <w:rFonts w:hint="eastAsia"/>
          <w:color w:val="FF0000"/>
          <w:szCs w:val="21"/>
          <w:highlight w:val="yellow"/>
        </w:rPr>
        <w:t>丙糖（赤砂糖）</w:t>
      </w:r>
      <w:r>
        <w:rPr>
          <w:color w:val="FF0000"/>
          <w:highlight w:val="yellow"/>
        </w:rPr>
        <w:t>接触的</w:t>
      </w:r>
      <w:r>
        <w:rPr>
          <w:rFonts w:hint="eastAsia"/>
          <w:color w:val="FF0000"/>
          <w:highlight w:val="yellow"/>
        </w:rPr>
        <w:t>材料</w:t>
      </w:r>
      <w:r>
        <w:rPr>
          <w:color w:val="FF0000"/>
          <w:highlight w:val="yellow"/>
        </w:rPr>
        <w:t>均使用食品工业用不锈钢</w:t>
      </w:r>
      <w:r>
        <w:rPr>
          <w:rFonts w:hint="eastAsia"/>
          <w:color w:val="FF0000"/>
          <w:highlight w:val="yellow"/>
        </w:rPr>
        <w:t>，焊接</w:t>
      </w:r>
      <w:r>
        <w:rPr>
          <w:color w:val="FF0000"/>
          <w:highlight w:val="yellow"/>
        </w:rPr>
        <w:t>采用</w:t>
      </w:r>
      <w:r>
        <w:rPr>
          <w:rFonts w:hint="eastAsia"/>
          <w:color w:val="FF0000"/>
          <w:highlight w:val="yellow"/>
        </w:rPr>
        <w:t>双面</w:t>
      </w:r>
      <w:r>
        <w:rPr>
          <w:color w:val="FF0000"/>
          <w:highlight w:val="yellow"/>
        </w:rPr>
        <w:t>氩弧焊</w:t>
      </w:r>
      <w:r>
        <w:rPr>
          <w:rFonts w:hint="eastAsia"/>
          <w:color w:val="FF0000"/>
          <w:highlight w:val="yellow"/>
        </w:rPr>
        <w:t>焊接方</w:t>
      </w:r>
      <w:r>
        <w:rPr>
          <w:color w:val="FF0000"/>
          <w:highlight w:val="yellow"/>
        </w:rPr>
        <w:t>式</w:t>
      </w:r>
      <w:r>
        <w:rPr>
          <w:rFonts w:hint="eastAsia"/>
          <w:color w:val="FF0000"/>
          <w:highlight w:val="yellow"/>
        </w:rPr>
        <w:t>。与物料接触的管道安装、焊接等</w:t>
      </w:r>
      <w:r>
        <w:rPr>
          <w:rFonts w:hint="eastAsia"/>
        </w:rPr>
        <w:t>按合同附件五《食品接触材料设备设施质量规范及安装要求》制</w:t>
      </w:r>
      <w:r>
        <w:t>作，安装</w:t>
      </w:r>
      <w:r>
        <w:rPr>
          <w:rFonts w:hint="eastAsia"/>
        </w:rPr>
        <w:t>。</w:t>
      </w:r>
    </w:p>
    <w:p>
      <w:pPr>
        <w:spacing w:line="500" w:lineRule="exact"/>
        <w:ind w:firstLine="480" w:firstLineChars="200"/>
        <w:rPr>
          <w:sz w:val="24"/>
          <w:lang w:eastAsia="zh-CN"/>
        </w:rPr>
      </w:pPr>
      <w:r>
        <w:rPr>
          <w:sz w:val="24"/>
          <w:lang w:eastAsia="zh-CN"/>
        </w:rPr>
        <w:t>2.楼梯栏杆及平台护栏制作要求</w:t>
      </w:r>
    </w:p>
    <w:p>
      <w:pPr>
        <w:spacing w:line="500" w:lineRule="exact"/>
        <w:ind w:firstLine="480" w:firstLineChars="200"/>
        <w:rPr>
          <w:sz w:val="24"/>
          <w:lang w:eastAsia="zh-CN"/>
        </w:rPr>
      </w:pPr>
      <w:r>
        <w:rPr>
          <w:rFonts w:hint="eastAsia"/>
          <w:sz w:val="24"/>
          <w:lang w:eastAsia="zh-CN"/>
        </w:rPr>
        <w:t>防护栏、设备操作平台、过道楼梯、管架、及设备附属防护架、爬梯等的制作与就位、安装和制作标准具体见：</w:t>
      </w:r>
    </w:p>
    <w:p>
      <w:pPr>
        <w:spacing w:line="500" w:lineRule="exact"/>
        <w:ind w:firstLine="480" w:firstLineChars="200"/>
        <w:rPr>
          <w:sz w:val="24"/>
          <w:lang w:eastAsia="zh-CN"/>
        </w:rPr>
      </w:pPr>
      <w:r>
        <w:rPr>
          <w:sz w:val="24"/>
          <w:lang w:eastAsia="zh-CN"/>
        </w:rPr>
        <w:t>2.1《固定式钢梯及平台安全要求 第1部分：钢直梯》GB4053.1-2009</w:t>
      </w:r>
    </w:p>
    <w:p>
      <w:pPr>
        <w:spacing w:line="500" w:lineRule="exact"/>
        <w:ind w:firstLine="480" w:firstLineChars="200"/>
        <w:rPr>
          <w:sz w:val="24"/>
          <w:lang w:eastAsia="zh-CN"/>
        </w:rPr>
      </w:pPr>
      <w:r>
        <w:rPr>
          <w:sz w:val="24"/>
          <w:lang w:eastAsia="zh-CN"/>
        </w:rPr>
        <w:t>2.2《固定式钢梯及平台安全要求 第2部分：钢斜梯》GB4053.2-2009</w:t>
      </w:r>
    </w:p>
    <w:p>
      <w:pPr>
        <w:spacing w:line="500" w:lineRule="exact"/>
        <w:ind w:firstLine="480" w:firstLineChars="200"/>
        <w:rPr>
          <w:sz w:val="24"/>
          <w:lang w:eastAsia="zh-CN"/>
        </w:rPr>
      </w:pPr>
      <w:r>
        <w:rPr>
          <w:sz w:val="24"/>
          <w:lang w:eastAsia="zh-CN"/>
        </w:rPr>
        <w:t>2.3《固定式钢梯及平台安全要求 第3部分：工业防护栏杆及钢平台》GB4053.2-2009</w:t>
      </w:r>
    </w:p>
    <w:p>
      <w:pPr>
        <w:spacing w:line="500" w:lineRule="exact"/>
        <w:ind w:firstLine="480" w:firstLineChars="200"/>
        <w:rPr>
          <w:sz w:val="24"/>
          <w:lang w:eastAsia="zh-CN"/>
        </w:rPr>
      </w:pPr>
      <w:r>
        <w:rPr>
          <w:sz w:val="24"/>
          <w:lang w:eastAsia="zh-CN"/>
        </w:rPr>
        <w:t>3.设备主体的颜色规定：</w:t>
      </w:r>
    </w:p>
    <w:p>
      <w:pPr>
        <w:spacing w:line="500" w:lineRule="exact"/>
        <w:ind w:firstLine="480" w:firstLineChars="200"/>
        <w:rPr>
          <w:sz w:val="24"/>
          <w:lang w:eastAsia="zh-CN"/>
        </w:rPr>
      </w:pPr>
      <w:r>
        <w:rPr>
          <w:sz w:val="24"/>
          <w:lang w:eastAsia="zh-CN"/>
        </w:rPr>
        <w:t>3.1乙方提供货物按</w:t>
      </w:r>
      <w:r>
        <w:rPr>
          <w:rFonts w:hint="eastAsia"/>
          <w:sz w:val="24"/>
          <w:lang w:eastAsia="zh-CN"/>
        </w:rPr>
        <w:t>甲方</w:t>
      </w:r>
      <w:r>
        <w:rPr>
          <w:sz w:val="24"/>
          <w:lang w:eastAsia="zh-CN"/>
        </w:rPr>
        <w:t>的提供，具体详见“设备品牌/厂家要求”表。</w:t>
      </w:r>
    </w:p>
    <w:p>
      <w:pPr>
        <w:spacing w:line="500" w:lineRule="exact"/>
        <w:ind w:firstLine="360" w:firstLineChars="150"/>
        <w:rPr>
          <w:sz w:val="24"/>
          <w:lang w:eastAsia="zh-CN"/>
        </w:rPr>
      </w:pPr>
      <w:r>
        <w:rPr>
          <w:sz w:val="24"/>
          <w:lang w:eastAsia="zh-CN"/>
        </w:rPr>
        <w:t>3.2</w:t>
      </w:r>
      <w:r>
        <w:rPr>
          <w:rFonts w:hint="eastAsia"/>
          <w:sz w:val="24"/>
          <w:lang w:eastAsia="zh-CN"/>
        </w:rPr>
        <w:t>油</w:t>
      </w:r>
      <w:r>
        <w:rPr>
          <w:sz w:val="24"/>
          <w:lang w:eastAsia="zh-CN"/>
        </w:rPr>
        <w:t>漆：按工业管道的基本识别色、识别符号和安全标识(GB7231－2003)</w:t>
      </w:r>
      <w:r>
        <w:rPr>
          <w:rFonts w:hint="eastAsia"/>
          <w:sz w:val="24"/>
          <w:lang w:eastAsia="zh-CN"/>
        </w:rPr>
        <w:t>执行</w:t>
      </w:r>
      <w:r>
        <w:rPr>
          <w:sz w:val="24"/>
          <w:lang w:eastAsia="zh-CN"/>
        </w:rPr>
        <w:t>。</w:t>
      </w:r>
    </w:p>
    <w:p>
      <w:pPr>
        <w:spacing w:line="500" w:lineRule="exact"/>
        <w:ind w:firstLine="480" w:firstLineChars="200"/>
        <w:rPr>
          <w:sz w:val="24"/>
          <w:lang w:eastAsia="zh-CN"/>
        </w:rPr>
      </w:pPr>
      <w:r>
        <w:rPr>
          <w:rFonts w:hint="eastAsia"/>
          <w:sz w:val="24"/>
          <w:lang w:eastAsia="zh-CN"/>
        </w:rPr>
        <w:t>4．防腐要求：</w:t>
      </w:r>
    </w:p>
    <w:p>
      <w:pPr>
        <w:spacing w:line="500" w:lineRule="exact"/>
        <w:ind w:firstLine="480" w:firstLineChars="200"/>
        <w:rPr>
          <w:sz w:val="24"/>
          <w:lang w:eastAsia="zh-CN"/>
        </w:rPr>
      </w:pPr>
      <w:r>
        <w:rPr>
          <w:rFonts w:hint="eastAsia"/>
          <w:sz w:val="24"/>
          <w:lang w:eastAsia="zh-CN"/>
        </w:rPr>
        <w:t>4.1所使用的碳钢材料外层要进行除锈上油漆防腐处理。</w:t>
      </w:r>
    </w:p>
    <w:p>
      <w:pPr>
        <w:spacing w:line="500" w:lineRule="exact"/>
        <w:ind w:firstLine="480" w:firstLineChars="200"/>
        <w:rPr>
          <w:sz w:val="24"/>
          <w:lang w:eastAsia="zh-CN"/>
        </w:rPr>
      </w:pPr>
      <w:r>
        <w:rPr>
          <w:rFonts w:hint="eastAsia"/>
          <w:sz w:val="24"/>
          <w:lang w:eastAsia="zh-CN"/>
        </w:rPr>
        <w:t>4.2管道、箱体、机架外壁进行除锈，彻底清除表面浮锈、污杂物、焊渣等</w:t>
      </w:r>
    </w:p>
    <w:p>
      <w:pPr>
        <w:spacing w:line="500" w:lineRule="exact"/>
        <w:ind w:firstLine="480" w:firstLineChars="200"/>
        <w:rPr>
          <w:sz w:val="24"/>
          <w:lang w:eastAsia="zh-CN"/>
        </w:rPr>
      </w:pPr>
      <w:r>
        <w:rPr>
          <w:rFonts w:hint="eastAsia"/>
          <w:sz w:val="24"/>
          <w:lang w:eastAsia="zh-CN"/>
        </w:rPr>
        <w:t>4.3防腐结构为：两道环氧酚醛防腐底漆加一道面漆。</w:t>
      </w:r>
    </w:p>
    <w:p>
      <w:pPr>
        <w:spacing w:line="500" w:lineRule="exact"/>
        <w:ind w:firstLine="480" w:firstLineChars="200"/>
        <w:rPr>
          <w:sz w:val="24"/>
          <w:lang w:eastAsia="zh-CN"/>
        </w:rPr>
      </w:pPr>
      <w:r>
        <w:rPr>
          <w:rFonts w:hint="eastAsia"/>
          <w:sz w:val="24"/>
          <w:lang w:eastAsia="zh-CN"/>
        </w:rPr>
        <w:t>4.4防腐施工中，必须等前一道涂漆干透后，才能进行下一道涂漆。</w:t>
      </w:r>
    </w:p>
    <w:p>
      <w:pPr>
        <w:spacing w:line="500" w:lineRule="exact"/>
        <w:ind w:firstLine="480" w:firstLineChars="200"/>
        <w:rPr>
          <w:sz w:val="24"/>
          <w:lang w:eastAsia="zh-CN"/>
        </w:rPr>
      </w:pPr>
      <w:r>
        <w:rPr>
          <w:rFonts w:hint="eastAsia"/>
          <w:sz w:val="24"/>
          <w:lang w:eastAsia="zh-CN"/>
        </w:rPr>
        <w:t>5.施工过程中所产生的危化品、固废、建筑垃圾由中标方处理，办理好出门放行手续，处理时需要报备公司同意。</w:t>
      </w:r>
    </w:p>
    <w:p>
      <w:pPr>
        <w:spacing w:line="500" w:lineRule="exact"/>
        <w:ind w:firstLine="482" w:firstLineChars="200"/>
        <w:rPr>
          <w:lang w:eastAsia="zh-CN"/>
        </w:rPr>
      </w:pPr>
      <w:r>
        <w:rPr>
          <w:b/>
          <w:sz w:val="24"/>
          <w:lang w:eastAsia="zh-CN"/>
        </w:rPr>
        <w:t>第</w:t>
      </w:r>
      <w:r>
        <w:rPr>
          <w:rFonts w:hint="eastAsia"/>
          <w:b/>
          <w:sz w:val="24"/>
          <w:lang w:eastAsia="zh-CN"/>
        </w:rPr>
        <w:t>四</w:t>
      </w:r>
      <w:r>
        <w:rPr>
          <w:b/>
          <w:sz w:val="24"/>
          <w:lang w:eastAsia="zh-CN"/>
        </w:rPr>
        <w:t>条 设备验收</w:t>
      </w:r>
    </w:p>
    <w:p>
      <w:pPr>
        <w:adjustRightInd w:val="0"/>
        <w:snapToGrid w:val="0"/>
        <w:spacing w:line="500" w:lineRule="exact"/>
        <w:ind w:firstLine="440" w:firstLineChars="200"/>
        <w:rPr>
          <w:sz w:val="24"/>
          <w:lang w:eastAsia="zh-CN"/>
        </w:rPr>
      </w:pPr>
      <w:r>
        <w:rPr>
          <w:rFonts w:hint="eastAsia"/>
          <w:shd w:val="clear" w:color="auto" w:fill="FFFFFF"/>
          <w:lang w:eastAsia="zh-CN"/>
        </w:rPr>
        <w:t>（</w:t>
      </w:r>
      <w:r>
        <w:rPr>
          <w:rFonts w:hint="eastAsia"/>
          <w:sz w:val="24"/>
          <w:lang w:eastAsia="zh-CN"/>
        </w:rPr>
        <w:t>一）设备到货验收</w:t>
      </w:r>
    </w:p>
    <w:p>
      <w:pPr>
        <w:adjustRightInd w:val="0"/>
        <w:snapToGrid w:val="0"/>
        <w:spacing w:line="500" w:lineRule="exact"/>
        <w:ind w:firstLine="480" w:firstLineChars="200"/>
        <w:rPr>
          <w:sz w:val="24"/>
          <w:lang w:eastAsia="zh-CN"/>
        </w:rPr>
      </w:pPr>
      <w:r>
        <w:rPr>
          <w:rFonts w:hint="eastAsia"/>
          <w:sz w:val="24"/>
          <w:lang w:eastAsia="zh-CN"/>
        </w:rPr>
        <w:t>设备各部件运到甲方厂内后，按下表验收，明细如下：</w:t>
      </w:r>
    </w:p>
    <w:tbl>
      <w:tblPr>
        <w:tblStyle w:val="31"/>
        <w:tblW w:w="5000" w:type="pct"/>
        <w:tblInd w:w="0" w:type="dxa"/>
        <w:tblLayout w:type="autofit"/>
        <w:tblCellMar>
          <w:top w:w="0" w:type="dxa"/>
          <w:left w:w="108" w:type="dxa"/>
          <w:bottom w:w="0" w:type="dxa"/>
          <w:right w:w="108" w:type="dxa"/>
        </w:tblCellMar>
      </w:tblPr>
      <w:tblGrid>
        <w:gridCol w:w="1543"/>
        <w:gridCol w:w="4433"/>
        <w:gridCol w:w="3792"/>
      </w:tblGrid>
      <w:tr>
        <w:tblPrEx>
          <w:tblCellMar>
            <w:top w:w="0" w:type="dxa"/>
            <w:left w:w="108" w:type="dxa"/>
            <w:bottom w:w="0" w:type="dxa"/>
            <w:right w:w="108" w:type="dxa"/>
          </w:tblCellMar>
        </w:tblPrEx>
        <w:trPr>
          <w:trHeight w:val="276" w:hRule="atLeast"/>
        </w:trPr>
        <w:tc>
          <w:tcPr>
            <w:tcW w:w="790" w:type="pct"/>
            <w:tcBorders>
              <w:top w:val="single" w:color="auto" w:sz="4" w:space="0"/>
              <w:left w:val="single" w:color="auto" w:sz="4" w:space="0"/>
              <w:bottom w:val="single" w:color="auto" w:sz="4" w:space="0"/>
              <w:right w:val="single" w:color="auto" w:sz="4" w:space="0"/>
            </w:tcBorders>
            <w:vAlign w:val="center"/>
          </w:tcPr>
          <w:p>
            <w:pPr>
              <w:adjustRightInd w:val="0"/>
              <w:snapToGrid w:val="0"/>
              <w:rPr>
                <w:sz w:val="24"/>
                <w:szCs w:val="24"/>
              </w:rPr>
            </w:pPr>
            <w:r>
              <w:rPr>
                <w:rFonts w:hint="eastAsia"/>
                <w:sz w:val="24"/>
                <w:szCs w:val="24"/>
              </w:rPr>
              <w:t>验收内容</w:t>
            </w:r>
          </w:p>
        </w:tc>
        <w:tc>
          <w:tcPr>
            <w:tcW w:w="2269" w:type="pct"/>
            <w:tcBorders>
              <w:top w:val="single" w:color="auto" w:sz="4" w:space="0"/>
              <w:left w:val="nil"/>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验收标准</w:t>
            </w:r>
          </w:p>
        </w:tc>
        <w:tc>
          <w:tcPr>
            <w:tcW w:w="1941" w:type="pct"/>
            <w:tcBorders>
              <w:top w:val="single" w:color="auto" w:sz="4" w:space="0"/>
              <w:left w:val="nil"/>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验收方法</w:t>
            </w:r>
          </w:p>
        </w:tc>
      </w:tr>
      <w:tr>
        <w:tblPrEx>
          <w:tblCellMar>
            <w:top w:w="0" w:type="dxa"/>
            <w:left w:w="108" w:type="dxa"/>
            <w:bottom w:w="0" w:type="dxa"/>
            <w:right w:w="108" w:type="dxa"/>
          </w:tblCellMar>
        </w:tblPrEx>
        <w:trPr>
          <w:trHeight w:val="442" w:hRule="atLeast"/>
        </w:trPr>
        <w:tc>
          <w:tcPr>
            <w:tcW w:w="790" w:type="pct"/>
            <w:vMerge w:val="restart"/>
            <w:tcBorders>
              <w:top w:val="nil"/>
              <w:left w:val="single" w:color="auto" w:sz="4" w:space="0"/>
              <w:right w:val="single" w:color="auto" w:sz="4" w:space="0"/>
            </w:tcBorders>
            <w:vAlign w:val="center"/>
          </w:tcPr>
          <w:p>
            <w:pPr>
              <w:adjustRightInd w:val="0"/>
              <w:snapToGrid w:val="0"/>
              <w:jc w:val="center"/>
              <w:rPr>
                <w:sz w:val="24"/>
                <w:szCs w:val="24"/>
              </w:rPr>
            </w:pPr>
            <w:r>
              <w:rPr>
                <w:rFonts w:hint="eastAsia"/>
                <w:sz w:val="24"/>
                <w:szCs w:val="24"/>
              </w:rPr>
              <w:t>钢材</w:t>
            </w:r>
          </w:p>
        </w:tc>
        <w:tc>
          <w:tcPr>
            <w:tcW w:w="2269" w:type="pct"/>
            <w:tcBorders>
              <w:top w:val="single" w:color="auto" w:sz="4" w:space="0"/>
              <w:left w:val="nil"/>
              <w:bottom w:val="single" w:color="auto" w:sz="4" w:space="0"/>
              <w:right w:val="single" w:color="auto" w:sz="4" w:space="0"/>
            </w:tcBorders>
            <w:vAlign w:val="center"/>
          </w:tcPr>
          <w:p>
            <w:pPr>
              <w:adjustRightInd w:val="0"/>
              <w:snapToGrid w:val="0"/>
              <w:rPr>
                <w:sz w:val="24"/>
                <w:szCs w:val="24"/>
              </w:rPr>
            </w:pPr>
            <w:r>
              <w:rPr>
                <w:rFonts w:hint="eastAsia"/>
                <w:sz w:val="24"/>
                <w:szCs w:val="24"/>
              </w:rPr>
              <w:t>1.规格型号</w:t>
            </w:r>
          </w:p>
        </w:tc>
        <w:tc>
          <w:tcPr>
            <w:tcW w:w="1941" w:type="pct"/>
            <w:vMerge w:val="restart"/>
            <w:tcBorders>
              <w:top w:val="nil"/>
              <w:left w:val="single" w:color="auto" w:sz="4" w:space="0"/>
              <w:right w:val="single" w:color="auto" w:sz="4" w:space="0"/>
            </w:tcBorders>
            <w:vAlign w:val="center"/>
          </w:tcPr>
          <w:p>
            <w:pPr>
              <w:adjustRightInd w:val="0"/>
              <w:snapToGrid w:val="0"/>
              <w:rPr>
                <w:sz w:val="24"/>
                <w:szCs w:val="24"/>
                <w:lang w:eastAsia="zh-CN"/>
              </w:rPr>
            </w:pPr>
            <w:r>
              <w:rPr>
                <w:rFonts w:hint="eastAsia"/>
                <w:sz w:val="24"/>
                <w:szCs w:val="24"/>
                <w:lang w:eastAsia="zh-CN"/>
              </w:rPr>
              <w:t>1. 到货数量清单</w:t>
            </w:r>
          </w:p>
          <w:p>
            <w:pPr>
              <w:adjustRightInd w:val="0"/>
              <w:snapToGrid w:val="0"/>
              <w:rPr>
                <w:sz w:val="24"/>
                <w:szCs w:val="24"/>
                <w:lang w:eastAsia="zh-CN"/>
              </w:rPr>
            </w:pPr>
            <w:r>
              <w:rPr>
                <w:rFonts w:hint="eastAsia"/>
                <w:sz w:val="24"/>
                <w:szCs w:val="24"/>
                <w:lang w:eastAsia="zh-CN"/>
              </w:rPr>
              <w:t>2. 到货品牌验收</w:t>
            </w:r>
          </w:p>
          <w:p>
            <w:pPr>
              <w:adjustRightInd w:val="0"/>
              <w:snapToGrid w:val="0"/>
              <w:rPr>
                <w:sz w:val="24"/>
                <w:szCs w:val="24"/>
                <w:lang w:eastAsia="zh-CN"/>
              </w:rPr>
            </w:pPr>
            <w:r>
              <w:rPr>
                <w:rFonts w:hint="eastAsia"/>
                <w:sz w:val="24"/>
                <w:szCs w:val="24"/>
                <w:lang w:eastAsia="zh-CN"/>
              </w:rPr>
              <w:t>3.产品合格证书、质量证明书</w:t>
            </w:r>
          </w:p>
          <w:p>
            <w:pPr>
              <w:adjustRightInd w:val="0"/>
              <w:snapToGrid w:val="0"/>
              <w:rPr>
                <w:sz w:val="24"/>
                <w:szCs w:val="24"/>
                <w:lang w:eastAsia="zh-CN"/>
              </w:rPr>
            </w:pPr>
            <w:r>
              <w:rPr>
                <w:rFonts w:hint="eastAsia"/>
                <w:sz w:val="24"/>
                <w:szCs w:val="24"/>
                <w:lang w:eastAsia="zh-CN"/>
              </w:rPr>
              <w:t>4.现场测量</w:t>
            </w:r>
          </w:p>
          <w:p>
            <w:pPr>
              <w:adjustRightInd w:val="0"/>
              <w:snapToGrid w:val="0"/>
              <w:rPr>
                <w:sz w:val="24"/>
                <w:szCs w:val="24"/>
                <w:lang w:eastAsia="zh-CN"/>
              </w:rPr>
            </w:pPr>
            <w:r>
              <w:rPr>
                <w:rFonts w:hint="eastAsia"/>
                <w:sz w:val="24"/>
                <w:szCs w:val="24"/>
                <w:lang w:eastAsia="zh-CN"/>
              </w:rPr>
              <w:t>5.双方人员签字确认</w:t>
            </w:r>
          </w:p>
        </w:tc>
      </w:tr>
      <w:tr>
        <w:tblPrEx>
          <w:tblCellMar>
            <w:top w:w="0" w:type="dxa"/>
            <w:left w:w="108" w:type="dxa"/>
            <w:bottom w:w="0" w:type="dxa"/>
            <w:right w:w="108" w:type="dxa"/>
          </w:tblCellMar>
        </w:tblPrEx>
        <w:trPr>
          <w:trHeight w:val="351" w:hRule="atLeast"/>
        </w:trPr>
        <w:tc>
          <w:tcPr>
            <w:tcW w:w="790" w:type="pct"/>
            <w:vMerge w:val="continue"/>
            <w:tcBorders>
              <w:left w:val="single" w:color="auto" w:sz="4" w:space="0"/>
              <w:right w:val="single" w:color="auto" w:sz="4" w:space="0"/>
            </w:tcBorders>
            <w:vAlign w:val="center"/>
          </w:tcPr>
          <w:p>
            <w:pPr>
              <w:adjustRightInd w:val="0"/>
              <w:snapToGrid w:val="0"/>
              <w:rPr>
                <w:sz w:val="24"/>
                <w:szCs w:val="24"/>
                <w:lang w:eastAsia="zh-CN"/>
              </w:rPr>
            </w:pPr>
          </w:p>
        </w:tc>
        <w:tc>
          <w:tcPr>
            <w:tcW w:w="2269" w:type="pct"/>
            <w:tcBorders>
              <w:top w:val="single" w:color="auto" w:sz="4" w:space="0"/>
              <w:left w:val="nil"/>
              <w:bottom w:val="single" w:color="auto" w:sz="4" w:space="0"/>
              <w:right w:val="single" w:color="auto" w:sz="4" w:space="0"/>
            </w:tcBorders>
            <w:vAlign w:val="center"/>
          </w:tcPr>
          <w:p>
            <w:pPr>
              <w:adjustRightInd w:val="0"/>
              <w:snapToGrid w:val="0"/>
              <w:rPr>
                <w:sz w:val="24"/>
                <w:szCs w:val="24"/>
              </w:rPr>
            </w:pPr>
            <w:r>
              <w:rPr>
                <w:rFonts w:hint="eastAsia"/>
                <w:sz w:val="24"/>
                <w:szCs w:val="24"/>
              </w:rPr>
              <w:t>2.品牌</w:t>
            </w:r>
          </w:p>
        </w:tc>
        <w:tc>
          <w:tcPr>
            <w:tcW w:w="1941" w:type="pct"/>
            <w:vMerge w:val="continue"/>
            <w:tcBorders>
              <w:left w:val="single" w:color="auto" w:sz="4" w:space="0"/>
              <w:right w:val="single" w:color="auto" w:sz="4" w:space="0"/>
            </w:tcBorders>
            <w:vAlign w:val="center"/>
          </w:tcPr>
          <w:p>
            <w:pPr>
              <w:adjustRightInd w:val="0"/>
              <w:snapToGrid w:val="0"/>
              <w:rPr>
                <w:sz w:val="24"/>
                <w:szCs w:val="24"/>
              </w:rPr>
            </w:pPr>
          </w:p>
        </w:tc>
      </w:tr>
      <w:tr>
        <w:tblPrEx>
          <w:tblCellMar>
            <w:top w:w="0" w:type="dxa"/>
            <w:left w:w="108" w:type="dxa"/>
            <w:bottom w:w="0" w:type="dxa"/>
            <w:right w:w="108" w:type="dxa"/>
          </w:tblCellMar>
        </w:tblPrEx>
        <w:trPr>
          <w:trHeight w:val="539" w:hRule="atLeast"/>
        </w:trPr>
        <w:tc>
          <w:tcPr>
            <w:tcW w:w="790" w:type="pct"/>
            <w:vMerge w:val="continue"/>
            <w:tcBorders>
              <w:left w:val="single" w:color="auto" w:sz="4" w:space="0"/>
              <w:bottom w:val="single" w:color="auto" w:sz="4" w:space="0"/>
              <w:right w:val="single" w:color="auto" w:sz="4" w:space="0"/>
            </w:tcBorders>
            <w:vAlign w:val="center"/>
          </w:tcPr>
          <w:p>
            <w:pPr>
              <w:adjustRightInd w:val="0"/>
              <w:snapToGrid w:val="0"/>
              <w:rPr>
                <w:sz w:val="24"/>
                <w:szCs w:val="24"/>
              </w:rPr>
            </w:pPr>
          </w:p>
        </w:tc>
        <w:tc>
          <w:tcPr>
            <w:tcW w:w="2269" w:type="pct"/>
            <w:tcBorders>
              <w:top w:val="single" w:color="auto" w:sz="4" w:space="0"/>
              <w:left w:val="nil"/>
              <w:bottom w:val="single" w:color="auto" w:sz="4" w:space="0"/>
              <w:right w:val="single" w:color="auto" w:sz="4" w:space="0"/>
            </w:tcBorders>
            <w:vAlign w:val="center"/>
          </w:tcPr>
          <w:p>
            <w:pPr>
              <w:adjustRightInd w:val="0"/>
              <w:snapToGrid w:val="0"/>
              <w:rPr>
                <w:sz w:val="24"/>
                <w:szCs w:val="24"/>
              </w:rPr>
            </w:pPr>
            <w:r>
              <w:rPr>
                <w:rFonts w:hint="eastAsia"/>
                <w:sz w:val="24"/>
                <w:szCs w:val="24"/>
              </w:rPr>
              <w:t>3</w:t>
            </w:r>
            <w:r>
              <w:rPr>
                <w:sz w:val="24"/>
                <w:szCs w:val="24"/>
              </w:rPr>
              <w:t>.</w:t>
            </w:r>
            <w:r>
              <w:rPr>
                <w:rFonts w:hint="eastAsia"/>
                <w:sz w:val="24"/>
                <w:szCs w:val="24"/>
              </w:rPr>
              <w:t>包装无损坏；</w:t>
            </w:r>
          </w:p>
        </w:tc>
        <w:tc>
          <w:tcPr>
            <w:tcW w:w="1941" w:type="pct"/>
            <w:vMerge w:val="continue"/>
            <w:tcBorders>
              <w:left w:val="single" w:color="auto" w:sz="4" w:space="0"/>
              <w:bottom w:val="single" w:color="auto" w:sz="4" w:space="0"/>
              <w:right w:val="single" w:color="auto" w:sz="4" w:space="0"/>
            </w:tcBorders>
            <w:vAlign w:val="center"/>
          </w:tcPr>
          <w:p>
            <w:pPr>
              <w:adjustRightInd w:val="0"/>
              <w:snapToGrid w:val="0"/>
              <w:rPr>
                <w:sz w:val="24"/>
                <w:szCs w:val="24"/>
              </w:rPr>
            </w:pPr>
          </w:p>
        </w:tc>
      </w:tr>
    </w:tbl>
    <w:p>
      <w:pPr>
        <w:adjustRightInd w:val="0"/>
        <w:snapToGrid w:val="0"/>
        <w:spacing w:line="480" w:lineRule="exact"/>
        <w:ind w:firstLine="440" w:firstLineChars="200"/>
        <w:rPr>
          <w:shd w:val="clear" w:color="auto" w:fill="FFFFFF"/>
          <w:lang w:eastAsia="zh-CN"/>
        </w:rPr>
      </w:pPr>
      <w:r>
        <w:rPr>
          <w:rFonts w:hint="eastAsia"/>
          <w:shd w:val="clear" w:color="auto" w:fill="FFFFFF"/>
          <w:lang w:eastAsia="zh-CN"/>
        </w:rPr>
        <w:t>（二）竣工调试验收</w:t>
      </w:r>
    </w:p>
    <w:p>
      <w:pPr>
        <w:adjustRightInd w:val="0"/>
        <w:snapToGrid w:val="0"/>
        <w:spacing w:line="480" w:lineRule="exact"/>
        <w:ind w:firstLine="440" w:firstLineChars="200"/>
        <w:rPr>
          <w:shd w:val="clear" w:color="auto" w:fill="FFFFFF"/>
          <w:lang w:eastAsia="zh-CN"/>
        </w:rPr>
      </w:pPr>
      <w:r>
        <w:rPr>
          <w:rFonts w:hint="eastAsia"/>
          <w:shd w:val="clear" w:color="auto" w:fill="FFFFFF"/>
          <w:lang w:eastAsia="zh-CN"/>
        </w:rPr>
        <w:t>设备安装调试完毕后，按下表验收，明细如下：</w:t>
      </w:r>
    </w:p>
    <w:tbl>
      <w:tblPr>
        <w:tblStyle w:val="31"/>
        <w:tblW w:w="5000" w:type="pct"/>
        <w:tblInd w:w="0" w:type="dxa"/>
        <w:tblLayout w:type="autofit"/>
        <w:tblCellMar>
          <w:top w:w="0" w:type="dxa"/>
          <w:left w:w="108" w:type="dxa"/>
          <w:bottom w:w="0" w:type="dxa"/>
          <w:right w:w="108" w:type="dxa"/>
        </w:tblCellMar>
      </w:tblPr>
      <w:tblGrid>
        <w:gridCol w:w="1176"/>
        <w:gridCol w:w="4460"/>
        <w:gridCol w:w="4132"/>
      </w:tblGrid>
      <w:tr>
        <w:tblPrEx>
          <w:tblCellMar>
            <w:top w:w="0" w:type="dxa"/>
            <w:left w:w="108" w:type="dxa"/>
            <w:bottom w:w="0" w:type="dxa"/>
            <w:right w:w="108" w:type="dxa"/>
          </w:tblCellMar>
        </w:tblPrEx>
        <w:trPr>
          <w:trHeight w:val="504" w:hRule="atLeast"/>
        </w:trPr>
        <w:tc>
          <w:tcPr>
            <w:tcW w:w="602" w:type="pct"/>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r>
              <w:rPr>
                <w:sz w:val="24"/>
                <w:szCs w:val="24"/>
              </w:rPr>
              <w:t>验收内容</w:t>
            </w:r>
          </w:p>
        </w:tc>
        <w:tc>
          <w:tcPr>
            <w:tcW w:w="2283" w:type="pct"/>
            <w:tcBorders>
              <w:top w:val="single" w:color="auto" w:sz="4" w:space="0"/>
              <w:left w:val="nil"/>
              <w:bottom w:val="single" w:color="auto" w:sz="4" w:space="0"/>
              <w:right w:val="single" w:color="auto" w:sz="4" w:space="0"/>
            </w:tcBorders>
            <w:vAlign w:val="center"/>
          </w:tcPr>
          <w:p>
            <w:pPr>
              <w:widowControl/>
              <w:jc w:val="center"/>
              <w:rPr>
                <w:sz w:val="24"/>
                <w:szCs w:val="24"/>
              </w:rPr>
            </w:pPr>
            <w:r>
              <w:rPr>
                <w:sz w:val="24"/>
                <w:szCs w:val="24"/>
              </w:rPr>
              <w:t>验收标准</w:t>
            </w:r>
          </w:p>
        </w:tc>
        <w:tc>
          <w:tcPr>
            <w:tcW w:w="2115" w:type="pct"/>
            <w:tcBorders>
              <w:top w:val="single" w:color="auto" w:sz="4" w:space="0"/>
              <w:left w:val="nil"/>
              <w:bottom w:val="single" w:color="auto" w:sz="4" w:space="0"/>
              <w:right w:val="single" w:color="auto" w:sz="4" w:space="0"/>
            </w:tcBorders>
            <w:vAlign w:val="center"/>
          </w:tcPr>
          <w:p>
            <w:pPr>
              <w:widowControl/>
              <w:jc w:val="center"/>
              <w:rPr>
                <w:sz w:val="24"/>
                <w:szCs w:val="24"/>
              </w:rPr>
            </w:pPr>
            <w:r>
              <w:rPr>
                <w:sz w:val="24"/>
                <w:szCs w:val="24"/>
              </w:rPr>
              <w:t>验收方法</w:t>
            </w:r>
          </w:p>
        </w:tc>
      </w:tr>
      <w:tr>
        <w:tblPrEx>
          <w:tblCellMar>
            <w:top w:w="0" w:type="dxa"/>
            <w:left w:w="108" w:type="dxa"/>
            <w:bottom w:w="0" w:type="dxa"/>
            <w:right w:w="108" w:type="dxa"/>
          </w:tblCellMar>
        </w:tblPrEx>
        <w:trPr>
          <w:trHeight w:val="276" w:hRule="atLeast"/>
        </w:trPr>
        <w:tc>
          <w:tcPr>
            <w:tcW w:w="602" w:type="pct"/>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r>
              <w:rPr>
                <w:sz w:val="24"/>
                <w:szCs w:val="24"/>
              </w:rPr>
              <w:t>安装验收</w:t>
            </w:r>
          </w:p>
        </w:tc>
        <w:tc>
          <w:tcPr>
            <w:tcW w:w="2283" w:type="pct"/>
            <w:tcBorders>
              <w:top w:val="single" w:color="auto" w:sz="4" w:space="0"/>
              <w:left w:val="nil"/>
              <w:bottom w:val="single" w:color="auto" w:sz="4" w:space="0"/>
              <w:right w:val="single" w:color="auto" w:sz="4" w:space="0"/>
            </w:tcBorders>
            <w:vAlign w:val="center"/>
          </w:tcPr>
          <w:p>
            <w:pPr>
              <w:rPr>
                <w:sz w:val="24"/>
                <w:szCs w:val="24"/>
                <w:lang w:eastAsia="zh-CN"/>
              </w:rPr>
            </w:pPr>
            <w:r>
              <w:rPr>
                <w:sz w:val="24"/>
                <w:szCs w:val="24"/>
                <w:lang w:eastAsia="zh-CN"/>
              </w:rPr>
              <w:t>设备外观无开焊、裂纹、变形、凹陷，坚固螺栓齐全、无松动，系统严密无漏</w:t>
            </w:r>
            <w:r>
              <w:rPr>
                <w:rFonts w:hint="eastAsia"/>
                <w:sz w:val="24"/>
                <w:szCs w:val="24"/>
                <w:lang w:eastAsia="zh-CN"/>
              </w:rPr>
              <w:t>。</w:t>
            </w:r>
          </w:p>
        </w:tc>
        <w:tc>
          <w:tcPr>
            <w:tcW w:w="2115" w:type="pct"/>
            <w:tcBorders>
              <w:top w:val="single" w:color="auto" w:sz="4" w:space="0"/>
              <w:left w:val="nil"/>
              <w:bottom w:val="single" w:color="auto" w:sz="4" w:space="0"/>
              <w:right w:val="single" w:color="auto" w:sz="4" w:space="0"/>
            </w:tcBorders>
            <w:vAlign w:val="center"/>
          </w:tcPr>
          <w:p>
            <w:pPr>
              <w:widowControl/>
              <w:rPr>
                <w:sz w:val="24"/>
                <w:szCs w:val="24"/>
                <w:lang w:eastAsia="zh-CN"/>
              </w:rPr>
            </w:pPr>
            <w:r>
              <w:rPr>
                <w:sz w:val="24"/>
                <w:szCs w:val="24"/>
                <w:lang w:eastAsia="zh-CN"/>
              </w:rPr>
              <w:t>1.现场查看并拍照，照片不少于2张；</w:t>
            </w:r>
          </w:p>
          <w:p>
            <w:pPr>
              <w:widowControl/>
              <w:rPr>
                <w:sz w:val="24"/>
                <w:szCs w:val="24"/>
                <w:lang w:eastAsia="zh-CN"/>
              </w:rPr>
            </w:pPr>
            <w:r>
              <w:rPr>
                <w:sz w:val="24"/>
                <w:szCs w:val="24"/>
                <w:lang w:eastAsia="zh-CN"/>
              </w:rPr>
              <w:t>2.现场测量，主体设备要有《设备（零部件）验收表》</w:t>
            </w:r>
            <w:r>
              <w:rPr>
                <w:rFonts w:hint="eastAsia"/>
                <w:sz w:val="24"/>
                <w:szCs w:val="24"/>
                <w:lang w:eastAsia="zh-CN"/>
              </w:rPr>
              <w:t>，</w:t>
            </w:r>
            <w:r>
              <w:rPr>
                <w:rFonts w:hint="eastAsia"/>
                <w:lang w:eastAsia="zh-CN"/>
              </w:rPr>
              <w:t>按</w:t>
            </w:r>
            <w:r>
              <w:rPr>
                <w:rFonts w:hint="eastAsia"/>
                <w:sz w:val="24"/>
                <w:lang w:eastAsia="zh-CN"/>
              </w:rPr>
              <w:t>合同附件五</w:t>
            </w:r>
            <w:r>
              <w:rPr>
                <w:rFonts w:hint="eastAsia"/>
                <w:lang w:eastAsia="zh-CN"/>
              </w:rPr>
              <w:t>《</w:t>
            </w:r>
            <w:r>
              <w:rPr>
                <w:rFonts w:hint="eastAsia"/>
                <w:sz w:val="24"/>
                <w:lang w:eastAsia="zh-CN"/>
              </w:rPr>
              <w:t>食品接触材料设备设施质量规范及安装要求</w:t>
            </w:r>
            <w:r>
              <w:rPr>
                <w:rFonts w:hint="eastAsia"/>
                <w:lang w:eastAsia="zh-CN"/>
              </w:rPr>
              <w:t>》安</w:t>
            </w:r>
            <w:r>
              <w:rPr>
                <w:lang w:eastAsia="zh-CN"/>
              </w:rPr>
              <w:t>装</w:t>
            </w:r>
          </w:p>
        </w:tc>
      </w:tr>
      <w:tr>
        <w:tblPrEx>
          <w:tblCellMar>
            <w:top w:w="0" w:type="dxa"/>
            <w:left w:w="108" w:type="dxa"/>
            <w:bottom w:w="0" w:type="dxa"/>
            <w:right w:w="108" w:type="dxa"/>
          </w:tblCellMar>
        </w:tblPrEx>
        <w:trPr>
          <w:trHeight w:val="1101" w:hRule="atLeast"/>
        </w:trPr>
        <w:tc>
          <w:tcPr>
            <w:tcW w:w="602" w:type="pct"/>
            <w:vMerge w:val="restart"/>
            <w:tcBorders>
              <w:top w:val="nil"/>
              <w:left w:val="single" w:color="auto" w:sz="4" w:space="0"/>
              <w:right w:val="single" w:color="auto" w:sz="4" w:space="0"/>
            </w:tcBorders>
            <w:vAlign w:val="center"/>
          </w:tcPr>
          <w:p>
            <w:pPr>
              <w:widowControl/>
              <w:jc w:val="center"/>
              <w:rPr>
                <w:sz w:val="24"/>
                <w:szCs w:val="24"/>
              </w:rPr>
            </w:pPr>
            <w:r>
              <w:rPr>
                <w:sz w:val="24"/>
                <w:szCs w:val="24"/>
              </w:rPr>
              <w:t>中间验收</w:t>
            </w:r>
          </w:p>
        </w:tc>
        <w:tc>
          <w:tcPr>
            <w:tcW w:w="2283" w:type="pct"/>
            <w:tcBorders>
              <w:top w:val="nil"/>
              <w:left w:val="nil"/>
              <w:bottom w:val="single" w:color="auto" w:sz="4" w:space="0"/>
              <w:right w:val="single" w:color="auto" w:sz="4" w:space="0"/>
            </w:tcBorders>
            <w:vAlign w:val="center"/>
          </w:tcPr>
          <w:p>
            <w:pPr>
              <w:widowControl/>
              <w:rPr>
                <w:sz w:val="24"/>
                <w:szCs w:val="24"/>
                <w:lang w:eastAsia="zh-CN"/>
              </w:rPr>
            </w:pPr>
            <w:r>
              <w:rPr>
                <w:sz w:val="24"/>
                <w:szCs w:val="24"/>
                <w:lang w:eastAsia="zh-CN"/>
              </w:rPr>
              <w:t>焊缝验收：所有焊缝按照国家焊接标准GB985－1988、GB986－1988</w:t>
            </w:r>
            <w:r>
              <w:rPr>
                <w:rFonts w:hint="eastAsia"/>
                <w:sz w:val="24"/>
                <w:szCs w:val="24"/>
                <w:lang w:eastAsia="zh-CN"/>
              </w:rPr>
              <w:t>、GB50236-2011</w:t>
            </w:r>
            <w:r>
              <w:rPr>
                <w:sz w:val="24"/>
                <w:szCs w:val="24"/>
                <w:lang w:eastAsia="zh-CN"/>
              </w:rPr>
              <w:t>的要求进行验收，且焊缝必须平整，达到强度要求，并进行清理工作。</w:t>
            </w:r>
          </w:p>
        </w:tc>
        <w:tc>
          <w:tcPr>
            <w:tcW w:w="2115" w:type="pct"/>
            <w:vMerge w:val="restart"/>
            <w:tcBorders>
              <w:top w:val="nil"/>
              <w:left w:val="single" w:color="auto" w:sz="4" w:space="0"/>
              <w:right w:val="single" w:color="auto" w:sz="4" w:space="0"/>
            </w:tcBorders>
            <w:vAlign w:val="center"/>
          </w:tcPr>
          <w:p>
            <w:pPr>
              <w:widowControl/>
              <w:rPr>
                <w:sz w:val="24"/>
                <w:szCs w:val="24"/>
                <w:lang w:eastAsia="zh-CN"/>
              </w:rPr>
            </w:pPr>
            <w:r>
              <w:rPr>
                <w:sz w:val="24"/>
                <w:szCs w:val="24"/>
                <w:lang w:eastAsia="zh-CN"/>
              </w:rPr>
              <w:t>现场查看并拍照，照片不少于4张</w:t>
            </w:r>
            <w:r>
              <w:rPr>
                <w:rFonts w:hint="eastAsia"/>
                <w:sz w:val="24"/>
                <w:szCs w:val="24"/>
                <w:lang w:eastAsia="zh-CN"/>
              </w:rPr>
              <w:t>，</w:t>
            </w:r>
            <w:r>
              <w:rPr>
                <w:rFonts w:hint="eastAsia"/>
                <w:lang w:eastAsia="zh-CN"/>
              </w:rPr>
              <w:t>按</w:t>
            </w:r>
            <w:r>
              <w:rPr>
                <w:rFonts w:hint="eastAsia"/>
                <w:sz w:val="24"/>
                <w:lang w:eastAsia="zh-CN"/>
              </w:rPr>
              <w:t>合同附件五</w:t>
            </w:r>
            <w:r>
              <w:rPr>
                <w:rFonts w:hint="eastAsia"/>
                <w:lang w:eastAsia="zh-CN"/>
              </w:rPr>
              <w:t>《</w:t>
            </w:r>
            <w:r>
              <w:rPr>
                <w:rFonts w:hint="eastAsia"/>
                <w:sz w:val="24"/>
                <w:lang w:eastAsia="zh-CN"/>
              </w:rPr>
              <w:t>食品接触材料设备设施质量规范及安装要求</w:t>
            </w:r>
            <w:r>
              <w:rPr>
                <w:rFonts w:hint="eastAsia"/>
                <w:lang w:eastAsia="zh-CN"/>
              </w:rPr>
              <w:t>》</w:t>
            </w:r>
            <w:r>
              <w:rPr>
                <w:sz w:val="24"/>
                <w:szCs w:val="24"/>
                <w:lang w:eastAsia="zh-CN"/>
              </w:rPr>
              <w:t>验收</w:t>
            </w:r>
          </w:p>
        </w:tc>
      </w:tr>
      <w:tr>
        <w:tblPrEx>
          <w:tblCellMar>
            <w:top w:w="0" w:type="dxa"/>
            <w:left w:w="108" w:type="dxa"/>
            <w:bottom w:w="0" w:type="dxa"/>
            <w:right w:w="108" w:type="dxa"/>
          </w:tblCellMar>
        </w:tblPrEx>
        <w:trPr>
          <w:trHeight w:val="1117" w:hRule="atLeast"/>
        </w:trPr>
        <w:tc>
          <w:tcPr>
            <w:tcW w:w="602" w:type="pct"/>
            <w:vMerge w:val="continue"/>
            <w:tcBorders>
              <w:left w:val="single" w:color="auto" w:sz="4" w:space="0"/>
              <w:bottom w:val="single" w:color="auto" w:sz="4" w:space="0"/>
              <w:right w:val="single" w:color="auto" w:sz="4" w:space="0"/>
            </w:tcBorders>
            <w:vAlign w:val="center"/>
          </w:tcPr>
          <w:p>
            <w:pPr>
              <w:widowControl/>
              <w:jc w:val="center"/>
              <w:rPr>
                <w:sz w:val="24"/>
                <w:szCs w:val="24"/>
                <w:lang w:eastAsia="zh-CN"/>
              </w:rPr>
            </w:pPr>
          </w:p>
        </w:tc>
        <w:tc>
          <w:tcPr>
            <w:tcW w:w="2283" w:type="pct"/>
            <w:tcBorders>
              <w:top w:val="nil"/>
              <w:left w:val="nil"/>
              <w:bottom w:val="single" w:color="auto" w:sz="4" w:space="0"/>
              <w:right w:val="single" w:color="auto" w:sz="4" w:space="0"/>
            </w:tcBorders>
            <w:vAlign w:val="center"/>
          </w:tcPr>
          <w:p>
            <w:pPr>
              <w:widowControl/>
              <w:rPr>
                <w:sz w:val="24"/>
                <w:szCs w:val="24"/>
                <w:lang w:eastAsia="zh-CN"/>
              </w:rPr>
            </w:pPr>
            <w:r>
              <w:rPr>
                <w:sz w:val="24"/>
                <w:szCs w:val="24"/>
                <w:lang w:eastAsia="zh-CN"/>
              </w:rPr>
              <w:t>管路验收：施工过程中，管道安装必须整齐美观，符合规范，避免管道积液，管架必须牢固可靠</w:t>
            </w:r>
            <w:r>
              <w:rPr>
                <w:rFonts w:hint="eastAsia"/>
                <w:sz w:val="24"/>
                <w:szCs w:val="24"/>
                <w:lang w:eastAsia="zh-CN"/>
              </w:rPr>
              <w:t>。</w:t>
            </w:r>
          </w:p>
          <w:p>
            <w:pPr>
              <w:widowControl/>
              <w:rPr>
                <w:sz w:val="24"/>
                <w:szCs w:val="24"/>
                <w:lang w:eastAsia="zh-CN"/>
              </w:rPr>
            </w:pPr>
            <w:r>
              <w:rPr>
                <w:sz w:val="24"/>
                <w:szCs w:val="24"/>
                <w:lang w:eastAsia="zh-CN"/>
              </w:rPr>
              <w:t>阀门验收：施工过程中，阀门安装必须符合人体工程学要求，整齐美观，符合规范</w:t>
            </w:r>
            <w:r>
              <w:rPr>
                <w:rFonts w:hint="eastAsia"/>
                <w:sz w:val="24"/>
                <w:szCs w:val="24"/>
                <w:lang w:eastAsia="zh-CN"/>
              </w:rPr>
              <w:t xml:space="preserve">。                 </w:t>
            </w:r>
            <w:r>
              <w:rPr>
                <w:sz w:val="24"/>
                <w:szCs w:val="24"/>
                <w:lang w:eastAsia="zh-CN"/>
              </w:rPr>
              <w:t xml:space="preserve">                                  </w:t>
            </w:r>
            <w:r>
              <w:rPr>
                <w:rFonts w:hint="eastAsia"/>
                <w:sz w:val="24"/>
                <w:szCs w:val="24"/>
                <w:lang w:eastAsia="zh-CN"/>
              </w:rPr>
              <w:t>螺旋输送槽</w:t>
            </w:r>
            <w:r>
              <w:rPr>
                <w:sz w:val="24"/>
                <w:szCs w:val="24"/>
                <w:lang w:eastAsia="zh-CN"/>
              </w:rPr>
              <w:t>验收</w:t>
            </w:r>
            <w:r>
              <w:rPr>
                <w:rFonts w:hint="eastAsia"/>
                <w:sz w:val="24"/>
                <w:szCs w:val="24"/>
                <w:lang w:eastAsia="zh-CN"/>
              </w:rPr>
              <w:t>：</w:t>
            </w:r>
            <w:r>
              <w:rPr>
                <w:rFonts w:hint="eastAsia"/>
                <w:lang w:eastAsia="zh-CN"/>
              </w:rPr>
              <w:t>按</w:t>
            </w:r>
            <w:r>
              <w:rPr>
                <w:rFonts w:hint="eastAsia"/>
                <w:sz w:val="24"/>
                <w:lang w:eastAsia="zh-CN"/>
              </w:rPr>
              <w:t>合同附件五</w:t>
            </w:r>
            <w:r>
              <w:rPr>
                <w:rFonts w:hint="eastAsia"/>
                <w:lang w:eastAsia="zh-CN"/>
              </w:rPr>
              <w:t>《</w:t>
            </w:r>
            <w:r>
              <w:rPr>
                <w:rFonts w:hint="eastAsia"/>
                <w:sz w:val="24"/>
                <w:lang w:eastAsia="zh-CN"/>
              </w:rPr>
              <w:t>食品接触材料设备设施质量规范及安装要求</w:t>
            </w:r>
            <w:r>
              <w:rPr>
                <w:rFonts w:hint="eastAsia"/>
                <w:lang w:eastAsia="zh-CN"/>
              </w:rPr>
              <w:t>》</w:t>
            </w:r>
            <w:r>
              <w:rPr>
                <w:sz w:val="24"/>
                <w:szCs w:val="24"/>
                <w:lang w:eastAsia="zh-CN"/>
              </w:rPr>
              <w:t>验收</w:t>
            </w:r>
          </w:p>
        </w:tc>
        <w:tc>
          <w:tcPr>
            <w:tcW w:w="2115" w:type="pct"/>
            <w:vMerge w:val="continue"/>
            <w:tcBorders>
              <w:left w:val="single" w:color="auto" w:sz="4" w:space="0"/>
              <w:bottom w:val="single" w:color="auto" w:sz="4" w:space="0"/>
              <w:right w:val="single" w:color="auto" w:sz="4" w:space="0"/>
            </w:tcBorders>
            <w:vAlign w:val="center"/>
          </w:tcPr>
          <w:p>
            <w:pPr>
              <w:widowControl/>
              <w:jc w:val="center"/>
              <w:rPr>
                <w:sz w:val="24"/>
                <w:szCs w:val="24"/>
                <w:lang w:eastAsia="zh-CN"/>
              </w:rPr>
            </w:pPr>
          </w:p>
        </w:tc>
      </w:tr>
    </w:tbl>
    <w:p>
      <w:pPr>
        <w:spacing w:line="360" w:lineRule="exact"/>
        <w:ind w:firstLine="480" w:firstLineChars="200"/>
        <w:rPr>
          <w:sz w:val="24"/>
          <w:lang w:eastAsia="zh-CN"/>
        </w:rPr>
      </w:pPr>
      <w:r>
        <w:rPr>
          <w:rFonts w:hint="eastAsia"/>
          <w:sz w:val="24"/>
          <w:lang w:eastAsia="zh-CN"/>
        </w:rPr>
        <w:t>（三）运行</w:t>
      </w:r>
      <w:r>
        <w:rPr>
          <w:sz w:val="24"/>
          <w:lang w:eastAsia="zh-CN"/>
        </w:rPr>
        <w:t>验收</w:t>
      </w:r>
    </w:p>
    <w:p>
      <w:pPr>
        <w:spacing w:line="360" w:lineRule="exact"/>
        <w:ind w:firstLine="480" w:firstLineChars="200"/>
        <w:rPr>
          <w:sz w:val="24"/>
          <w:lang w:eastAsia="zh-CN"/>
        </w:rPr>
      </w:pPr>
      <w:r>
        <w:rPr>
          <w:sz w:val="24"/>
          <w:lang w:eastAsia="zh-CN"/>
        </w:rPr>
        <w:t>设备正常运行满</w:t>
      </w:r>
      <w:r>
        <w:rPr>
          <w:rFonts w:hint="eastAsia"/>
          <w:sz w:val="24"/>
          <w:lang w:eastAsia="zh-CN"/>
        </w:rPr>
        <w:t>一</w:t>
      </w:r>
      <w:r>
        <w:rPr>
          <w:sz w:val="24"/>
          <w:lang w:eastAsia="zh-CN"/>
        </w:rPr>
        <w:t>个月</w:t>
      </w:r>
      <w:r>
        <w:rPr>
          <w:rFonts w:hint="eastAsia"/>
          <w:sz w:val="24"/>
          <w:lang w:eastAsia="zh-CN"/>
        </w:rPr>
        <w:t>和一个榨季</w:t>
      </w:r>
      <w:r>
        <w:rPr>
          <w:sz w:val="24"/>
          <w:lang w:eastAsia="zh-CN"/>
        </w:rPr>
        <w:t>，</w:t>
      </w:r>
      <w:r>
        <w:rPr>
          <w:rFonts w:hint="eastAsia"/>
          <w:sz w:val="24"/>
          <w:lang w:eastAsia="zh-CN"/>
        </w:rPr>
        <w:t>达到本合同技术协议部分所设计的工艺、质量及其他使用要求</w:t>
      </w:r>
      <w:r>
        <w:rPr>
          <w:sz w:val="24"/>
          <w:lang w:eastAsia="zh-CN"/>
        </w:rPr>
        <w:t>。验收明细如下：</w:t>
      </w:r>
    </w:p>
    <w:p>
      <w:pPr>
        <w:pStyle w:val="2"/>
      </w:pPr>
    </w:p>
    <w:tbl>
      <w:tblPr>
        <w:tblStyle w:val="31"/>
        <w:tblW w:w="5154" w:type="pct"/>
        <w:tblInd w:w="-204" w:type="dxa"/>
        <w:tblLayout w:type="autofit"/>
        <w:tblCellMar>
          <w:top w:w="0" w:type="dxa"/>
          <w:left w:w="108" w:type="dxa"/>
          <w:bottom w:w="0" w:type="dxa"/>
          <w:right w:w="108" w:type="dxa"/>
        </w:tblCellMar>
      </w:tblPr>
      <w:tblGrid>
        <w:gridCol w:w="1260"/>
        <w:gridCol w:w="5610"/>
        <w:gridCol w:w="3199"/>
      </w:tblGrid>
      <w:tr>
        <w:tblPrEx>
          <w:tblCellMar>
            <w:top w:w="0" w:type="dxa"/>
            <w:left w:w="108" w:type="dxa"/>
            <w:bottom w:w="0" w:type="dxa"/>
            <w:right w:w="108" w:type="dxa"/>
          </w:tblCellMar>
        </w:tblPrEx>
        <w:trPr>
          <w:trHeight w:val="276" w:hRule="atLeast"/>
        </w:trPr>
        <w:tc>
          <w:tcPr>
            <w:tcW w:w="626" w:type="pct"/>
            <w:tcBorders>
              <w:top w:val="single" w:color="auto" w:sz="4" w:space="0"/>
              <w:left w:val="single" w:color="auto" w:sz="4" w:space="0"/>
              <w:bottom w:val="single" w:color="auto" w:sz="4" w:space="0"/>
              <w:right w:val="single" w:color="auto" w:sz="4" w:space="0"/>
            </w:tcBorders>
            <w:vAlign w:val="center"/>
          </w:tcPr>
          <w:p>
            <w:pPr>
              <w:adjustRightInd w:val="0"/>
              <w:snapToGrid w:val="0"/>
              <w:rPr>
                <w:sz w:val="24"/>
                <w:szCs w:val="24"/>
              </w:rPr>
            </w:pPr>
            <w:r>
              <w:rPr>
                <w:rFonts w:hint="eastAsia"/>
                <w:sz w:val="24"/>
                <w:szCs w:val="24"/>
              </w:rPr>
              <w:t>验收内容</w:t>
            </w:r>
          </w:p>
        </w:tc>
        <w:tc>
          <w:tcPr>
            <w:tcW w:w="2785" w:type="pct"/>
            <w:tcBorders>
              <w:top w:val="single" w:color="auto" w:sz="4" w:space="0"/>
              <w:left w:val="nil"/>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验收标准</w:t>
            </w:r>
          </w:p>
        </w:tc>
        <w:tc>
          <w:tcPr>
            <w:tcW w:w="1588" w:type="pct"/>
            <w:tcBorders>
              <w:top w:val="single" w:color="auto" w:sz="4" w:space="0"/>
              <w:left w:val="nil"/>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验收方法</w:t>
            </w:r>
          </w:p>
        </w:tc>
      </w:tr>
      <w:tr>
        <w:tblPrEx>
          <w:tblCellMar>
            <w:top w:w="0" w:type="dxa"/>
            <w:left w:w="108" w:type="dxa"/>
            <w:bottom w:w="0" w:type="dxa"/>
            <w:right w:w="108" w:type="dxa"/>
          </w:tblCellMar>
        </w:tblPrEx>
        <w:trPr>
          <w:trHeight w:val="276" w:hRule="atLeast"/>
        </w:trPr>
        <w:tc>
          <w:tcPr>
            <w:tcW w:w="626" w:type="pct"/>
            <w:tcBorders>
              <w:top w:val="nil"/>
              <w:left w:val="single" w:color="auto" w:sz="4" w:space="0"/>
              <w:bottom w:val="single" w:color="auto" w:sz="4" w:space="0"/>
              <w:right w:val="single" w:color="auto" w:sz="4" w:space="0"/>
            </w:tcBorders>
            <w:vAlign w:val="center"/>
          </w:tcPr>
          <w:p>
            <w:pPr>
              <w:adjustRightInd w:val="0"/>
              <w:snapToGrid w:val="0"/>
              <w:rPr>
                <w:sz w:val="24"/>
                <w:szCs w:val="24"/>
              </w:rPr>
            </w:pPr>
            <w:r>
              <w:rPr>
                <w:rFonts w:hint="eastAsia"/>
                <w:sz w:val="24"/>
                <w:szCs w:val="24"/>
              </w:rPr>
              <w:t>运行验收</w:t>
            </w:r>
          </w:p>
        </w:tc>
        <w:tc>
          <w:tcPr>
            <w:tcW w:w="2785" w:type="pct"/>
            <w:tcBorders>
              <w:top w:val="nil"/>
              <w:left w:val="nil"/>
              <w:bottom w:val="single" w:color="auto" w:sz="4" w:space="0"/>
              <w:right w:val="single" w:color="auto" w:sz="4" w:space="0"/>
            </w:tcBorders>
            <w:vAlign w:val="center"/>
          </w:tcPr>
          <w:p>
            <w:pPr>
              <w:widowControl/>
              <w:rPr>
                <w:sz w:val="24"/>
                <w:szCs w:val="24"/>
                <w:lang w:eastAsia="zh-CN"/>
              </w:rPr>
            </w:pPr>
            <w:r>
              <w:rPr>
                <w:sz w:val="24"/>
                <w:szCs w:val="24"/>
                <w:lang w:eastAsia="zh-CN"/>
              </w:rPr>
              <w:t>1.</w:t>
            </w:r>
            <w:r>
              <w:rPr>
                <w:rFonts w:hint="eastAsia"/>
                <w:sz w:val="24"/>
                <w:szCs w:val="24"/>
                <w:lang w:eastAsia="zh-CN"/>
              </w:rPr>
              <w:t>项目</w:t>
            </w:r>
            <w:r>
              <w:rPr>
                <w:sz w:val="24"/>
                <w:szCs w:val="24"/>
                <w:lang w:eastAsia="zh-CN"/>
              </w:rPr>
              <w:t>完成后，</w:t>
            </w:r>
            <w:r>
              <w:rPr>
                <w:rFonts w:hint="eastAsia"/>
                <w:sz w:val="24"/>
                <w:szCs w:val="24"/>
                <w:lang w:eastAsia="zh-CN"/>
              </w:rPr>
              <w:t>经运行检</w:t>
            </w:r>
            <w:r>
              <w:rPr>
                <w:sz w:val="24"/>
                <w:szCs w:val="24"/>
                <w:lang w:eastAsia="zh-CN"/>
              </w:rPr>
              <w:t>验，</w:t>
            </w:r>
            <w:r>
              <w:rPr>
                <w:rFonts w:hint="eastAsia"/>
                <w:sz w:val="24"/>
                <w:szCs w:val="24"/>
                <w:lang w:eastAsia="zh-CN"/>
              </w:rPr>
              <w:t>达</w:t>
            </w:r>
            <w:r>
              <w:rPr>
                <w:sz w:val="24"/>
                <w:szCs w:val="24"/>
                <w:lang w:eastAsia="zh-CN"/>
              </w:rPr>
              <w:t>到无泄漏，无开裂松脱。</w:t>
            </w:r>
          </w:p>
          <w:p>
            <w:pPr>
              <w:widowControl/>
              <w:rPr>
                <w:sz w:val="24"/>
                <w:szCs w:val="24"/>
                <w:lang w:eastAsia="zh-CN"/>
              </w:rPr>
            </w:pPr>
            <w:r>
              <w:rPr>
                <w:sz w:val="24"/>
                <w:szCs w:val="24"/>
                <w:lang w:eastAsia="zh-CN"/>
              </w:rPr>
              <w:t>2.质量达到设计要求</w:t>
            </w:r>
          </w:p>
        </w:tc>
        <w:tc>
          <w:tcPr>
            <w:tcW w:w="1588" w:type="pct"/>
            <w:tcBorders>
              <w:top w:val="nil"/>
              <w:left w:val="single" w:color="auto" w:sz="4" w:space="0"/>
              <w:bottom w:val="single" w:color="auto" w:sz="4" w:space="0"/>
              <w:right w:val="single" w:color="auto" w:sz="4" w:space="0"/>
            </w:tcBorders>
            <w:vAlign w:val="center"/>
          </w:tcPr>
          <w:p>
            <w:pPr>
              <w:adjustRightInd w:val="0"/>
              <w:snapToGrid w:val="0"/>
              <w:rPr>
                <w:sz w:val="24"/>
                <w:szCs w:val="24"/>
                <w:lang w:eastAsia="zh-CN"/>
              </w:rPr>
            </w:pPr>
            <w:r>
              <w:rPr>
                <w:rFonts w:hint="eastAsia"/>
                <w:sz w:val="24"/>
                <w:szCs w:val="24"/>
                <w:lang w:eastAsia="zh-CN"/>
              </w:rPr>
              <w:t>组织涉及到的生产、质量、安环部参与验收，并对测量数据填写在《项目验收表》</w:t>
            </w:r>
          </w:p>
        </w:tc>
      </w:tr>
    </w:tbl>
    <w:p>
      <w:pPr>
        <w:spacing w:line="360" w:lineRule="exact"/>
        <w:ind w:firstLine="480" w:firstLineChars="200"/>
        <w:rPr>
          <w:sz w:val="24"/>
          <w:lang w:eastAsia="zh-CN"/>
        </w:rPr>
      </w:pPr>
      <w:r>
        <w:rPr>
          <w:rFonts w:hint="eastAsia"/>
          <w:sz w:val="24"/>
          <w:lang w:eastAsia="zh-CN"/>
        </w:rPr>
        <w:t>（四）</w:t>
      </w:r>
      <w:r>
        <w:rPr>
          <w:sz w:val="24"/>
          <w:lang w:eastAsia="zh-CN"/>
        </w:rPr>
        <w:t>质保期验收</w:t>
      </w:r>
    </w:p>
    <w:p>
      <w:pPr>
        <w:spacing w:line="360" w:lineRule="exact"/>
        <w:ind w:firstLine="480" w:firstLineChars="200"/>
        <w:rPr>
          <w:sz w:val="24"/>
        </w:rPr>
      </w:pPr>
      <w:r>
        <w:rPr>
          <w:rFonts w:hint="eastAsia"/>
          <w:sz w:val="24"/>
          <w:lang w:eastAsia="zh-CN"/>
        </w:rPr>
        <w:t>竣工验收合格之日起12个月内，设备运行正常，无任何质量问题即为质保期验收合格。在质保期内出现问题应当彻底清扫缺陷后再按规范施工办法返修，返修后重新计算质保期。</w:t>
      </w:r>
      <w:r>
        <w:rPr>
          <w:sz w:val="24"/>
        </w:rPr>
        <w:t>验收明细如下：</w:t>
      </w:r>
    </w:p>
    <w:tbl>
      <w:tblPr>
        <w:tblStyle w:val="31"/>
        <w:tblW w:w="10185" w:type="dxa"/>
        <w:tblInd w:w="-249" w:type="dxa"/>
        <w:tblLayout w:type="autofit"/>
        <w:tblCellMar>
          <w:top w:w="0" w:type="dxa"/>
          <w:left w:w="108" w:type="dxa"/>
          <w:bottom w:w="0" w:type="dxa"/>
          <w:right w:w="108" w:type="dxa"/>
        </w:tblCellMar>
      </w:tblPr>
      <w:tblGrid>
        <w:gridCol w:w="1275"/>
        <w:gridCol w:w="4469"/>
        <w:gridCol w:w="4441"/>
      </w:tblGrid>
      <w:tr>
        <w:tblPrEx>
          <w:tblCellMar>
            <w:top w:w="0" w:type="dxa"/>
            <w:left w:w="108" w:type="dxa"/>
            <w:bottom w:w="0" w:type="dxa"/>
            <w:right w:w="108" w:type="dxa"/>
          </w:tblCellMar>
        </w:tblPrEx>
        <w:trPr>
          <w:trHeight w:val="285" w:hRule="atLeast"/>
        </w:trPr>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验收内容</w:t>
            </w:r>
          </w:p>
        </w:tc>
        <w:tc>
          <w:tcPr>
            <w:tcW w:w="4469" w:type="dxa"/>
            <w:tcBorders>
              <w:top w:val="single" w:color="auto" w:sz="4" w:space="0"/>
              <w:left w:val="nil"/>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验收标准</w:t>
            </w:r>
          </w:p>
        </w:tc>
        <w:tc>
          <w:tcPr>
            <w:tcW w:w="4441" w:type="dxa"/>
            <w:tcBorders>
              <w:top w:val="single" w:color="auto" w:sz="4" w:space="0"/>
              <w:left w:val="nil"/>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验收方法</w:t>
            </w:r>
          </w:p>
        </w:tc>
      </w:tr>
      <w:tr>
        <w:tblPrEx>
          <w:tblCellMar>
            <w:top w:w="0" w:type="dxa"/>
            <w:left w:w="108" w:type="dxa"/>
            <w:bottom w:w="0" w:type="dxa"/>
            <w:right w:w="108" w:type="dxa"/>
          </w:tblCellMar>
        </w:tblPrEx>
        <w:trPr>
          <w:trHeight w:val="1000" w:hRule="atLeast"/>
        </w:trPr>
        <w:tc>
          <w:tcPr>
            <w:tcW w:w="1275" w:type="dxa"/>
            <w:tcBorders>
              <w:top w:val="nil"/>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szCs w:val="24"/>
              </w:rPr>
              <w:t>质保验收</w:t>
            </w:r>
          </w:p>
        </w:tc>
        <w:tc>
          <w:tcPr>
            <w:tcW w:w="4469" w:type="dxa"/>
            <w:tcBorders>
              <w:top w:val="nil"/>
              <w:left w:val="nil"/>
              <w:bottom w:val="single" w:color="auto" w:sz="4" w:space="0"/>
              <w:right w:val="single" w:color="auto" w:sz="4" w:space="0"/>
            </w:tcBorders>
            <w:vAlign w:val="center"/>
          </w:tcPr>
          <w:p>
            <w:pPr>
              <w:widowControl/>
              <w:rPr>
                <w:sz w:val="24"/>
                <w:szCs w:val="24"/>
                <w:lang w:eastAsia="zh-CN"/>
              </w:rPr>
            </w:pPr>
            <w:r>
              <w:rPr>
                <w:sz w:val="24"/>
                <w:szCs w:val="24"/>
                <w:lang w:eastAsia="zh-CN"/>
              </w:rPr>
              <w:t>1.设备无泄漏，无开裂松脱。</w:t>
            </w:r>
          </w:p>
          <w:p>
            <w:pPr>
              <w:widowControl/>
              <w:rPr>
                <w:sz w:val="24"/>
                <w:szCs w:val="24"/>
                <w:lang w:eastAsia="zh-CN"/>
              </w:rPr>
            </w:pPr>
            <w:r>
              <w:rPr>
                <w:sz w:val="24"/>
                <w:szCs w:val="24"/>
                <w:lang w:eastAsia="zh-CN"/>
              </w:rPr>
              <w:t>2.质量达到设计要求</w:t>
            </w:r>
          </w:p>
        </w:tc>
        <w:tc>
          <w:tcPr>
            <w:tcW w:w="4441" w:type="dxa"/>
            <w:tcBorders>
              <w:top w:val="nil"/>
              <w:left w:val="single" w:color="auto" w:sz="4" w:space="0"/>
              <w:bottom w:val="single" w:color="auto" w:sz="4" w:space="0"/>
              <w:right w:val="single" w:color="auto" w:sz="4" w:space="0"/>
            </w:tcBorders>
            <w:vAlign w:val="center"/>
          </w:tcPr>
          <w:p>
            <w:pPr>
              <w:adjustRightInd w:val="0"/>
              <w:snapToGrid w:val="0"/>
              <w:rPr>
                <w:sz w:val="24"/>
                <w:szCs w:val="24"/>
                <w:lang w:eastAsia="zh-CN"/>
              </w:rPr>
            </w:pPr>
            <w:r>
              <w:rPr>
                <w:rFonts w:hint="eastAsia"/>
                <w:sz w:val="24"/>
                <w:szCs w:val="24"/>
                <w:lang w:eastAsia="zh-CN"/>
              </w:rPr>
              <w:t>1、现场查看并拍照密封系统的密封情况，照片不少于4张；</w:t>
            </w:r>
          </w:p>
          <w:p>
            <w:pPr>
              <w:adjustRightInd w:val="0"/>
              <w:snapToGrid w:val="0"/>
              <w:rPr>
                <w:sz w:val="24"/>
                <w:szCs w:val="24"/>
                <w:lang w:eastAsia="zh-CN"/>
              </w:rPr>
            </w:pPr>
            <w:r>
              <w:rPr>
                <w:rFonts w:hint="eastAsia"/>
                <w:sz w:val="24"/>
                <w:szCs w:val="24"/>
                <w:lang w:eastAsia="zh-CN"/>
              </w:rPr>
              <w:t>2、现场继续对设备进行运行情况验收，填写在《设备（零部件）验收表》</w:t>
            </w:r>
          </w:p>
        </w:tc>
      </w:tr>
    </w:tbl>
    <w:p>
      <w:pPr>
        <w:spacing w:line="360" w:lineRule="exact"/>
        <w:ind w:firstLine="480" w:firstLineChars="200"/>
        <w:rPr>
          <w:sz w:val="24"/>
          <w:lang w:eastAsia="zh-CN"/>
        </w:rPr>
      </w:pPr>
      <w:r>
        <w:rPr>
          <w:rFonts w:hint="eastAsia"/>
          <w:sz w:val="24"/>
          <w:lang w:eastAsia="zh-CN"/>
        </w:rPr>
        <w:t>（五）其他</w:t>
      </w:r>
    </w:p>
    <w:p>
      <w:pPr>
        <w:spacing w:line="360" w:lineRule="exact"/>
        <w:ind w:firstLine="480" w:firstLineChars="200"/>
        <w:rPr>
          <w:sz w:val="24"/>
          <w:lang w:eastAsia="zh-CN"/>
        </w:rPr>
      </w:pPr>
      <w:r>
        <w:rPr>
          <w:rFonts w:hint="eastAsia"/>
          <w:sz w:val="24"/>
          <w:lang w:eastAsia="zh-CN"/>
        </w:rPr>
        <w:t>未列出的验收要求，按国家有关标准进行验收。</w:t>
      </w:r>
    </w:p>
    <w:p>
      <w:pPr>
        <w:spacing w:line="420" w:lineRule="exact"/>
        <w:ind w:firstLine="482" w:firstLineChars="200"/>
        <w:rPr>
          <w:sz w:val="24"/>
          <w:lang w:eastAsia="zh-CN"/>
        </w:rPr>
      </w:pPr>
      <w:r>
        <w:rPr>
          <w:b/>
          <w:sz w:val="24"/>
          <w:lang w:eastAsia="zh-CN"/>
        </w:rPr>
        <w:t>第</w:t>
      </w:r>
      <w:r>
        <w:rPr>
          <w:rFonts w:hint="eastAsia"/>
          <w:b/>
          <w:sz w:val="24"/>
          <w:lang w:eastAsia="zh-CN"/>
        </w:rPr>
        <w:t>五</w:t>
      </w:r>
      <w:r>
        <w:rPr>
          <w:b/>
          <w:sz w:val="24"/>
          <w:lang w:eastAsia="zh-CN"/>
        </w:rPr>
        <w:t>条 乙方的技术服务</w:t>
      </w:r>
    </w:p>
    <w:p>
      <w:pPr>
        <w:spacing w:line="420" w:lineRule="exact"/>
        <w:ind w:firstLine="480" w:firstLineChars="200"/>
        <w:rPr>
          <w:sz w:val="24"/>
          <w:lang w:eastAsia="zh-CN"/>
        </w:rPr>
      </w:pPr>
      <w:r>
        <w:rPr>
          <w:rFonts w:hint="eastAsia"/>
          <w:sz w:val="24"/>
          <w:lang w:eastAsia="zh-CN"/>
        </w:rPr>
        <w:t>1.</w:t>
      </w:r>
      <w:r>
        <w:rPr>
          <w:sz w:val="24"/>
          <w:lang w:eastAsia="zh-CN"/>
        </w:rPr>
        <w:t>甲方对乙方提供的设备有疑问的，乙方负责24小时内给予答复及派人处理。</w:t>
      </w:r>
    </w:p>
    <w:p>
      <w:pPr>
        <w:spacing w:line="420" w:lineRule="exact"/>
        <w:ind w:firstLine="480" w:firstLineChars="200"/>
        <w:rPr>
          <w:sz w:val="24"/>
          <w:lang w:eastAsia="zh-CN"/>
        </w:rPr>
      </w:pPr>
      <w:r>
        <w:rPr>
          <w:rFonts w:hint="eastAsia"/>
          <w:sz w:val="24"/>
          <w:lang w:eastAsia="zh-CN"/>
        </w:rPr>
        <w:t>2.</w:t>
      </w:r>
      <w:r>
        <w:rPr>
          <w:sz w:val="24"/>
          <w:lang w:eastAsia="zh-CN"/>
        </w:rPr>
        <w:t>质保期内属制造方面的问题，乙方负责免费维修。</w:t>
      </w:r>
    </w:p>
    <w:p>
      <w:pPr>
        <w:adjustRightInd w:val="0"/>
        <w:snapToGrid w:val="0"/>
        <w:spacing w:line="480" w:lineRule="exact"/>
        <w:ind w:firstLine="482" w:firstLineChars="200"/>
        <w:rPr>
          <w:sz w:val="24"/>
          <w:lang w:eastAsia="zh-CN"/>
        </w:rPr>
      </w:pPr>
      <w:r>
        <w:rPr>
          <w:rFonts w:hint="eastAsia"/>
          <w:b/>
          <w:sz w:val="24"/>
          <w:lang w:eastAsia="zh-CN"/>
        </w:rPr>
        <w:t xml:space="preserve">第六条 </w:t>
      </w:r>
      <w:r>
        <w:rPr>
          <w:rFonts w:hint="eastAsia"/>
          <w:sz w:val="24"/>
          <w:lang w:eastAsia="zh-CN"/>
        </w:rPr>
        <w:t>本协议作为《</w:t>
      </w:r>
      <w:r>
        <w:rPr>
          <w:rFonts w:hint="eastAsia" w:cs="仿宋_GB2312"/>
          <w:sz w:val="24"/>
          <w:lang w:eastAsia="zh-CN"/>
        </w:rPr>
        <w:t>中粮糖业甘蔗糖部2024年北海糖业制炼车间丙糖螺旋输送槽大修项目</w:t>
      </w:r>
      <w:r>
        <w:rPr>
          <w:rFonts w:hint="eastAsia"/>
          <w:sz w:val="24"/>
          <w:lang w:eastAsia="zh-CN"/>
        </w:rPr>
        <w:t>合同》的附件，与购销合同具有同等的法律效力。本协议一式贰份，双方各执壹份；本协议自双方签字、盖章之日起生效；工程款付清后，本协议自动失效。</w:t>
      </w:r>
    </w:p>
    <w:p>
      <w:pPr>
        <w:spacing w:line="500" w:lineRule="exact"/>
        <w:ind w:left="5040" w:hanging="5040" w:hangingChars="2100"/>
        <w:rPr>
          <w:sz w:val="24"/>
          <w:lang w:eastAsia="zh-CN"/>
        </w:rPr>
      </w:pPr>
    </w:p>
    <w:p>
      <w:pPr>
        <w:spacing w:line="420" w:lineRule="exact"/>
        <w:ind w:firstLine="480" w:firstLineChars="200"/>
        <w:rPr>
          <w:sz w:val="24"/>
          <w:lang w:eastAsia="zh-CN"/>
        </w:rPr>
      </w:pPr>
      <w:r>
        <w:rPr>
          <w:rFonts w:hint="eastAsia"/>
          <w:sz w:val="24"/>
          <w:lang w:eastAsia="zh-CN"/>
        </w:rPr>
        <w:t>甲方(盖章)：中粮北海糖业有限公司    乙方(盖章)：</w:t>
      </w:r>
    </w:p>
    <w:p>
      <w:pPr>
        <w:spacing w:line="420" w:lineRule="exact"/>
        <w:ind w:firstLine="480" w:firstLineChars="200"/>
        <w:rPr>
          <w:sz w:val="24"/>
          <w:lang w:eastAsia="zh-CN"/>
        </w:rPr>
      </w:pPr>
    </w:p>
    <w:p>
      <w:pPr>
        <w:spacing w:line="420" w:lineRule="exact"/>
        <w:ind w:firstLine="480" w:firstLineChars="200"/>
        <w:rPr>
          <w:sz w:val="24"/>
          <w:lang w:eastAsia="zh-CN"/>
        </w:rPr>
      </w:pPr>
      <w:r>
        <w:rPr>
          <w:rFonts w:hint="eastAsia"/>
          <w:sz w:val="24"/>
          <w:lang w:eastAsia="zh-CN"/>
        </w:rPr>
        <w:t>企业负责人(签字)：                  企业负责人(签字)：　</w:t>
      </w:r>
    </w:p>
    <w:p>
      <w:pPr>
        <w:spacing w:line="420" w:lineRule="exact"/>
        <w:ind w:firstLine="480" w:firstLineChars="200"/>
        <w:rPr>
          <w:sz w:val="24"/>
          <w:lang w:eastAsia="zh-CN"/>
        </w:rPr>
      </w:pPr>
    </w:p>
    <w:p>
      <w:pPr>
        <w:spacing w:line="420" w:lineRule="exact"/>
        <w:ind w:firstLine="480" w:firstLineChars="200"/>
        <w:rPr>
          <w:sz w:val="24"/>
          <w:lang w:eastAsia="zh-CN"/>
        </w:rPr>
      </w:pPr>
      <w:r>
        <w:rPr>
          <w:rFonts w:hint="eastAsia"/>
          <w:sz w:val="24"/>
          <w:lang w:eastAsia="zh-CN"/>
        </w:rPr>
        <w:t>或者委托代理人(签字) ：             或者委托代理人(签字)：</w:t>
      </w:r>
    </w:p>
    <w:p>
      <w:pPr>
        <w:spacing w:line="420" w:lineRule="exact"/>
        <w:ind w:firstLine="480" w:firstLineChars="200"/>
        <w:rPr>
          <w:sz w:val="24"/>
          <w:lang w:eastAsia="zh-CN"/>
        </w:rPr>
      </w:pPr>
    </w:p>
    <w:p>
      <w:pPr>
        <w:spacing w:line="420" w:lineRule="exact"/>
        <w:ind w:firstLine="480" w:firstLineChars="200"/>
        <w:rPr>
          <w:sz w:val="24"/>
        </w:rPr>
      </w:pPr>
      <w:r>
        <w:rPr>
          <w:rFonts w:hint="eastAsia"/>
          <w:sz w:val="24"/>
        </w:rPr>
        <w:t>日期：       年   月   日          日期：       年    月    日</w:t>
      </w:r>
    </w:p>
    <w:p>
      <w:pPr>
        <w:rPr>
          <w:b/>
          <w:bCs/>
          <w:sz w:val="24"/>
          <w:lang w:eastAsia="zh-CN"/>
        </w:rPr>
      </w:pPr>
      <w:r>
        <w:rPr>
          <w:b/>
          <w:bCs/>
          <w:sz w:val="24"/>
          <w:lang w:eastAsia="zh-CN"/>
        </w:rPr>
        <w:br w:type="page"/>
      </w:r>
    </w:p>
    <w:p>
      <w:pPr>
        <w:rPr>
          <w:rFonts w:ascii="仿宋" w:hAnsi="仿宋" w:eastAsia="仿宋" w:cs="仿宋"/>
          <w:b/>
          <w:sz w:val="24"/>
          <w:szCs w:val="24"/>
          <w:lang w:eastAsia="zh-CN"/>
        </w:rPr>
      </w:pPr>
      <w:r>
        <w:rPr>
          <w:b/>
          <w:sz w:val="24"/>
          <w:lang w:eastAsia="zh-CN"/>
        </w:rPr>
        <w:t>附件</w:t>
      </w:r>
      <w:r>
        <w:rPr>
          <w:rFonts w:hint="eastAsia"/>
          <w:b/>
          <w:sz w:val="24"/>
          <w:lang w:eastAsia="zh-CN"/>
        </w:rPr>
        <w:t>2</w:t>
      </w:r>
      <w:r>
        <w:rPr>
          <w:b/>
          <w:sz w:val="24"/>
          <w:lang w:eastAsia="zh-CN"/>
        </w:rPr>
        <w:t>：</w:t>
      </w:r>
    </w:p>
    <w:p>
      <w:pPr>
        <w:spacing w:line="500" w:lineRule="exact"/>
        <w:jc w:val="center"/>
        <w:rPr>
          <w:b/>
          <w:bCs/>
          <w:sz w:val="36"/>
          <w:szCs w:val="36"/>
          <w:lang w:eastAsia="zh-CN"/>
        </w:rPr>
      </w:pPr>
      <w:r>
        <w:rPr>
          <w:rFonts w:hint="eastAsia"/>
          <w:b/>
          <w:bCs/>
          <w:sz w:val="36"/>
          <w:szCs w:val="36"/>
          <w:lang w:eastAsia="zh-CN"/>
        </w:rPr>
        <w:t>廉洁协议</w:t>
      </w:r>
    </w:p>
    <w:p>
      <w:pPr>
        <w:spacing w:line="480" w:lineRule="exact"/>
        <w:ind w:firstLine="600" w:firstLineChars="200"/>
        <w:rPr>
          <w:rFonts w:ascii="Times New Roman" w:hAnsi="Times New Roman" w:eastAsia="仿宋_GB2312" w:cs="Times New Roman"/>
          <w:sz w:val="30"/>
          <w:szCs w:val="30"/>
          <w:lang w:eastAsia="zh-CN"/>
        </w:rPr>
      </w:pPr>
    </w:p>
    <w:p>
      <w:pPr>
        <w:spacing w:line="400" w:lineRule="exact"/>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项目名称：</w:t>
      </w:r>
      <w:r>
        <w:rPr>
          <w:rFonts w:hint="eastAsia" w:cs="仿宋_GB2312"/>
          <w:sz w:val="24"/>
          <w:u w:val="single"/>
          <w:lang w:eastAsia="zh-CN"/>
        </w:rPr>
        <w:t>2024年北海糖业制炼车间丙糖螺旋输送槽大修项目</w:t>
      </w:r>
    </w:p>
    <w:p>
      <w:pPr>
        <w:spacing w:line="400" w:lineRule="exact"/>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甲   方：中粮</w:t>
      </w:r>
      <w:r>
        <w:rPr>
          <w:rFonts w:hint="eastAsia" w:cs="Times New Roman" w:asciiTheme="minorEastAsia" w:hAnsiTheme="minorEastAsia" w:eastAsiaTheme="minorEastAsia"/>
          <w:sz w:val="24"/>
          <w:szCs w:val="24"/>
          <w:lang w:eastAsia="zh-CN"/>
        </w:rPr>
        <w:t>北海糖业</w:t>
      </w:r>
      <w:r>
        <w:rPr>
          <w:rFonts w:cs="Times New Roman" w:asciiTheme="minorEastAsia" w:hAnsiTheme="minorEastAsia" w:eastAsiaTheme="minorEastAsia"/>
          <w:sz w:val="24"/>
          <w:szCs w:val="24"/>
          <w:lang w:eastAsia="zh-CN"/>
        </w:rPr>
        <w:t>有限公司</w:t>
      </w:r>
    </w:p>
    <w:p>
      <w:pPr>
        <w:spacing w:line="400" w:lineRule="exact"/>
        <w:rPr>
          <w:rFonts w:cs="Times New Roman" w:asciiTheme="minorEastAsia" w:hAnsiTheme="minorEastAsia" w:eastAsiaTheme="minorEastAsia"/>
          <w:sz w:val="24"/>
          <w:szCs w:val="24"/>
          <w:u w:val="single"/>
          <w:lang w:eastAsia="zh-CN"/>
        </w:rPr>
      </w:pPr>
      <w:r>
        <w:rPr>
          <w:rFonts w:cs="Times New Roman" w:asciiTheme="minorEastAsia" w:hAnsiTheme="minorEastAsia" w:eastAsiaTheme="minorEastAsia"/>
          <w:sz w:val="24"/>
          <w:szCs w:val="24"/>
          <w:lang w:eastAsia="zh-CN"/>
        </w:rPr>
        <w:t>乙   方：</w:t>
      </w:r>
      <w:r>
        <w:rPr>
          <w:rFonts w:cs="Times New Roman" w:asciiTheme="minorEastAsia" w:hAnsiTheme="minorEastAsia" w:eastAsiaTheme="minorEastAsia"/>
          <w:sz w:val="24"/>
          <w:szCs w:val="24"/>
          <w:u w:val="single"/>
          <w:lang w:eastAsia="zh-CN"/>
        </w:rPr>
        <w:t xml:space="preserve">                    </w:t>
      </w:r>
    </w:p>
    <w:p>
      <w:pPr>
        <w:spacing w:line="400" w:lineRule="exact"/>
        <w:ind w:firstLine="480" w:firstLineChars="200"/>
        <w:rPr>
          <w:rFonts w:cs="Times New Roman" w:asciiTheme="minorEastAsia" w:hAnsiTheme="minorEastAsia" w:eastAsiaTheme="minorEastAsia"/>
          <w:sz w:val="24"/>
          <w:szCs w:val="24"/>
          <w:lang w:eastAsia="zh-CN"/>
        </w:rPr>
      </w:pPr>
    </w:p>
    <w:p>
      <w:pPr>
        <w:adjustRightInd w:val="0"/>
        <w:spacing w:line="480" w:lineRule="exact"/>
        <w:ind w:firstLine="480" w:firstLineChars="200"/>
        <w:rPr>
          <w:sz w:val="24"/>
          <w:lang w:eastAsia="zh-CN"/>
        </w:rPr>
      </w:pPr>
      <w:r>
        <w:rPr>
          <w:rFonts w:cs="Times New Roman" w:asciiTheme="minorEastAsia" w:hAnsiTheme="minorEastAsia" w:eastAsiaTheme="minorEastAsia"/>
          <w:sz w:val="24"/>
          <w:szCs w:val="24"/>
          <w:lang w:eastAsia="zh-CN"/>
        </w:rPr>
        <w:t>为规范</w:t>
      </w:r>
      <w:r>
        <w:rPr>
          <w:rFonts w:cs="Times New Roman" w:asciiTheme="minorEastAsia" w:hAnsiTheme="minorEastAsia" w:eastAsiaTheme="minorEastAsia"/>
          <w:sz w:val="24"/>
          <w:szCs w:val="24"/>
          <w:u w:val="single"/>
          <w:lang w:eastAsia="zh-CN"/>
        </w:rPr>
        <w:t xml:space="preserve"> </w:t>
      </w:r>
      <w:r>
        <w:rPr>
          <w:rFonts w:hint="eastAsia" w:cs="仿宋_GB2312"/>
          <w:sz w:val="24"/>
          <w:u w:val="single"/>
          <w:lang w:eastAsia="zh-CN"/>
        </w:rPr>
        <w:t>2024年北海糖业制炼车间丙糖螺旋输送槽大修项目</w:t>
      </w:r>
      <w:r>
        <w:rPr>
          <w:rFonts w:hint="eastAsia"/>
          <w:sz w:val="24"/>
          <w:lang w:eastAsia="zh-CN"/>
        </w:rPr>
        <w:t>的招、投标工作，防止违法违纪事件的发生，经甲方、乙方协商同意，双方将严格执行以下条款。</w:t>
      </w:r>
    </w:p>
    <w:p>
      <w:pPr>
        <w:adjustRightInd w:val="0"/>
        <w:spacing w:line="480" w:lineRule="exact"/>
        <w:ind w:firstLine="480" w:firstLineChars="200"/>
        <w:rPr>
          <w:sz w:val="24"/>
          <w:lang w:eastAsia="zh-CN"/>
        </w:rPr>
      </w:pPr>
      <w:r>
        <w:rPr>
          <w:rFonts w:hint="eastAsia"/>
          <w:sz w:val="24"/>
          <w:lang w:eastAsia="zh-CN"/>
        </w:rPr>
        <w:t>一、甲方的权利和义务</w:t>
      </w:r>
    </w:p>
    <w:p>
      <w:pPr>
        <w:adjustRightInd w:val="0"/>
        <w:spacing w:line="480" w:lineRule="exact"/>
        <w:ind w:firstLine="480" w:firstLineChars="200"/>
        <w:rPr>
          <w:sz w:val="24"/>
          <w:lang w:eastAsia="zh-CN"/>
        </w:rPr>
      </w:pPr>
      <w:r>
        <w:rPr>
          <w:rFonts w:hint="eastAsia"/>
          <w:sz w:val="24"/>
          <w:lang w:eastAsia="zh-CN"/>
        </w:rPr>
        <w:t>（一）甲方的工作人员有责任向乙方介绍本单位有关廉洁从业的制度、规定。甲方的纪检监察人员有权对双方在采购及合同执行过程中的廉洁情况进行监督。</w:t>
      </w:r>
    </w:p>
    <w:p>
      <w:pPr>
        <w:adjustRightInd w:val="0"/>
        <w:spacing w:line="480" w:lineRule="exact"/>
        <w:ind w:firstLine="480" w:firstLineChars="200"/>
        <w:rPr>
          <w:sz w:val="24"/>
          <w:lang w:eastAsia="zh-CN"/>
        </w:rPr>
      </w:pPr>
      <w:r>
        <w:rPr>
          <w:rFonts w:hint="eastAsia"/>
          <w:sz w:val="24"/>
          <w:lang w:eastAsia="zh-CN"/>
        </w:rPr>
        <w:t>（二）甲方的工作人员不得向乙方泄露采购过程中的商业秘密。</w:t>
      </w:r>
    </w:p>
    <w:p>
      <w:pPr>
        <w:adjustRightInd w:val="0"/>
        <w:spacing w:line="480" w:lineRule="exact"/>
        <w:ind w:firstLine="480" w:firstLineChars="200"/>
        <w:rPr>
          <w:sz w:val="24"/>
          <w:lang w:eastAsia="zh-CN"/>
        </w:rPr>
      </w:pPr>
      <w:r>
        <w:rPr>
          <w:rFonts w:hint="eastAsia"/>
          <w:sz w:val="24"/>
          <w:lang w:eastAsia="zh-CN"/>
        </w:rPr>
        <w:t>（三）甲方的工作人员在采购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房子；不得要求乙方为亲属安排出境和国内旅游等；不得借婚丧嫁娶之机收受乙方的钱（含有价证券）、物。</w:t>
      </w:r>
    </w:p>
    <w:p>
      <w:pPr>
        <w:adjustRightInd w:val="0"/>
        <w:spacing w:line="480" w:lineRule="exact"/>
        <w:ind w:firstLine="480" w:firstLineChars="200"/>
        <w:rPr>
          <w:sz w:val="24"/>
          <w:lang w:eastAsia="zh-CN"/>
        </w:rPr>
      </w:pPr>
      <w:r>
        <w:rPr>
          <w:rFonts w:hint="eastAsia"/>
          <w:sz w:val="24"/>
          <w:lang w:eastAsia="zh-CN"/>
        </w:rPr>
        <w:t>（四）对乙方主动给予的钱（含有价证券）、物，甲方的工作人员要坚决谢绝，无法拒绝的要在两周内上交甲方的纪检监察部门或上级纪检监察部门。</w:t>
      </w:r>
    </w:p>
    <w:p>
      <w:pPr>
        <w:adjustRightInd w:val="0"/>
        <w:spacing w:line="480" w:lineRule="exact"/>
        <w:ind w:firstLine="480" w:firstLineChars="200"/>
        <w:rPr>
          <w:sz w:val="24"/>
          <w:lang w:eastAsia="zh-CN"/>
        </w:rPr>
      </w:pPr>
      <w:r>
        <w:rPr>
          <w:rFonts w:hint="eastAsia"/>
          <w:sz w:val="24"/>
          <w:lang w:eastAsia="zh-CN"/>
        </w:rPr>
        <w:t>（五）甲方的工作人员在采购及执行合同过程中，必须遵守廉洁自律的其他有关规定。</w:t>
      </w:r>
    </w:p>
    <w:p>
      <w:pPr>
        <w:adjustRightInd w:val="0"/>
        <w:spacing w:line="480" w:lineRule="exact"/>
        <w:ind w:firstLine="480" w:firstLineChars="200"/>
        <w:rPr>
          <w:sz w:val="24"/>
          <w:lang w:eastAsia="zh-CN"/>
        </w:rPr>
      </w:pPr>
      <w:r>
        <w:rPr>
          <w:rFonts w:hint="eastAsia"/>
          <w:sz w:val="24"/>
          <w:lang w:eastAsia="zh-CN"/>
        </w:rPr>
        <w:t>二、乙方的权利和义务</w:t>
      </w:r>
    </w:p>
    <w:p>
      <w:pPr>
        <w:adjustRightInd w:val="0"/>
        <w:spacing w:line="480" w:lineRule="exact"/>
        <w:ind w:firstLine="480" w:firstLineChars="200"/>
        <w:rPr>
          <w:sz w:val="24"/>
          <w:lang w:eastAsia="zh-CN"/>
        </w:rPr>
      </w:pPr>
      <w:r>
        <w:rPr>
          <w:rFonts w:hint="eastAsia"/>
          <w:sz w:val="24"/>
          <w:lang w:eastAsia="zh-CN"/>
        </w:rPr>
        <w:t>（一）乙方的纪检监察人员有权对双方在采购及合同执行过程中的廉洁从业情况进行监督，并积极配合甲方纪检监察工作人员就有关违纪问题进行调查取证。</w:t>
      </w:r>
    </w:p>
    <w:p>
      <w:pPr>
        <w:adjustRightInd w:val="0"/>
        <w:spacing w:line="480" w:lineRule="exact"/>
        <w:ind w:firstLine="480" w:firstLineChars="200"/>
        <w:rPr>
          <w:sz w:val="24"/>
          <w:lang w:eastAsia="zh-CN"/>
        </w:rPr>
      </w:pPr>
      <w:r>
        <w:rPr>
          <w:rFonts w:hint="eastAsia"/>
          <w:sz w:val="24"/>
          <w:lang w:eastAsia="zh-CN"/>
        </w:rPr>
        <w:t>（二）乙方有权了解甲方在廉洁从业方面的各项制度和规定，并主动配合甲方遵守执行。</w:t>
      </w:r>
    </w:p>
    <w:p>
      <w:pPr>
        <w:adjustRightInd w:val="0"/>
        <w:spacing w:line="480" w:lineRule="exact"/>
        <w:ind w:firstLine="480" w:firstLineChars="200"/>
        <w:rPr>
          <w:sz w:val="24"/>
          <w:lang w:eastAsia="zh-CN"/>
        </w:rPr>
      </w:pPr>
      <w:r>
        <w:rPr>
          <w:rFonts w:hint="eastAsia"/>
          <w:sz w:val="24"/>
          <w:lang w:eastAsia="zh-CN"/>
        </w:rPr>
        <w:t>（三）乙方的工作人员不得以任何方式向甲方的工作人员了解采购过程中的商业秘密。</w:t>
      </w:r>
    </w:p>
    <w:p>
      <w:pPr>
        <w:adjustRightInd w:val="0"/>
        <w:spacing w:line="480" w:lineRule="exact"/>
        <w:ind w:firstLine="480" w:firstLineChars="200"/>
        <w:rPr>
          <w:sz w:val="24"/>
          <w:lang w:eastAsia="zh-CN"/>
        </w:rPr>
      </w:pPr>
      <w:r>
        <w:rPr>
          <w:rFonts w:hint="eastAsia"/>
          <w:sz w:val="24"/>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设备供应或该项目分包等经济活动；不得为甲方的工作人员装修房子；不得为甲方的工作人员的亲属安排出境和国内旅游等；不得借婚丧嫁娶之机向甲方的工作人员赠送钱（含有价证券）、物。</w:t>
      </w:r>
    </w:p>
    <w:p>
      <w:pPr>
        <w:adjustRightInd w:val="0"/>
        <w:spacing w:line="480" w:lineRule="exact"/>
        <w:ind w:firstLine="480" w:firstLineChars="200"/>
        <w:rPr>
          <w:sz w:val="24"/>
          <w:lang w:eastAsia="zh-CN"/>
        </w:rPr>
      </w:pPr>
      <w:r>
        <w:rPr>
          <w:rFonts w:hint="eastAsia"/>
          <w:sz w:val="24"/>
          <w:lang w:eastAsia="zh-CN"/>
        </w:rPr>
        <w:t>（五）乙方发现甲方的工作人员有不廉洁的行为，必须在48小时内署名报告甲方的纪检监察人员或有关领导。</w:t>
      </w:r>
    </w:p>
    <w:p>
      <w:pPr>
        <w:adjustRightInd w:val="0"/>
        <w:spacing w:line="480" w:lineRule="exact"/>
        <w:ind w:firstLine="480" w:firstLineChars="200"/>
        <w:rPr>
          <w:sz w:val="24"/>
          <w:lang w:eastAsia="zh-CN"/>
        </w:rPr>
      </w:pPr>
      <w:r>
        <w:rPr>
          <w:rFonts w:hint="eastAsia"/>
          <w:sz w:val="24"/>
          <w:lang w:eastAsia="zh-CN"/>
        </w:rPr>
        <w:t>三、违约责任</w:t>
      </w:r>
    </w:p>
    <w:p>
      <w:pPr>
        <w:adjustRightInd w:val="0"/>
        <w:spacing w:line="480" w:lineRule="exact"/>
        <w:ind w:firstLine="480" w:firstLineChars="200"/>
        <w:rPr>
          <w:sz w:val="24"/>
          <w:lang w:eastAsia="zh-CN"/>
        </w:rPr>
      </w:pPr>
      <w:r>
        <w:rPr>
          <w:rFonts w:hint="eastAsia"/>
          <w:sz w:val="24"/>
          <w:lang w:eastAsia="zh-CN"/>
        </w:rPr>
        <w:t>（一）甲方的工作人员违反廉洁责任，经调查属实的，甲方将依据党纪、公司有关规定对当事人进行严肃处理，对涉嫌犯罪人员移送司法机关。</w:t>
      </w:r>
    </w:p>
    <w:p>
      <w:pPr>
        <w:adjustRightInd w:val="0"/>
        <w:spacing w:line="480" w:lineRule="exact"/>
        <w:ind w:firstLine="480" w:firstLineChars="200"/>
        <w:rPr>
          <w:sz w:val="24"/>
          <w:lang w:eastAsia="zh-CN"/>
        </w:rPr>
      </w:pPr>
      <w:r>
        <w:rPr>
          <w:rFonts w:hint="eastAsia"/>
          <w:sz w:val="24"/>
          <w:lang w:eastAsia="zh-CN"/>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控股股份有限公司系统各企业不再考虑与乙方的合作。</w:t>
      </w:r>
    </w:p>
    <w:p>
      <w:pPr>
        <w:adjustRightInd w:val="0"/>
        <w:spacing w:line="480" w:lineRule="exact"/>
        <w:ind w:firstLine="480" w:firstLineChars="200"/>
        <w:rPr>
          <w:sz w:val="24"/>
          <w:lang w:eastAsia="zh-CN"/>
        </w:rPr>
      </w:pPr>
      <w:r>
        <w:rPr>
          <w:rFonts w:hint="eastAsia"/>
          <w:sz w:val="24"/>
          <w:lang w:eastAsia="zh-CN"/>
        </w:rPr>
        <w:t>四、合同的生效</w:t>
      </w:r>
    </w:p>
    <w:p>
      <w:pPr>
        <w:adjustRightInd w:val="0"/>
        <w:spacing w:line="480" w:lineRule="exact"/>
        <w:ind w:firstLine="480" w:firstLineChars="200"/>
        <w:rPr>
          <w:sz w:val="24"/>
          <w:lang w:eastAsia="zh-CN"/>
        </w:rPr>
      </w:pPr>
      <w:r>
        <w:rPr>
          <w:rFonts w:hint="eastAsia"/>
          <w:sz w:val="24"/>
          <w:lang w:eastAsia="zh-CN"/>
        </w:rPr>
        <w:t>（一）本合同在双方签字/盖章后生效。</w:t>
      </w:r>
    </w:p>
    <w:p>
      <w:pPr>
        <w:adjustRightInd w:val="0"/>
        <w:spacing w:line="480" w:lineRule="exact"/>
        <w:ind w:firstLine="480" w:firstLineChars="200"/>
        <w:rPr>
          <w:sz w:val="24"/>
          <w:lang w:eastAsia="zh-CN"/>
        </w:rPr>
      </w:pPr>
      <w:r>
        <w:rPr>
          <w:rFonts w:hint="eastAsia"/>
          <w:sz w:val="24"/>
          <w:lang w:eastAsia="zh-CN"/>
        </w:rPr>
        <w:t>（二）本合同一式贰份，双方各执一份。</w:t>
      </w:r>
    </w:p>
    <w:p>
      <w:pPr>
        <w:adjustRightInd w:val="0"/>
        <w:spacing w:line="480" w:lineRule="exact"/>
        <w:ind w:firstLine="480" w:firstLineChars="200"/>
        <w:rPr>
          <w:sz w:val="24"/>
          <w:lang w:eastAsia="zh-CN"/>
        </w:rPr>
      </w:pPr>
      <w:r>
        <w:rPr>
          <w:rFonts w:hint="eastAsia"/>
          <w:sz w:val="24"/>
          <w:lang w:eastAsia="zh-CN"/>
        </w:rPr>
        <w:t>（三）本合同在主合同授予、履行的全过程有效，并作为主合同的附件。</w:t>
      </w:r>
    </w:p>
    <w:p>
      <w:pPr>
        <w:adjustRightInd w:val="0"/>
        <w:spacing w:line="480" w:lineRule="exact"/>
        <w:ind w:firstLine="480" w:firstLineChars="200"/>
        <w:rPr>
          <w:rFonts w:hint="eastAsia"/>
          <w:sz w:val="24"/>
          <w:lang w:eastAsia="zh-CN"/>
        </w:rPr>
      </w:pPr>
      <w:r>
        <w:rPr>
          <w:rFonts w:hint="eastAsia"/>
          <w:sz w:val="24"/>
          <w:lang w:eastAsia="zh-CN"/>
        </w:rPr>
        <w:t>信访举报电话：010-85017235。</w:t>
      </w:r>
    </w:p>
    <w:p>
      <w:pPr>
        <w:adjustRightInd w:val="0"/>
        <w:spacing w:line="480" w:lineRule="exact"/>
        <w:ind w:firstLine="480" w:firstLineChars="200"/>
        <w:rPr>
          <w:rFonts w:hint="eastAsia"/>
          <w:sz w:val="24"/>
          <w:lang w:eastAsia="zh-CN"/>
        </w:rPr>
      </w:pPr>
      <w:r>
        <w:rPr>
          <w:rFonts w:hint="eastAsia"/>
          <w:sz w:val="24"/>
          <w:lang w:eastAsia="zh-CN"/>
        </w:rPr>
        <w:t>举报范围：招投标活动过程中涉嫌贪污贿赂、滥用职权、玩忽职守、权力寻租、利益输送、徇私舞弊以及浪费国家资财等问题的检举控告。</w:t>
      </w:r>
    </w:p>
    <w:p>
      <w:pPr>
        <w:adjustRightInd w:val="0"/>
        <w:spacing w:line="480" w:lineRule="exact"/>
        <w:ind w:firstLine="480" w:firstLineChars="200"/>
        <w:rPr>
          <w:sz w:val="24"/>
          <w:lang w:eastAsia="zh-CN"/>
        </w:rPr>
      </w:pPr>
      <w:r>
        <w:rPr>
          <w:rFonts w:hint="eastAsia"/>
          <w:sz w:val="24"/>
          <w:lang w:eastAsia="zh-CN"/>
        </w:rPr>
        <w:t>通信地址：北京市朝阳区朝阳门南大街8号中粮福临门大厦9层905房间，中粮糖业纪委办公室收，邮编100020。</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甲    方：中粮</w:t>
      </w:r>
      <w:r>
        <w:rPr>
          <w:rFonts w:hint="eastAsia" w:cs="Times New Roman" w:asciiTheme="minorEastAsia" w:hAnsiTheme="minorEastAsia" w:eastAsiaTheme="minorEastAsia"/>
          <w:sz w:val="24"/>
          <w:szCs w:val="24"/>
          <w:lang w:eastAsia="zh-CN"/>
        </w:rPr>
        <w:t>北海糖业</w:t>
      </w:r>
      <w:r>
        <w:rPr>
          <w:rFonts w:cs="Times New Roman" w:asciiTheme="minorEastAsia" w:hAnsiTheme="minorEastAsia" w:eastAsiaTheme="minorEastAsia"/>
          <w:sz w:val="24"/>
          <w:szCs w:val="24"/>
          <w:lang w:eastAsia="zh-CN"/>
        </w:rPr>
        <w:t xml:space="preserve">有限公司  </w:t>
      </w:r>
    </w:p>
    <w:p>
      <w:pPr>
        <w:spacing w:line="400" w:lineRule="exact"/>
        <w:ind w:firstLine="480" w:firstLineChars="200"/>
        <w:rPr>
          <w:rFonts w:cs="Times New Roman" w:asciiTheme="minorEastAsia" w:hAnsiTheme="minorEastAsia" w:eastAsiaTheme="minorEastAsia"/>
          <w:sz w:val="24"/>
          <w:szCs w:val="24"/>
          <w:u w:val="single"/>
          <w:lang w:eastAsia="zh-CN"/>
        </w:rPr>
      </w:pPr>
      <w:r>
        <w:rPr>
          <w:rFonts w:cs="Times New Roman" w:asciiTheme="minorEastAsia" w:hAnsiTheme="minorEastAsia" w:eastAsiaTheme="minorEastAsia"/>
          <w:sz w:val="24"/>
          <w:szCs w:val="24"/>
          <w:lang w:eastAsia="zh-CN"/>
        </w:rPr>
        <w:t>法定代表人（或授权代表）签字：</w:t>
      </w:r>
      <w:r>
        <w:rPr>
          <w:rFonts w:hint="eastAsia" w:cs="Times New Roman" w:asciiTheme="minorEastAsia" w:hAnsiTheme="minorEastAsia" w:eastAsiaTheme="minorEastAsia"/>
          <w:sz w:val="24"/>
          <w:szCs w:val="24"/>
          <w:u w:val="single"/>
          <w:lang w:eastAsia="zh-CN"/>
        </w:rPr>
        <w:t xml:space="preserve"> </w:t>
      </w:r>
      <w:r>
        <w:rPr>
          <w:rFonts w:cs="Times New Roman" w:asciiTheme="minorEastAsia" w:hAnsiTheme="minorEastAsia" w:eastAsiaTheme="minorEastAsia"/>
          <w:sz w:val="24"/>
          <w:szCs w:val="24"/>
          <w:u w:val="single"/>
          <w:lang w:eastAsia="zh-CN"/>
        </w:rPr>
        <w:t xml:space="preserve">               </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签字日期：</w:t>
      </w:r>
      <w:r>
        <w:rPr>
          <w:rFonts w:cs="Times New Roman" w:asciiTheme="minorEastAsia" w:hAnsiTheme="minorEastAsia" w:eastAsiaTheme="minorEastAsia"/>
          <w:sz w:val="24"/>
          <w:szCs w:val="24"/>
          <w:u w:val="single"/>
          <w:lang w:eastAsia="zh-CN"/>
        </w:rPr>
        <w:t xml:space="preserve">                                    </w:t>
      </w:r>
    </w:p>
    <w:p>
      <w:pPr>
        <w:spacing w:line="400" w:lineRule="exact"/>
        <w:ind w:firstLine="480" w:firstLineChars="200"/>
        <w:rPr>
          <w:rFonts w:cs="Times New Roman" w:asciiTheme="minorEastAsia" w:hAnsiTheme="minorEastAsia" w:eastAsiaTheme="minorEastAsia"/>
          <w:sz w:val="24"/>
          <w:szCs w:val="24"/>
          <w:lang w:eastAsia="zh-CN"/>
        </w:rPr>
      </w:pP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 xml:space="preserve">乙    方： </w:t>
      </w:r>
    </w:p>
    <w:p>
      <w:pPr>
        <w:spacing w:line="400" w:lineRule="exact"/>
        <w:ind w:firstLine="480" w:firstLineChars="200"/>
        <w:rPr>
          <w:rFonts w:cs="Times New Roman" w:asciiTheme="minorEastAsia" w:hAnsiTheme="minorEastAsia" w:eastAsiaTheme="minorEastAsia"/>
          <w:sz w:val="24"/>
          <w:szCs w:val="24"/>
          <w:u w:val="single"/>
          <w:lang w:eastAsia="zh-CN"/>
        </w:rPr>
      </w:pPr>
      <w:r>
        <w:rPr>
          <w:rFonts w:cs="Times New Roman" w:asciiTheme="minorEastAsia" w:hAnsiTheme="minorEastAsia" w:eastAsiaTheme="minorEastAsia"/>
          <w:sz w:val="24"/>
          <w:szCs w:val="24"/>
          <w:lang w:eastAsia="zh-CN"/>
        </w:rPr>
        <w:t>法定代表人（或授权代表）签字：</w:t>
      </w:r>
      <w:r>
        <w:rPr>
          <w:rFonts w:hint="eastAsia" w:cs="Times New Roman" w:asciiTheme="minorEastAsia" w:hAnsiTheme="minorEastAsia" w:eastAsiaTheme="minorEastAsia"/>
          <w:sz w:val="24"/>
          <w:szCs w:val="24"/>
          <w:u w:val="single"/>
          <w:lang w:eastAsia="zh-CN"/>
        </w:rPr>
        <w:t xml:space="preserve"> </w:t>
      </w:r>
      <w:r>
        <w:rPr>
          <w:rFonts w:cs="Times New Roman" w:asciiTheme="minorEastAsia" w:hAnsiTheme="minorEastAsia" w:eastAsiaTheme="minorEastAsia"/>
          <w:sz w:val="24"/>
          <w:szCs w:val="24"/>
          <w:u w:val="single"/>
          <w:lang w:eastAsia="zh-CN"/>
        </w:rPr>
        <w:t xml:space="preserve">               </w:t>
      </w:r>
    </w:p>
    <w:p>
      <w:pPr>
        <w:spacing w:line="400" w:lineRule="exact"/>
        <w:ind w:firstLine="480" w:firstLineChars="200"/>
        <w:rPr>
          <w:rFonts w:cs="Times New Roman" w:asciiTheme="minorEastAsia" w:hAnsiTheme="minorEastAsia" w:eastAsiaTheme="minorEastAsia"/>
          <w:sz w:val="24"/>
          <w:szCs w:val="24"/>
          <w:u w:val="single"/>
          <w:lang w:eastAsia="zh-CN"/>
        </w:rPr>
      </w:pPr>
      <w:r>
        <w:rPr>
          <w:rFonts w:cs="Times New Roman" w:asciiTheme="minorEastAsia" w:hAnsiTheme="minorEastAsia" w:eastAsiaTheme="minorEastAsia"/>
          <w:sz w:val="24"/>
          <w:szCs w:val="24"/>
          <w:lang w:eastAsia="zh-CN"/>
        </w:rPr>
        <w:t>签字日期：</w:t>
      </w:r>
      <w:r>
        <w:rPr>
          <w:rFonts w:hint="eastAsia" w:cs="Times New Roman" w:asciiTheme="minorEastAsia" w:hAnsiTheme="minorEastAsia" w:eastAsiaTheme="minorEastAsia"/>
          <w:sz w:val="24"/>
          <w:szCs w:val="24"/>
          <w:u w:val="single"/>
          <w:lang w:eastAsia="zh-CN"/>
        </w:rPr>
        <w:t xml:space="preserve"> </w:t>
      </w:r>
      <w:r>
        <w:rPr>
          <w:rFonts w:cs="Times New Roman" w:asciiTheme="minorEastAsia" w:hAnsiTheme="minorEastAsia" w:eastAsiaTheme="minorEastAsia"/>
          <w:sz w:val="24"/>
          <w:szCs w:val="24"/>
          <w:u w:val="single"/>
          <w:lang w:eastAsia="zh-CN"/>
        </w:rPr>
        <w:t xml:space="preserve">                                   </w:t>
      </w:r>
    </w:p>
    <w:p>
      <w:pPr>
        <w:spacing w:line="500" w:lineRule="exact"/>
        <w:ind w:firstLine="422"/>
        <w:rPr>
          <w:b/>
          <w:szCs w:val="21"/>
          <w:lang w:eastAsia="zh-CN"/>
        </w:rPr>
      </w:pPr>
    </w:p>
    <w:p>
      <w:pPr>
        <w:spacing w:line="500" w:lineRule="exact"/>
        <w:ind w:firstLine="422"/>
        <w:rPr>
          <w:b/>
          <w:szCs w:val="21"/>
          <w:lang w:eastAsia="zh-CN"/>
        </w:rPr>
      </w:pPr>
    </w:p>
    <w:p>
      <w:pPr>
        <w:spacing w:line="500" w:lineRule="exact"/>
        <w:ind w:firstLine="422"/>
        <w:rPr>
          <w:b/>
          <w:szCs w:val="21"/>
          <w:lang w:eastAsia="zh-CN"/>
        </w:rPr>
      </w:pPr>
      <w:r>
        <w:rPr>
          <w:b/>
          <w:szCs w:val="21"/>
          <w:lang w:eastAsia="zh-CN"/>
        </w:rPr>
        <w:t>合同附件</w:t>
      </w:r>
      <w:r>
        <w:rPr>
          <w:rFonts w:hint="eastAsia"/>
          <w:b/>
          <w:szCs w:val="21"/>
          <w:lang w:eastAsia="zh-CN"/>
        </w:rPr>
        <w:t>3</w:t>
      </w:r>
      <w:r>
        <w:rPr>
          <w:b/>
          <w:szCs w:val="21"/>
          <w:lang w:eastAsia="zh-CN"/>
        </w:rPr>
        <w:t xml:space="preserve"> </w:t>
      </w:r>
    </w:p>
    <w:p>
      <w:pPr>
        <w:tabs>
          <w:tab w:val="left" w:pos="5520"/>
        </w:tabs>
        <w:spacing w:line="500" w:lineRule="exact"/>
        <w:ind w:firstLine="964"/>
        <w:jc w:val="center"/>
        <w:rPr>
          <w:b/>
          <w:bCs/>
          <w:sz w:val="32"/>
          <w:szCs w:val="32"/>
          <w:lang w:eastAsia="zh-CN"/>
        </w:rPr>
      </w:pPr>
      <w:r>
        <w:rPr>
          <w:rFonts w:hint="eastAsia"/>
          <w:b/>
          <w:bCs/>
          <w:sz w:val="32"/>
          <w:szCs w:val="32"/>
          <w:lang w:eastAsia="zh-CN"/>
        </w:rPr>
        <w:t>环保管理协议（2</w:t>
      </w:r>
      <w:r>
        <w:rPr>
          <w:b/>
          <w:bCs/>
          <w:sz w:val="32"/>
          <w:szCs w:val="32"/>
          <w:lang w:eastAsia="zh-CN"/>
        </w:rPr>
        <w:t>023-C</w:t>
      </w:r>
      <w:r>
        <w:rPr>
          <w:rFonts w:hint="eastAsia"/>
          <w:b/>
          <w:bCs/>
          <w:sz w:val="32"/>
          <w:szCs w:val="32"/>
          <w:lang w:eastAsia="zh-CN"/>
        </w:rPr>
        <w:t>）</w:t>
      </w:r>
    </w:p>
    <w:p>
      <w:pPr>
        <w:tabs>
          <w:tab w:val="left" w:pos="5520"/>
        </w:tabs>
        <w:spacing w:line="500" w:lineRule="exact"/>
        <w:ind w:firstLine="480"/>
        <w:rPr>
          <w:sz w:val="24"/>
          <w:lang w:eastAsia="zh-CN"/>
        </w:rPr>
      </w:pPr>
      <w:r>
        <w:rPr>
          <w:rFonts w:hint="eastAsia"/>
          <w:sz w:val="24"/>
          <w:lang w:val="zh-CN" w:eastAsia="zh-CN"/>
        </w:rPr>
        <w:t>发包方（以下称甲方）</w:t>
      </w:r>
      <w:r>
        <w:rPr>
          <w:rFonts w:hint="eastAsia"/>
          <w:sz w:val="24"/>
          <w:lang w:eastAsia="zh-CN"/>
        </w:rPr>
        <w:t>：中粮北海糖业有限公司</w:t>
      </w:r>
    </w:p>
    <w:p>
      <w:pPr>
        <w:tabs>
          <w:tab w:val="left" w:pos="5520"/>
        </w:tabs>
        <w:spacing w:line="500" w:lineRule="exact"/>
        <w:ind w:firstLine="480"/>
        <w:rPr>
          <w:sz w:val="24"/>
          <w:lang w:eastAsia="zh-CN"/>
        </w:rPr>
      </w:pPr>
      <w:r>
        <w:rPr>
          <w:rFonts w:hint="eastAsia"/>
          <w:sz w:val="24"/>
          <w:lang w:val="zh-CN" w:eastAsia="zh-CN"/>
        </w:rPr>
        <w:t>承包方（以下称乙方）</w:t>
      </w:r>
      <w:r>
        <w:rPr>
          <w:rFonts w:hint="eastAsia"/>
          <w:sz w:val="24"/>
          <w:lang w:eastAsia="zh-CN"/>
        </w:rPr>
        <w:t>：××××××公司</w:t>
      </w:r>
    </w:p>
    <w:p>
      <w:pPr>
        <w:adjustRightInd w:val="0"/>
        <w:snapToGrid w:val="0"/>
        <w:spacing w:line="500" w:lineRule="exact"/>
        <w:rPr>
          <w:sz w:val="24"/>
          <w:lang w:val="zh-CN" w:eastAsia="zh-CN"/>
        </w:rPr>
      </w:pPr>
      <w:r>
        <w:rPr>
          <w:rFonts w:hint="eastAsia"/>
          <w:sz w:val="24"/>
          <w:lang w:val="zh-CN" w:eastAsia="zh-CN"/>
        </w:rPr>
        <w:t>为做好甲方在劳务外包期间厂区及周边环境保护工作，减少作业对厂区环境的污染，认真贯彻执行环境保护等有关法律法规，结合本单位实际情况，经甲乙双方同意特签订环境保护协议如下：</w:t>
      </w:r>
    </w:p>
    <w:p>
      <w:pPr>
        <w:adjustRightInd w:val="0"/>
        <w:snapToGrid w:val="0"/>
        <w:spacing w:line="500" w:lineRule="exact"/>
        <w:rPr>
          <w:sz w:val="24"/>
          <w:lang w:val="zh-CN" w:eastAsia="zh-CN"/>
        </w:rPr>
      </w:pPr>
      <w:r>
        <w:rPr>
          <w:rFonts w:hint="eastAsia"/>
          <w:sz w:val="24"/>
          <w:lang w:val="zh-CN" w:eastAsia="zh-CN"/>
        </w:rPr>
        <w:t>第一条乙方为甲方劳务外包期间，应满足如下要求：</w:t>
      </w:r>
    </w:p>
    <w:p>
      <w:pPr>
        <w:adjustRightInd w:val="0"/>
        <w:snapToGrid w:val="0"/>
        <w:spacing w:line="500" w:lineRule="exact"/>
        <w:rPr>
          <w:sz w:val="24"/>
          <w:lang w:val="zh-CN" w:eastAsia="zh-CN"/>
        </w:rPr>
      </w:pPr>
      <w:r>
        <w:rPr>
          <w:rFonts w:hint="eastAsia"/>
          <w:sz w:val="24"/>
          <w:lang w:val="zh-CN" w:eastAsia="zh-CN"/>
        </w:rPr>
        <w:t>（一）乙方在甲方现场的所有活动必须遵守国家相关法律法规。</w:t>
      </w:r>
    </w:p>
    <w:p>
      <w:pPr>
        <w:adjustRightInd w:val="0"/>
        <w:snapToGrid w:val="0"/>
        <w:spacing w:line="500" w:lineRule="exact"/>
        <w:rPr>
          <w:sz w:val="24"/>
          <w:lang w:val="zh-CN" w:eastAsia="zh-CN"/>
        </w:rPr>
      </w:pPr>
      <w:r>
        <w:rPr>
          <w:rFonts w:hint="eastAsia"/>
          <w:sz w:val="24"/>
          <w:lang w:val="zh-CN" w:eastAsia="zh-CN"/>
        </w:rPr>
        <w:t>（二）乙方进入甲方厂内必须对因施工或其他生产行为可能对环境造成的污染应采取积极预防并不断改进的措施，确保污染物达标排放，同时应做出持续改进 的承诺。</w:t>
      </w:r>
    </w:p>
    <w:p>
      <w:pPr>
        <w:adjustRightInd w:val="0"/>
        <w:snapToGrid w:val="0"/>
        <w:spacing w:line="500" w:lineRule="exact"/>
        <w:rPr>
          <w:sz w:val="24"/>
          <w:lang w:val="zh-CN" w:eastAsia="zh-CN"/>
        </w:rPr>
      </w:pPr>
      <w:r>
        <w:rPr>
          <w:rFonts w:hint="eastAsia"/>
          <w:sz w:val="24"/>
          <w:lang w:val="zh-CN" w:eastAsia="zh-CN"/>
        </w:rPr>
        <w:t>（三）乙方在甲方厂内工作前有义务主动向甲方了解作业区域内环保管理要求。</w:t>
      </w:r>
    </w:p>
    <w:p>
      <w:pPr>
        <w:adjustRightInd w:val="0"/>
        <w:snapToGrid w:val="0"/>
        <w:spacing w:line="500" w:lineRule="exact"/>
        <w:rPr>
          <w:sz w:val="24"/>
          <w:lang w:val="zh-CN" w:eastAsia="zh-CN"/>
        </w:rPr>
      </w:pPr>
      <w:r>
        <w:rPr>
          <w:rFonts w:hint="eastAsia"/>
          <w:sz w:val="24"/>
          <w:lang w:val="zh-CN" w:eastAsia="zh-CN"/>
        </w:rPr>
        <w:t>（四）甲乙双方合同履行期间，乙方必须采取有效措施将乙方人员在劳动过程对产生环境影响的主要因 素进行有效控制。</w:t>
      </w:r>
    </w:p>
    <w:p>
      <w:pPr>
        <w:adjustRightInd w:val="0"/>
        <w:snapToGrid w:val="0"/>
        <w:spacing w:line="500" w:lineRule="exact"/>
        <w:rPr>
          <w:sz w:val="24"/>
          <w:lang w:val="zh-CN" w:eastAsia="zh-CN"/>
        </w:rPr>
      </w:pPr>
      <w:r>
        <w:rPr>
          <w:rFonts w:hint="eastAsia"/>
          <w:sz w:val="24"/>
          <w:lang w:val="zh-CN" w:eastAsia="zh-CN"/>
        </w:rPr>
        <w:t>（五）乙方人员在上岗前必须对现场作业人员进行环保教育或培训，提高现场人员的环保意识。</w:t>
      </w:r>
    </w:p>
    <w:p>
      <w:pPr>
        <w:adjustRightInd w:val="0"/>
        <w:snapToGrid w:val="0"/>
        <w:spacing w:line="500" w:lineRule="exact"/>
        <w:rPr>
          <w:sz w:val="24"/>
          <w:lang w:val="zh-CN" w:eastAsia="zh-CN"/>
        </w:rPr>
      </w:pPr>
      <w:r>
        <w:rPr>
          <w:rFonts w:hint="eastAsia"/>
          <w:sz w:val="24"/>
          <w:lang w:val="zh-CN" w:eastAsia="zh-CN"/>
        </w:rPr>
        <w:t>（六）乙方必须建立一套环境事故应急反应预案并且在甲方处备案。</w:t>
      </w:r>
    </w:p>
    <w:p>
      <w:pPr>
        <w:adjustRightInd w:val="0"/>
        <w:snapToGrid w:val="0"/>
        <w:spacing w:line="500" w:lineRule="exact"/>
        <w:rPr>
          <w:sz w:val="24"/>
          <w:lang w:val="zh-CN" w:eastAsia="zh-CN"/>
        </w:rPr>
      </w:pPr>
      <w:r>
        <w:rPr>
          <w:rFonts w:hint="eastAsia"/>
          <w:sz w:val="24"/>
          <w:lang w:val="zh-CN" w:eastAsia="zh-CN"/>
        </w:rPr>
        <w:t>（七）甲方将不定期对乙方在环境保护方面的工作落实情况进行检查，乙方应积极配合，如有检查确认的不合格项，乙方须予以整改。</w:t>
      </w:r>
    </w:p>
    <w:p>
      <w:pPr>
        <w:adjustRightInd w:val="0"/>
        <w:snapToGrid w:val="0"/>
        <w:spacing w:line="500" w:lineRule="exact"/>
        <w:rPr>
          <w:sz w:val="24"/>
          <w:lang w:val="zh-CN" w:eastAsia="zh-CN"/>
        </w:rPr>
      </w:pPr>
      <w:r>
        <w:rPr>
          <w:rFonts w:hint="eastAsia"/>
          <w:sz w:val="24"/>
          <w:lang w:val="zh-CN" w:eastAsia="zh-CN"/>
        </w:rPr>
        <w:t>（八）乙方在环境保护工作落实期间如遇突发问题,甲方应予以积极协助和指导。乙方在整个劳务外包期间,始终具有履行环境保护工作的责任和义务。甲方负责检查、指导和监督，乙方在作业过程必须做好如下工作要求：</w:t>
      </w:r>
    </w:p>
    <w:p>
      <w:pPr>
        <w:adjustRightInd w:val="0"/>
        <w:snapToGrid w:val="0"/>
        <w:spacing w:line="500" w:lineRule="exact"/>
        <w:rPr>
          <w:sz w:val="24"/>
          <w:lang w:val="zh-CN" w:eastAsia="zh-CN"/>
        </w:rPr>
      </w:pPr>
      <w:r>
        <w:rPr>
          <w:rFonts w:hint="eastAsia"/>
          <w:sz w:val="24"/>
          <w:lang w:val="zh-CN" w:eastAsia="zh-CN"/>
        </w:rPr>
        <w:t>1.固废</w:t>
      </w:r>
    </w:p>
    <w:p>
      <w:pPr>
        <w:adjustRightInd w:val="0"/>
        <w:snapToGrid w:val="0"/>
        <w:spacing w:line="500" w:lineRule="exact"/>
        <w:rPr>
          <w:sz w:val="24"/>
          <w:lang w:val="zh-CN" w:eastAsia="zh-CN"/>
        </w:rPr>
      </w:pPr>
      <w:r>
        <w:rPr>
          <w:rFonts w:hint="eastAsia"/>
          <w:sz w:val="24"/>
          <w:lang w:val="zh-CN" w:eastAsia="zh-CN"/>
        </w:rPr>
        <w:t>(1)施工作业产生的固废分类定点放置并及时合法合规处置。处置时向甲方报告处置地点，提供处置单位资质。</w:t>
      </w:r>
    </w:p>
    <w:p>
      <w:pPr>
        <w:adjustRightInd w:val="0"/>
        <w:snapToGrid w:val="0"/>
        <w:spacing w:line="500" w:lineRule="exact"/>
        <w:rPr>
          <w:sz w:val="24"/>
          <w:lang w:val="zh-CN" w:eastAsia="zh-CN"/>
        </w:rPr>
      </w:pPr>
      <w:r>
        <w:rPr>
          <w:rFonts w:hint="eastAsia"/>
          <w:sz w:val="24"/>
          <w:lang w:val="zh-CN" w:eastAsia="zh-CN"/>
        </w:rPr>
        <w:t>(2)土建施工挖出的泥土砂石等须及时填埋洒水，恢复原状。</w:t>
      </w:r>
    </w:p>
    <w:p>
      <w:pPr>
        <w:adjustRightInd w:val="0"/>
        <w:snapToGrid w:val="0"/>
        <w:spacing w:line="500" w:lineRule="exact"/>
        <w:rPr>
          <w:sz w:val="24"/>
          <w:lang w:val="zh-CN" w:eastAsia="zh-CN"/>
        </w:rPr>
      </w:pPr>
      <w:r>
        <w:rPr>
          <w:rFonts w:hint="eastAsia"/>
          <w:sz w:val="24"/>
          <w:lang w:val="zh-CN" w:eastAsia="zh-CN"/>
        </w:rPr>
        <w:t>(3)滤泥、白泥、环保污泥、锅炉灰渣等固废拉运处置时保持现场及路面干净，如有掉落及时清扫。</w:t>
      </w:r>
    </w:p>
    <w:p>
      <w:pPr>
        <w:adjustRightInd w:val="0"/>
        <w:snapToGrid w:val="0"/>
        <w:spacing w:line="500" w:lineRule="exact"/>
        <w:rPr>
          <w:sz w:val="24"/>
          <w:lang w:val="zh-CN" w:eastAsia="zh-CN"/>
        </w:rPr>
      </w:pPr>
      <w:r>
        <w:rPr>
          <w:rFonts w:hint="eastAsia"/>
          <w:sz w:val="24"/>
          <w:lang w:val="zh-CN" w:eastAsia="zh-CN"/>
        </w:rPr>
        <w:t>2.危废</w:t>
      </w:r>
    </w:p>
    <w:p>
      <w:pPr>
        <w:adjustRightInd w:val="0"/>
        <w:snapToGrid w:val="0"/>
        <w:spacing w:line="500" w:lineRule="exact"/>
        <w:rPr>
          <w:sz w:val="24"/>
          <w:lang w:val="zh-CN" w:eastAsia="zh-CN"/>
        </w:rPr>
      </w:pPr>
      <w:r>
        <w:rPr>
          <w:rFonts w:hint="eastAsia"/>
          <w:sz w:val="24"/>
          <w:lang w:val="zh-CN" w:eastAsia="zh-CN"/>
        </w:rPr>
        <w:t>(1)乙方在施工过程中使用有毒有害物质如油漆、涂料、机油等，应做好防泄漏储存措施，以免泄漏危害环境。</w:t>
      </w:r>
    </w:p>
    <w:p>
      <w:pPr>
        <w:adjustRightInd w:val="0"/>
        <w:snapToGrid w:val="0"/>
        <w:spacing w:line="500" w:lineRule="exact"/>
        <w:rPr>
          <w:sz w:val="24"/>
          <w:lang w:val="zh-CN" w:eastAsia="zh-CN"/>
        </w:rPr>
      </w:pPr>
      <w:r>
        <w:rPr>
          <w:rFonts w:hint="eastAsia"/>
          <w:sz w:val="24"/>
          <w:lang w:val="zh-CN" w:eastAsia="zh-CN"/>
        </w:rPr>
        <w:t>(2)施工过程产生的废机油、废机油桶、废油漆桶、石棉废物等危险废物联系有资质的第三方进行处置。处置时向甲方报告处置地点，提供处置单位资质。</w:t>
      </w:r>
    </w:p>
    <w:p>
      <w:pPr>
        <w:adjustRightInd w:val="0"/>
        <w:snapToGrid w:val="0"/>
        <w:spacing w:line="500" w:lineRule="exact"/>
        <w:rPr>
          <w:sz w:val="24"/>
          <w:lang w:val="zh-CN" w:eastAsia="zh-CN"/>
        </w:rPr>
      </w:pPr>
      <w:r>
        <w:rPr>
          <w:rFonts w:hint="eastAsia"/>
          <w:sz w:val="24"/>
          <w:lang w:val="zh-CN" w:eastAsia="zh-CN"/>
        </w:rPr>
        <w:t>3.噪声</w:t>
      </w:r>
    </w:p>
    <w:p>
      <w:pPr>
        <w:adjustRightInd w:val="0"/>
        <w:snapToGrid w:val="0"/>
        <w:spacing w:line="500" w:lineRule="exact"/>
        <w:rPr>
          <w:sz w:val="24"/>
          <w:lang w:val="zh-CN" w:eastAsia="zh-CN"/>
        </w:rPr>
      </w:pPr>
      <w:r>
        <w:rPr>
          <w:rFonts w:hint="eastAsia"/>
          <w:sz w:val="24"/>
          <w:lang w:val="zh-CN" w:eastAsia="zh-CN"/>
        </w:rPr>
        <w:t>(1)乙方施工产生的噪声，须符合国家规定的施工环境噪声排放标准。同时应采取有效措施，减轻噪声对周围生活环境的影响。</w:t>
      </w:r>
    </w:p>
    <w:p>
      <w:pPr>
        <w:adjustRightInd w:val="0"/>
        <w:snapToGrid w:val="0"/>
        <w:spacing w:line="500" w:lineRule="exact"/>
        <w:rPr>
          <w:sz w:val="24"/>
          <w:lang w:val="zh-CN" w:eastAsia="zh-CN"/>
        </w:rPr>
      </w:pPr>
      <w:r>
        <w:rPr>
          <w:rFonts w:hint="eastAsia"/>
          <w:sz w:val="24"/>
          <w:lang w:val="zh-CN" w:eastAsia="zh-CN"/>
        </w:rPr>
        <w:t>(2)乙方应加强机动车辆维修和保养，机动车辆噪声符合国家规定的排放标准。</w:t>
      </w:r>
    </w:p>
    <w:p>
      <w:pPr>
        <w:adjustRightInd w:val="0"/>
        <w:snapToGrid w:val="0"/>
        <w:spacing w:line="500" w:lineRule="exact"/>
        <w:rPr>
          <w:sz w:val="24"/>
          <w:lang w:val="zh-CN" w:eastAsia="zh-CN"/>
        </w:rPr>
      </w:pPr>
      <w:r>
        <w:rPr>
          <w:rFonts w:hint="eastAsia"/>
          <w:sz w:val="24"/>
          <w:lang w:val="zh-CN" w:eastAsia="zh-CN"/>
        </w:rPr>
        <w:t>(3)乙方机动车辆进入甲方项目/服务现场严禁使用喇叭。</w:t>
      </w:r>
    </w:p>
    <w:p>
      <w:pPr>
        <w:adjustRightInd w:val="0"/>
        <w:snapToGrid w:val="0"/>
        <w:spacing w:line="500" w:lineRule="exact"/>
        <w:rPr>
          <w:sz w:val="24"/>
          <w:lang w:val="zh-CN" w:eastAsia="zh-CN"/>
        </w:rPr>
      </w:pPr>
      <w:r>
        <w:rPr>
          <w:rFonts w:hint="eastAsia"/>
          <w:sz w:val="24"/>
          <w:lang w:val="zh-CN" w:eastAsia="zh-CN"/>
        </w:rPr>
        <w:t>4.水</w:t>
      </w:r>
    </w:p>
    <w:p>
      <w:pPr>
        <w:adjustRightInd w:val="0"/>
        <w:snapToGrid w:val="0"/>
        <w:spacing w:line="500" w:lineRule="exact"/>
        <w:rPr>
          <w:sz w:val="24"/>
          <w:lang w:val="zh-CN" w:eastAsia="zh-CN"/>
        </w:rPr>
      </w:pPr>
      <w:r>
        <w:rPr>
          <w:rFonts w:hint="eastAsia"/>
          <w:sz w:val="24"/>
          <w:lang w:val="zh-CN" w:eastAsia="zh-CN"/>
        </w:rPr>
        <w:t>(1)禁止向施工现场周边排放油类、酸液、碱液或者有毒废液。</w:t>
      </w:r>
    </w:p>
    <w:p>
      <w:pPr>
        <w:adjustRightInd w:val="0"/>
        <w:snapToGrid w:val="0"/>
        <w:spacing w:line="500" w:lineRule="exact"/>
        <w:rPr>
          <w:sz w:val="24"/>
          <w:lang w:val="zh-CN" w:eastAsia="zh-CN"/>
        </w:rPr>
      </w:pPr>
      <w:r>
        <w:rPr>
          <w:rFonts w:hint="eastAsia"/>
          <w:sz w:val="24"/>
          <w:lang w:val="zh-CN" w:eastAsia="zh-CN"/>
        </w:rPr>
        <w:t>(2)禁止向施工现场周边水体排放、倾倒放射性固体废物或者含有高放射性或中放射性物质的废水。</w:t>
      </w:r>
    </w:p>
    <w:p>
      <w:pPr>
        <w:adjustRightInd w:val="0"/>
        <w:snapToGrid w:val="0"/>
        <w:spacing w:line="500" w:lineRule="exact"/>
        <w:rPr>
          <w:sz w:val="24"/>
          <w:lang w:val="zh-CN" w:eastAsia="zh-CN"/>
        </w:rPr>
      </w:pPr>
      <w:r>
        <w:rPr>
          <w:rFonts w:hint="eastAsia"/>
          <w:sz w:val="24"/>
          <w:lang w:val="zh-CN" w:eastAsia="zh-CN"/>
        </w:rPr>
        <w:t>5.气</w:t>
      </w:r>
    </w:p>
    <w:p>
      <w:pPr>
        <w:adjustRightInd w:val="0"/>
        <w:snapToGrid w:val="0"/>
        <w:spacing w:line="500" w:lineRule="exact"/>
        <w:rPr>
          <w:sz w:val="24"/>
          <w:lang w:val="zh-CN" w:eastAsia="zh-CN"/>
        </w:rPr>
      </w:pPr>
      <w:r>
        <w:rPr>
          <w:rFonts w:hint="eastAsia"/>
          <w:sz w:val="24"/>
          <w:lang w:val="zh-CN" w:eastAsia="zh-CN"/>
        </w:rPr>
        <w:t>(1)施工现场禁止焚烧油毡、橡胶、塑料、皮革、垃圾以及其他产生有毒有害烟尘和恶臭气体的物质。</w:t>
      </w:r>
    </w:p>
    <w:p>
      <w:pPr>
        <w:adjustRightInd w:val="0"/>
        <w:snapToGrid w:val="0"/>
        <w:spacing w:line="500" w:lineRule="exact"/>
        <w:rPr>
          <w:sz w:val="24"/>
          <w:lang w:val="zh-CN" w:eastAsia="zh-CN"/>
        </w:rPr>
      </w:pPr>
      <w:r>
        <w:rPr>
          <w:rFonts w:hint="eastAsia"/>
          <w:sz w:val="24"/>
          <w:lang w:val="zh-CN" w:eastAsia="zh-CN"/>
        </w:rPr>
        <w:t>(2)乙方应加强机动车辆维修和保养，机动车辆尾气符合国家规定的排放标准。</w:t>
      </w:r>
    </w:p>
    <w:p>
      <w:pPr>
        <w:adjustRightInd w:val="0"/>
        <w:snapToGrid w:val="0"/>
        <w:spacing w:line="500" w:lineRule="exact"/>
        <w:rPr>
          <w:sz w:val="24"/>
          <w:lang w:val="zh-CN" w:eastAsia="zh-CN"/>
        </w:rPr>
      </w:pPr>
      <w:r>
        <w:rPr>
          <w:rFonts w:hint="eastAsia"/>
          <w:sz w:val="24"/>
          <w:lang w:val="zh-CN" w:eastAsia="zh-CN"/>
        </w:rPr>
        <w:t>6.无组织排放</w:t>
      </w:r>
    </w:p>
    <w:p>
      <w:pPr>
        <w:adjustRightInd w:val="0"/>
        <w:snapToGrid w:val="0"/>
        <w:spacing w:line="500" w:lineRule="exact"/>
        <w:rPr>
          <w:sz w:val="24"/>
          <w:lang w:val="zh-CN" w:eastAsia="zh-CN"/>
        </w:rPr>
      </w:pPr>
      <w:r>
        <w:rPr>
          <w:rFonts w:hint="eastAsia"/>
          <w:sz w:val="24"/>
          <w:lang w:val="zh-CN" w:eastAsia="zh-CN"/>
        </w:rPr>
        <w:t>(1)容易产生扬尘的施工现场、清扫地面时须洒水，运输建筑垃圾需加盖蓬布等，以免粉尘弥漫，污染环境。</w:t>
      </w:r>
    </w:p>
    <w:p>
      <w:pPr>
        <w:adjustRightInd w:val="0"/>
        <w:snapToGrid w:val="0"/>
        <w:spacing w:line="500" w:lineRule="exact"/>
        <w:rPr>
          <w:sz w:val="24"/>
          <w:lang w:val="zh-CN" w:eastAsia="zh-CN"/>
        </w:rPr>
      </w:pPr>
      <w:r>
        <w:rPr>
          <w:rFonts w:hint="eastAsia"/>
          <w:sz w:val="24"/>
          <w:lang w:val="zh-CN" w:eastAsia="zh-CN"/>
        </w:rPr>
        <w:t>(2)临时堆放的土方采取彩条布覆盖等措施，以防尘土飞扬。</w:t>
      </w:r>
    </w:p>
    <w:p>
      <w:pPr>
        <w:adjustRightInd w:val="0"/>
        <w:snapToGrid w:val="0"/>
        <w:spacing w:line="500" w:lineRule="exact"/>
        <w:rPr>
          <w:sz w:val="24"/>
          <w:lang w:val="zh-CN" w:eastAsia="zh-CN"/>
        </w:rPr>
      </w:pPr>
      <w:r>
        <w:rPr>
          <w:rFonts w:hint="eastAsia"/>
          <w:sz w:val="24"/>
          <w:lang w:val="zh-CN" w:eastAsia="zh-CN"/>
        </w:rPr>
        <w:t>7.其它</w:t>
      </w:r>
    </w:p>
    <w:p>
      <w:pPr>
        <w:adjustRightInd w:val="0"/>
        <w:snapToGrid w:val="0"/>
        <w:spacing w:line="500" w:lineRule="exact"/>
        <w:rPr>
          <w:sz w:val="24"/>
          <w:lang w:val="zh-CN" w:eastAsia="zh-CN"/>
        </w:rPr>
      </w:pPr>
      <w:r>
        <w:rPr>
          <w:rFonts w:hint="eastAsia"/>
          <w:sz w:val="24"/>
          <w:lang w:val="zh-CN" w:eastAsia="zh-CN"/>
        </w:rPr>
        <w:t>(1)乙方施工／服务现场环境须遵守环境管理体系及法律法规有关作业场所的要求，场地功能划分及标识清楚，物资规范堆放和储存，保持现场的整洁有序。</w:t>
      </w:r>
    </w:p>
    <w:p>
      <w:pPr>
        <w:adjustRightInd w:val="0"/>
        <w:snapToGrid w:val="0"/>
        <w:spacing w:line="500" w:lineRule="exact"/>
        <w:rPr>
          <w:sz w:val="24"/>
          <w:lang w:val="zh-CN" w:eastAsia="zh-CN"/>
        </w:rPr>
      </w:pPr>
      <w:r>
        <w:rPr>
          <w:rFonts w:hint="eastAsia"/>
          <w:sz w:val="24"/>
          <w:lang w:val="zh-CN" w:eastAsia="zh-CN"/>
        </w:rPr>
        <w:t>(2)乙方应当合理选择和利用原材料、能源和其他资源，采用先进的生产工艺和设备，减少施工废水、废气、固废及噪声产生。</w:t>
      </w:r>
    </w:p>
    <w:p>
      <w:pPr>
        <w:adjustRightInd w:val="0"/>
        <w:snapToGrid w:val="0"/>
        <w:spacing w:line="500" w:lineRule="exact"/>
        <w:rPr>
          <w:sz w:val="24"/>
          <w:lang w:val="zh-CN" w:eastAsia="zh-CN"/>
        </w:rPr>
      </w:pPr>
      <w:r>
        <w:rPr>
          <w:rFonts w:hint="eastAsia"/>
          <w:sz w:val="24"/>
          <w:lang w:val="zh-CN" w:eastAsia="zh-CN"/>
        </w:rPr>
        <w:t>(3)乙方使用的车辆必须具备国家法规和甲方所在地环保政策及相关规定的资质和要求，并在项目/服务实施过程中严格遵守法规及相关政策、规定。</w:t>
      </w:r>
    </w:p>
    <w:p>
      <w:pPr>
        <w:adjustRightInd w:val="0"/>
        <w:snapToGrid w:val="0"/>
        <w:spacing w:line="500" w:lineRule="exact"/>
        <w:rPr>
          <w:sz w:val="24"/>
          <w:lang w:val="zh-CN" w:eastAsia="zh-CN"/>
        </w:rPr>
      </w:pPr>
      <w:r>
        <w:rPr>
          <w:rFonts w:hint="eastAsia"/>
          <w:sz w:val="24"/>
          <w:lang w:val="zh-CN" w:eastAsia="zh-CN"/>
        </w:rPr>
        <w:t>(4)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pPr>
        <w:adjustRightInd w:val="0"/>
        <w:snapToGrid w:val="0"/>
        <w:spacing w:line="500" w:lineRule="exact"/>
        <w:rPr>
          <w:sz w:val="24"/>
          <w:lang w:val="zh-CN" w:eastAsia="zh-CN"/>
        </w:rPr>
      </w:pPr>
      <w:r>
        <w:rPr>
          <w:rFonts w:hint="eastAsia"/>
          <w:sz w:val="24"/>
          <w:lang w:val="zh-CN" w:eastAsia="zh-CN"/>
        </w:rPr>
        <w:t>(5)乙方在施工现场根据区域大小合理设置1-2个固废临时储放点，安排人员每天打扫一遍施工现场，每十天清理一次临时储放点。临时储放点设置超过2个时须报经甲方安全环保部同意。</w:t>
      </w:r>
    </w:p>
    <w:p>
      <w:pPr>
        <w:adjustRightInd w:val="0"/>
        <w:snapToGrid w:val="0"/>
        <w:spacing w:line="500" w:lineRule="exact"/>
        <w:rPr>
          <w:sz w:val="24"/>
          <w:lang w:val="zh-CN" w:eastAsia="zh-CN"/>
        </w:rPr>
      </w:pPr>
      <w:r>
        <w:rPr>
          <w:rFonts w:hint="eastAsia"/>
          <w:sz w:val="24"/>
          <w:lang w:val="zh-CN" w:eastAsia="zh-CN"/>
        </w:rPr>
        <w:t>（九）以上对乙方的环保要求的最终解释权归甲方所有，乙方可向甲方进行咨询。</w:t>
      </w:r>
    </w:p>
    <w:p>
      <w:pPr>
        <w:adjustRightInd w:val="0"/>
        <w:snapToGrid w:val="0"/>
        <w:spacing w:line="500" w:lineRule="exact"/>
        <w:rPr>
          <w:sz w:val="24"/>
          <w:lang w:val="zh-CN" w:eastAsia="zh-CN"/>
        </w:rPr>
      </w:pPr>
      <w:r>
        <w:rPr>
          <w:rFonts w:hint="eastAsia"/>
          <w:sz w:val="24"/>
          <w:lang w:val="zh-CN" w:eastAsia="zh-CN"/>
        </w:rPr>
        <w:t>（十）考核</w:t>
      </w:r>
    </w:p>
    <w:p>
      <w:pPr>
        <w:adjustRightInd w:val="0"/>
        <w:snapToGrid w:val="0"/>
        <w:spacing w:line="500" w:lineRule="exact"/>
        <w:rPr>
          <w:sz w:val="24"/>
          <w:lang w:val="zh-CN" w:eastAsia="zh-CN"/>
        </w:rPr>
      </w:pPr>
      <w:r>
        <w:rPr>
          <w:rFonts w:hint="eastAsia"/>
          <w:sz w:val="24"/>
          <w:lang w:val="zh-CN" w:eastAsia="zh-CN"/>
        </w:rPr>
        <w:t>1.乙方未按要求每天打扫施工现场的，由甲方安排人员打扫并按70元/人/小时扣款；施工作业产生的固废未及时合法处置的，由甲方联系第三方合法处置并按以下标准考核乙方：1.一般固废：1000元/吨扣款；2.危险废物：10000元/吨扣款。</w:t>
      </w:r>
    </w:p>
    <w:p>
      <w:pPr>
        <w:adjustRightInd w:val="0"/>
        <w:snapToGrid w:val="0"/>
        <w:spacing w:line="500" w:lineRule="exact"/>
        <w:rPr>
          <w:sz w:val="24"/>
          <w:lang w:val="zh-CN" w:eastAsia="zh-CN"/>
        </w:rPr>
      </w:pPr>
      <w:r>
        <w:rPr>
          <w:rFonts w:hint="eastAsia"/>
          <w:sz w:val="24"/>
          <w:lang w:val="zh-CN" w:eastAsia="zh-CN"/>
        </w:rPr>
        <w:t>2.乙方违反甲方各项环保管理规定的，第一次扣200元、第二次扣500元、第三次扣1000元。累计违规四次以上的，第四次起每次扣2000元，视情况作停工整顿处理，停工所造成的损失由乙方负责。</w:t>
      </w:r>
    </w:p>
    <w:p>
      <w:pPr>
        <w:adjustRightInd w:val="0"/>
        <w:snapToGrid w:val="0"/>
        <w:spacing w:line="500" w:lineRule="exact"/>
        <w:rPr>
          <w:sz w:val="24"/>
          <w:lang w:val="zh-CN" w:eastAsia="zh-CN"/>
        </w:rPr>
      </w:pPr>
      <w:r>
        <w:rPr>
          <w:rFonts w:hint="eastAsia"/>
          <w:sz w:val="24"/>
          <w:lang w:val="zh-CN" w:eastAsia="zh-CN"/>
        </w:rPr>
        <w:t>3.若因乙方责任导致当地居民上访或当地环保管理部门对甲方提出整改、整顿或处罚的，将由乙方自行承担所有责任，并负责赔偿甲方由此带来的经济损失。</w:t>
      </w:r>
    </w:p>
    <w:p>
      <w:pPr>
        <w:adjustRightInd w:val="0"/>
        <w:snapToGrid w:val="0"/>
        <w:spacing w:line="500" w:lineRule="exact"/>
        <w:rPr>
          <w:sz w:val="24"/>
          <w:lang w:val="zh-CN" w:eastAsia="zh-CN"/>
        </w:rPr>
      </w:pPr>
      <w:r>
        <w:rPr>
          <w:rFonts w:hint="eastAsia"/>
          <w:sz w:val="24"/>
          <w:lang w:val="zh-CN" w:eastAsia="zh-CN"/>
        </w:rPr>
        <w:t>（十一）如有未尽事宜，甲乙双方及时协商。</w:t>
      </w:r>
    </w:p>
    <w:p>
      <w:pPr>
        <w:adjustRightInd w:val="0"/>
        <w:snapToGrid w:val="0"/>
        <w:spacing w:line="500" w:lineRule="exact"/>
        <w:rPr>
          <w:sz w:val="24"/>
          <w:lang w:val="zh-CN" w:eastAsia="zh-CN"/>
        </w:rPr>
      </w:pPr>
      <w:r>
        <w:rPr>
          <w:rFonts w:hint="eastAsia"/>
          <w:sz w:val="24"/>
          <w:lang w:val="zh-CN" w:eastAsia="zh-CN"/>
        </w:rPr>
        <w:t>（十二）本协议一式两份，双方各持一份，协议内容自双方签订之日起开始实施。</w:t>
      </w:r>
    </w:p>
    <w:p>
      <w:pPr>
        <w:adjustRightInd w:val="0"/>
        <w:snapToGrid w:val="0"/>
        <w:spacing w:line="500" w:lineRule="exact"/>
        <w:rPr>
          <w:sz w:val="24"/>
          <w:lang w:val="zh-CN" w:eastAsia="zh-CN"/>
        </w:rPr>
      </w:pPr>
      <w:r>
        <w:rPr>
          <w:rFonts w:hint="eastAsia"/>
          <w:sz w:val="24"/>
          <w:lang w:val="zh-CN" w:eastAsia="zh-CN"/>
        </w:rPr>
        <w:t>甲方：</w:t>
      </w:r>
    </w:p>
    <w:p>
      <w:pPr>
        <w:adjustRightInd w:val="0"/>
        <w:snapToGrid w:val="0"/>
        <w:spacing w:line="500" w:lineRule="exact"/>
        <w:rPr>
          <w:sz w:val="24"/>
          <w:lang w:val="zh-CN" w:eastAsia="zh-CN"/>
        </w:rPr>
      </w:pPr>
      <w:r>
        <w:rPr>
          <w:rFonts w:hint="eastAsia"/>
          <w:sz w:val="24"/>
          <w:lang w:val="zh-CN" w:eastAsia="zh-CN"/>
        </w:rPr>
        <w:t>（盖章）</w:t>
      </w:r>
    </w:p>
    <w:p>
      <w:pPr>
        <w:adjustRightInd w:val="0"/>
        <w:snapToGrid w:val="0"/>
        <w:spacing w:line="500" w:lineRule="exact"/>
        <w:rPr>
          <w:sz w:val="24"/>
          <w:lang w:val="zh-CN" w:eastAsia="zh-CN"/>
        </w:rPr>
      </w:pPr>
      <w:r>
        <w:rPr>
          <w:rFonts w:hint="eastAsia"/>
          <w:sz w:val="24"/>
          <w:lang w:val="zh-CN" w:eastAsia="zh-CN"/>
        </w:rPr>
        <w:t>代表：（签字）</w:t>
      </w:r>
    </w:p>
    <w:p>
      <w:pPr>
        <w:adjustRightInd w:val="0"/>
        <w:snapToGrid w:val="0"/>
        <w:spacing w:line="500" w:lineRule="exact"/>
        <w:rPr>
          <w:sz w:val="24"/>
          <w:lang w:val="zh-CN" w:eastAsia="zh-CN"/>
        </w:rPr>
      </w:pPr>
      <w:r>
        <w:rPr>
          <w:rFonts w:hint="eastAsia"/>
          <w:sz w:val="24"/>
          <w:lang w:val="zh-CN" w:eastAsia="zh-CN"/>
        </w:rPr>
        <w:t>日期：年 月 日</w:t>
      </w:r>
    </w:p>
    <w:p>
      <w:pPr>
        <w:adjustRightInd w:val="0"/>
        <w:snapToGrid w:val="0"/>
        <w:spacing w:line="500" w:lineRule="exact"/>
        <w:rPr>
          <w:sz w:val="24"/>
          <w:lang w:val="zh-CN" w:eastAsia="zh-CN"/>
        </w:rPr>
      </w:pPr>
      <w:r>
        <w:rPr>
          <w:rFonts w:hint="eastAsia"/>
          <w:sz w:val="24"/>
          <w:lang w:val="zh-CN" w:eastAsia="zh-CN"/>
        </w:rPr>
        <w:t>乙方：</w:t>
      </w:r>
    </w:p>
    <w:p>
      <w:pPr>
        <w:adjustRightInd w:val="0"/>
        <w:snapToGrid w:val="0"/>
        <w:spacing w:line="500" w:lineRule="exact"/>
        <w:rPr>
          <w:sz w:val="24"/>
          <w:lang w:val="zh-CN" w:eastAsia="zh-CN"/>
        </w:rPr>
      </w:pPr>
      <w:r>
        <w:rPr>
          <w:rFonts w:hint="eastAsia"/>
          <w:sz w:val="24"/>
          <w:lang w:val="zh-CN" w:eastAsia="zh-CN"/>
        </w:rPr>
        <w:t>（盖章）</w:t>
      </w:r>
    </w:p>
    <w:p>
      <w:pPr>
        <w:adjustRightInd w:val="0"/>
        <w:snapToGrid w:val="0"/>
        <w:spacing w:line="500" w:lineRule="exact"/>
        <w:rPr>
          <w:sz w:val="24"/>
          <w:lang w:val="zh-CN" w:eastAsia="zh-CN"/>
        </w:rPr>
      </w:pPr>
      <w:r>
        <w:rPr>
          <w:rFonts w:hint="eastAsia"/>
          <w:sz w:val="24"/>
          <w:lang w:val="zh-CN" w:eastAsia="zh-CN"/>
        </w:rPr>
        <w:t>代表：（签字）</w:t>
      </w:r>
    </w:p>
    <w:p>
      <w:pPr>
        <w:adjustRightInd w:val="0"/>
        <w:snapToGrid w:val="0"/>
        <w:spacing w:line="500" w:lineRule="exact"/>
        <w:rPr>
          <w:sz w:val="24"/>
          <w:lang w:val="zh-CN" w:eastAsia="zh-CN"/>
        </w:rPr>
      </w:pPr>
      <w:r>
        <w:rPr>
          <w:rFonts w:hint="eastAsia"/>
          <w:sz w:val="24"/>
          <w:lang w:val="zh-CN" w:eastAsia="zh-CN"/>
        </w:rPr>
        <w:t>日期：年 月 日</w:t>
      </w:r>
    </w:p>
    <w:p>
      <w:pPr>
        <w:adjustRightInd w:val="0"/>
        <w:snapToGrid w:val="0"/>
        <w:spacing w:line="500" w:lineRule="exact"/>
        <w:rPr>
          <w:sz w:val="24"/>
          <w:lang w:val="zh-CN" w:eastAsia="zh-CN"/>
        </w:rPr>
      </w:pPr>
      <w:r>
        <w:rPr>
          <w:b/>
          <w:szCs w:val="21"/>
          <w:lang w:eastAsia="zh-CN"/>
        </w:rPr>
        <w:t>合同附件</w:t>
      </w:r>
      <w:r>
        <w:rPr>
          <w:rFonts w:hint="eastAsia"/>
          <w:b/>
          <w:szCs w:val="21"/>
          <w:lang w:eastAsia="zh-CN"/>
        </w:rPr>
        <w:t>4</w:t>
      </w:r>
      <w:r>
        <w:rPr>
          <w:b/>
          <w:szCs w:val="21"/>
          <w:lang w:eastAsia="zh-CN"/>
        </w:rPr>
        <w:t xml:space="preserve"> </w:t>
      </w:r>
    </w:p>
    <w:p>
      <w:pPr>
        <w:spacing w:line="420" w:lineRule="exact"/>
        <w:ind w:firstLine="602" w:firstLineChars="200"/>
        <w:jc w:val="center"/>
        <w:rPr>
          <w:rFonts w:ascii="方正小标宋简体" w:eastAsia="方正小标宋简体"/>
          <w:b/>
          <w:sz w:val="30"/>
          <w:szCs w:val="30"/>
          <w:lang w:eastAsia="zh-CN"/>
        </w:rPr>
      </w:pPr>
      <w:r>
        <w:rPr>
          <w:rFonts w:hint="eastAsia" w:ascii="方正小标宋简体" w:eastAsia="方正小标宋简体"/>
          <w:b/>
          <w:sz w:val="30"/>
          <w:szCs w:val="30"/>
          <w:lang w:eastAsia="zh-CN"/>
        </w:rPr>
        <w:t>安全（消防）管理协议书（2</w:t>
      </w:r>
      <w:r>
        <w:rPr>
          <w:rFonts w:ascii="方正小标宋简体" w:eastAsia="方正小标宋简体"/>
          <w:b/>
          <w:sz w:val="30"/>
          <w:szCs w:val="30"/>
          <w:lang w:eastAsia="zh-CN"/>
        </w:rPr>
        <w:t>023-C</w:t>
      </w:r>
      <w:r>
        <w:rPr>
          <w:rFonts w:hint="eastAsia" w:ascii="方正小标宋简体" w:eastAsia="方正小标宋简体"/>
          <w:b/>
          <w:sz w:val="30"/>
          <w:szCs w:val="30"/>
          <w:lang w:eastAsia="zh-CN"/>
        </w:rPr>
        <w:t>）</w:t>
      </w:r>
    </w:p>
    <w:p>
      <w:pPr>
        <w:spacing w:line="500" w:lineRule="exact"/>
        <w:ind w:firstLine="480"/>
        <w:rPr>
          <w:sz w:val="24"/>
          <w:lang w:eastAsia="zh-CN"/>
        </w:rPr>
      </w:pPr>
      <w:r>
        <w:rPr>
          <w:rFonts w:hint="eastAsia"/>
          <w:sz w:val="24"/>
          <w:lang w:eastAsia="zh-CN"/>
        </w:rPr>
        <w:t>甲方（发包方）：中粮北海糖业有限公司</w:t>
      </w:r>
    </w:p>
    <w:p>
      <w:pPr>
        <w:spacing w:line="500" w:lineRule="exact"/>
        <w:ind w:firstLine="480"/>
        <w:rPr>
          <w:sz w:val="24"/>
          <w:lang w:eastAsia="zh-CN"/>
        </w:rPr>
      </w:pPr>
      <w:r>
        <w:rPr>
          <w:rFonts w:hint="eastAsia"/>
          <w:sz w:val="24"/>
          <w:lang w:eastAsia="zh-CN"/>
        </w:rPr>
        <w:t>乙方（承包方）：</w:t>
      </w:r>
      <w:r>
        <w:rPr>
          <w:rFonts w:hint="eastAsia"/>
          <w:sz w:val="24"/>
          <w:u w:val="single"/>
          <w:lang w:eastAsia="zh-CN"/>
        </w:rPr>
        <w:t xml:space="preserve">                            </w:t>
      </w:r>
    </w:p>
    <w:p>
      <w:pPr>
        <w:spacing w:line="500" w:lineRule="exact"/>
        <w:ind w:firstLine="480" w:firstLineChars="200"/>
        <w:rPr>
          <w:sz w:val="24"/>
          <w:lang w:eastAsia="zh-CN"/>
        </w:rPr>
      </w:pPr>
      <w:bookmarkStart w:id="112" w:name="_Toc381911461"/>
      <w:bookmarkStart w:id="113" w:name="_Hlk132407100"/>
      <w:bookmarkStart w:id="114" w:name="_Toc442022096"/>
      <w:bookmarkStart w:id="115" w:name="_Toc442133366"/>
      <w:bookmarkStart w:id="116" w:name="_Toc451698735"/>
      <w:bookmarkStart w:id="117" w:name="_Toc389985354"/>
      <w:bookmarkStart w:id="118" w:name="_Toc396037049"/>
      <w:bookmarkStart w:id="119" w:name="_Toc383301022"/>
      <w:bookmarkStart w:id="120" w:name="_Toc384944712"/>
      <w:bookmarkStart w:id="121" w:name="_Toc396036405"/>
      <w:bookmarkStart w:id="122" w:name="_Toc442016137"/>
      <w:bookmarkStart w:id="123" w:name="_Toc434694358"/>
      <w:r>
        <w:rPr>
          <w:sz w:val="24"/>
          <w:lang w:eastAsia="zh-CN"/>
        </w:rPr>
        <w:t>为确保施工项目全过程的安全生产</w:t>
      </w:r>
      <w:r>
        <w:rPr>
          <w:rFonts w:hint="eastAsia"/>
          <w:sz w:val="24"/>
          <w:lang w:eastAsia="zh-CN"/>
        </w:rPr>
        <w:t>、消防</w:t>
      </w:r>
      <w:r>
        <w:rPr>
          <w:sz w:val="24"/>
          <w:lang w:eastAsia="zh-CN"/>
        </w:rPr>
        <w:t>管理，明确</w:t>
      </w:r>
      <w:r>
        <w:rPr>
          <w:spacing w:val="-13"/>
          <w:sz w:val="24"/>
          <w:lang w:eastAsia="zh-CN"/>
        </w:rPr>
        <w:t>甲乙双方</w:t>
      </w:r>
      <w:r>
        <w:rPr>
          <w:sz w:val="24"/>
          <w:lang w:eastAsia="zh-CN"/>
        </w:rPr>
        <w:t>安全责任，杜绝生产安全事故，</w:t>
      </w:r>
      <w:r>
        <w:rPr>
          <w:spacing w:val="-13"/>
          <w:sz w:val="24"/>
          <w:lang w:eastAsia="zh-CN"/>
        </w:rPr>
        <w:t>稳定运营，</w:t>
      </w:r>
      <w:r>
        <w:rPr>
          <w:sz w:val="24"/>
          <w:lang w:eastAsia="zh-CN"/>
        </w:rPr>
        <w:t>按照《安全生产法》《民法典》《建设工程安全生产管理条例》等法律法规</w:t>
      </w:r>
      <w:r>
        <w:rPr>
          <w:bCs/>
          <w:sz w:val="24"/>
          <w:lang w:eastAsia="zh-CN"/>
        </w:rPr>
        <w:t>和甲方承包商制度</w:t>
      </w:r>
      <w:r>
        <w:rPr>
          <w:sz w:val="24"/>
          <w:lang w:eastAsia="zh-CN"/>
        </w:rPr>
        <w:t>要求，甲乙双方遵循平等、自愿、公平和诚实信用的原则，就工程安全生产管理事项协商一致，订立本协议。</w:t>
      </w:r>
    </w:p>
    <w:bookmarkEnd w:id="112"/>
    <w:bookmarkEnd w:id="113"/>
    <w:bookmarkEnd w:id="114"/>
    <w:bookmarkEnd w:id="115"/>
    <w:bookmarkEnd w:id="116"/>
    <w:bookmarkEnd w:id="117"/>
    <w:bookmarkEnd w:id="118"/>
    <w:bookmarkEnd w:id="119"/>
    <w:bookmarkEnd w:id="120"/>
    <w:bookmarkEnd w:id="121"/>
    <w:bookmarkEnd w:id="122"/>
    <w:bookmarkEnd w:id="123"/>
    <w:p>
      <w:pPr>
        <w:spacing w:line="500" w:lineRule="exact"/>
        <w:rPr>
          <w:b/>
          <w:sz w:val="24"/>
          <w:lang w:eastAsia="zh-CN"/>
        </w:rPr>
      </w:pPr>
      <w:r>
        <w:rPr>
          <w:b/>
          <w:sz w:val="24"/>
          <w:lang w:eastAsia="zh-CN"/>
        </w:rPr>
        <w:t>1工程概况：</w:t>
      </w:r>
    </w:p>
    <w:p>
      <w:pPr>
        <w:tabs>
          <w:tab w:val="left" w:pos="962"/>
        </w:tabs>
        <w:spacing w:line="500" w:lineRule="exact"/>
        <w:rPr>
          <w:sz w:val="24"/>
          <w:u w:val="single"/>
          <w:lang w:eastAsia="zh-CN"/>
        </w:rPr>
      </w:pPr>
      <w:bookmarkStart w:id="124" w:name="_Toc383301023"/>
      <w:bookmarkStart w:id="125" w:name="_Toc396037050"/>
      <w:bookmarkStart w:id="126" w:name="_Toc434694359"/>
      <w:bookmarkStart w:id="127" w:name="_Toc442133367"/>
      <w:bookmarkStart w:id="128" w:name="_Toc384944713"/>
      <w:bookmarkStart w:id="129" w:name="_Toc396036406"/>
      <w:bookmarkStart w:id="130" w:name="_Toc381911462"/>
      <w:bookmarkStart w:id="131" w:name="_Toc442022097"/>
      <w:bookmarkStart w:id="132" w:name="_Toc442016138"/>
      <w:bookmarkStart w:id="133" w:name="_Toc389985355"/>
      <w:bookmarkStart w:id="134" w:name="_Toc451698736"/>
      <w:r>
        <w:rPr>
          <w:sz w:val="24"/>
          <w:lang w:eastAsia="zh-CN"/>
        </w:rPr>
        <w:t>1.1项目（作业）名称：</w:t>
      </w:r>
      <w:bookmarkEnd w:id="124"/>
      <w:bookmarkEnd w:id="125"/>
      <w:bookmarkEnd w:id="126"/>
      <w:bookmarkEnd w:id="127"/>
      <w:bookmarkEnd w:id="128"/>
      <w:bookmarkEnd w:id="129"/>
      <w:bookmarkEnd w:id="130"/>
      <w:bookmarkEnd w:id="131"/>
      <w:bookmarkEnd w:id="132"/>
      <w:bookmarkEnd w:id="133"/>
      <w:bookmarkEnd w:id="134"/>
      <w:r>
        <w:rPr>
          <w:rFonts w:hint="eastAsia" w:cs="仿宋_GB2312"/>
          <w:sz w:val="24"/>
          <w:u w:val="single"/>
          <w:lang w:eastAsia="zh-CN"/>
        </w:rPr>
        <w:t>2024年北海糖业制炼车间丙糖螺旋输送槽大修项目</w:t>
      </w:r>
    </w:p>
    <w:p>
      <w:pPr>
        <w:tabs>
          <w:tab w:val="left" w:pos="962"/>
        </w:tabs>
        <w:spacing w:line="500" w:lineRule="exact"/>
        <w:rPr>
          <w:sz w:val="24"/>
          <w:u w:val="single"/>
          <w:lang w:eastAsia="zh-CN"/>
        </w:rPr>
      </w:pPr>
      <w:bookmarkStart w:id="135" w:name="_Toc383301024"/>
      <w:bookmarkStart w:id="136" w:name="_Toc396037051"/>
      <w:bookmarkStart w:id="137" w:name="_Toc442022098"/>
      <w:bookmarkStart w:id="138" w:name="_Toc384944714"/>
      <w:bookmarkStart w:id="139" w:name="_Toc434694360"/>
      <w:bookmarkStart w:id="140" w:name="_Toc389985356"/>
      <w:bookmarkStart w:id="141" w:name="_Toc442016139"/>
      <w:bookmarkStart w:id="142" w:name="_Toc442133368"/>
      <w:bookmarkStart w:id="143" w:name="_Toc396036407"/>
      <w:bookmarkStart w:id="144" w:name="_Toc451698737"/>
      <w:bookmarkStart w:id="145" w:name="_Toc381911463"/>
      <w:bookmarkStart w:id="146" w:name="_Hlk132406144"/>
      <w:r>
        <w:rPr>
          <w:sz w:val="24"/>
          <w:lang w:eastAsia="zh-CN"/>
        </w:rPr>
        <w:t>1.2项目（作业）地点与范围：</w:t>
      </w:r>
      <w:bookmarkEnd w:id="135"/>
      <w:bookmarkEnd w:id="136"/>
      <w:bookmarkEnd w:id="137"/>
      <w:bookmarkEnd w:id="138"/>
      <w:bookmarkEnd w:id="139"/>
      <w:bookmarkEnd w:id="140"/>
      <w:bookmarkEnd w:id="141"/>
      <w:bookmarkEnd w:id="142"/>
      <w:bookmarkEnd w:id="143"/>
      <w:bookmarkEnd w:id="144"/>
      <w:bookmarkEnd w:id="145"/>
      <w:r>
        <w:rPr>
          <w:rFonts w:hint="eastAsia"/>
          <w:sz w:val="24"/>
          <w:u w:val="single"/>
          <w:lang w:eastAsia="zh-CN"/>
        </w:rPr>
        <w:t>中粮北海</w:t>
      </w:r>
      <w:r>
        <w:rPr>
          <w:sz w:val="24"/>
          <w:u w:val="single"/>
          <w:lang w:eastAsia="zh-CN"/>
        </w:rPr>
        <w:t>糖</w:t>
      </w:r>
      <w:r>
        <w:rPr>
          <w:rFonts w:hint="eastAsia"/>
          <w:sz w:val="24"/>
          <w:u w:val="single"/>
          <w:lang w:eastAsia="zh-CN"/>
        </w:rPr>
        <w:t>业有限公司厂区内</w:t>
      </w:r>
    </w:p>
    <w:p>
      <w:pPr>
        <w:tabs>
          <w:tab w:val="left" w:pos="962"/>
        </w:tabs>
        <w:spacing w:line="500" w:lineRule="exact"/>
        <w:rPr>
          <w:sz w:val="24"/>
          <w:u w:val="single"/>
          <w:lang w:eastAsia="zh-CN"/>
        </w:rPr>
      </w:pPr>
      <w:bookmarkStart w:id="147" w:name="_Toc383301025"/>
      <w:bookmarkStart w:id="148" w:name="_Toc384944715"/>
      <w:bookmarkStart w:id="149" w:name="_Toc442133369"/>
      <w:bookmarkStart w:id="150" w:name="_Toc381911464"/>
      <w:bookmarkStart w:id="151" w:name="_Toc451698738"/>
      <w:bookmarkStart w:id="152" w:name="_Toc442022099"/>
      <w:bookmarkStart w:id="153" w:name="_Toc434694361"/>
      <w:bookmarkStart w:id="154" w:name="_Toc389985357"/>
      <w:bookmarkStart w:id="155" w:name="_Toc442016140"/>
      <w:bookmarkStart w:id="156" w:name="_Toc396037052"/>
      <w:bookmarkStart w:id="157" w:name="_Toc396036408"/>
      <w:r>
        <w:rPr>
          <w:sz w:val="24"/>
          <w:lang w:eastAsia="zh-CN"/>
        </w:rPr>
        <w:t>1.3项目（作业）承包主要内容：</w:t>
      </w:r>
      <w:bookmarkEnd w:id="146"/>
      <w:bookmarkEnd w:id="147"/>
      <w:bookmarkEnd w:id="148"/>
      <w:bookmarkEnd w:id="149"/>
      <w:bookmarkEnd w:id="150"/>
      <w:bookmarkEnd w:id="151"/>
      <w:bookmarkEnd w:id="152"/>
      <w:bookmarkEnd w:id="153"/>
      <w:bookmarkEnd w:id="154"/>
      <w:bookmarkEnd w:id="155"/>
      <w:bookmarkEnd w:id="156"/>
      <w:bookmarkEnd w:id="157"/>
      <w:bookmarkStart w:id="158" w:name="_Toc451698739"/>
      <w:bookmarkStart w:id="159" w:name="_Toc389985358"/>
      <w:bookmarkStart w:id="160" w:name="_Toc434694362"/>
      <w:bookmarkStart w:id="161" w:name="_Toc442133370"/>
      <w:bookmarkStart w:id="162" w:name="_Toc442016141"/>
      <w:bookmarkStart w:id="163" w:name="_Toc383301026"/>
      <w:bookmarkStart w:id="164" w:name="_Toc396037053"/>
      <w:bookmarkStart w:id="165" w:name="_Toc396036409"/>
      <w:bookmarkStart w:id="166" w:name="_Toc384944716"/>
      <w:bookmarkStart w:id="167" w:name="_Toc442022100"/>
      <w:bookmarkStart w:id="168" w:name="_Toc381911465"/>
      <w:r>
        <w:rPr>
          <w:rFonts w:hint="eastAsia"/>
          <w:sz w:val="24"/>
          <w:u w:val="single"/>
          <w:lang w:eastAsia="zh-CN"/>
        </w:rPr>
        <w:t xml:space="preserve"> 2</w:t>
      </w:r>
      <w:r>
        <w:rPr>
          <w:sz w:val="24"/>
          <w:u w:val="single"/>
          <w:vertAlign w:val="superscript"/>
          <w:lang w:eastAsia="zh-CN"/>
        </w:rPr>
        <w:t>#</w:t>
      </w:r>
      <w:r>
        <w:rPr>
          <w:rFonts w:hint="eastAsia"/>
          <w:sz w:val="24"/>
          <w:u w:val="single"/>
          <w:lang w:eastAsia="zh-CN"/>
        </w:rPr>
        <w:t>丙糖螺旋输送槽大修等。</w:t>
      </w:r>
    </w:p>
    <w:p>
      <w:pPr>
        <w:tabs>
          <w:tab w:val="left" w:pos="962"/>
        </w:tabs>
        <w:spacing w:line="500" w:lineRule="exact"/>
        <w:rPr>
          <w:sz w:val="24"/>
          <w:lang w:eastAsia="zh-CN"/>
        </w:rPr>
      </w:pPr>
      <w:r>
        <w:rPr>
          <w:sz w:val="24"/>
          <w:lang w:eastAsia="zh-CN"/>
        </w:rPr>
        <w:t>1.4项目（作业）工期：自</w:t>
      </w:r>
      <w:r>
        <w:rPr>
          <w:sz w:val="24"/>
          <w:u w:val="single"/>
          <w:lang w:eastAsia="zh-CN"/>
        </w:rPr>
        <w:t xml:space="preserve">      </w:t>
      </w:r>
      <w:r>
        <w:rPr>
          <w:sz w:val="24"/>
          <w:lang w:eastAsia="zh-CN"/>
        </w:rPr>
        <w:t>年</w:t>
      </w:r>
      <w:r>
        <w:rPr>
          <w:sz w:val="24"/>
          <w:u w:val="single"/>
          <w:lang w:eastAsia="zh-CN"/>
        </w:rPr>
        <w:t xml:space="preserve">    </w:t>
      </w:r>
      <w:r>
        <w:rPr>
          <w:sz w:val="24"/>
          <w:lang w:eastAsia="zh-CN"/>
        </w:rPr>
        <w:t>月</w:t>
      </w:r>
      <w:r>
        <w:rPr>
          <w:sz w:val="24"/>
          <w:u w:val="single"/>
          <w:lang w:eastAsia="zh-CN"/>
        </w:rPr>
        <w:t xml:space="preserve">    </w:t>
      </w:r>
      <w:r>
        <w:rPr>
          <w:sz w:val="24"/>
          <w:lang w:eastAsia="zh-CN"/>
        </w:rPr>
        <w:t>日起，至</w:t>
      </w:r>
      <w:r>
        <w:rPr>
          <w:sz w:val="24"/>
          <w:u w:val="single"/>
          <w:lang w:eastAsia="zh-CN"/>
        </w:rPr>
        <w:t xml:space="preserve">       </w:t>
      </w:r>
      <w:r>
        <w:rPr>
          <w:sz w:val="24"/>
          <w:lang w:eastAsia="zh-CN"/>
        </w:rPr>
        <w:t>年</w:t>
      </w:r>
      <w:r>
        <w:rPr>
          <w:sz w:val="24"/>
          <w:u w:val="single"/>
          <w:lang w:eastAsia="zh-CN"/>
        </w:rPr>
        <w:t xml:space="preserve">    </w:t>
      </w:r>
      <w:r>
        <w:rPr>
          <w:sz w:val="24"/>
          <w:lang w:eastAsia="zh-CN"/>
        </w:rPr>
        <w:t>月</w:t>
      </w:r>
      <w:r>
        <w:rPr>
          <w:sz w:val="24"/>
          <w:u w:val="single"/>
          <w:lang w:eastAsia="zh-CN"/>
        </w:rPr>
        <w:t xml:space="preserve">    </w:t>
      </w:r>
      <w:r>
        <w:rPr>
          <w:sz w:val="24"/>
          <w:lang w:eastAsia="zh-CN"/>
        </w:rPr>
        <w:t>日</w:t>
      </w:r>
      <w:bookmarkEnd w:id="158"/>
      <w:bookmarkEnd w:id="159"/>
      <w:bookmarkEnd w:id="160"/>
      <w:bookmarkEnd w:id="161"/>
      <w:bookmarkEnd w:id="162"/>
      <w:bookmarkEnd w:id="163"/>
      <w:bookmarkEnd w:id="164"/>
      <w:bookmarkEnd w:id="165"/>
      <w:bookmarkEnd w:id="166"/>
      <w:bookmarkEnd w:id="167"/>
      <w:bookmarkEnd w:id="168"/>
      <w:r>
        <w:rPr>
          <w:sz w:val="24"/>
          <w:lang w:eastAsia="zh-CN"/>
        </w:rPr>
        <w:t>止。</w:t>
      </w:r>
      <w:r>
        <w:rPr>
          <w:rFonts w:hint="eastAsia"/>
          <w:bCs/>
          <w:sz w:val="24"/>
          <w:lang w:eastAsia="zh-CN"/>
        </w:rPr>
        <w:t>（合同有延期的或项目有保质期的，结束时间按照延期的或项目保质期期限结束为止）</w:t>
      </w:r>
      <w:r>
        <w:rPr>
          <w:bCs/>
          <w:sz w:val="24"/>
          <w:lang w:eastAsia="zh-CN"/>
        </w:rPr>
        <w:t>。</w:t>
      </w:r>
    </w:p>
    <w:p>
      <w:pPr>
        <w:snapToGrid w:val="0"/>
        <w:spacing w:line="500" w:lineRule="exact"/>
        <w:rPr>
          <w:sz w:val="24"/>
          <w:lang w:eastAsia="zh-CN"/>
        </w:rPr>
      </w:pPr>
      <w:bookmarkStart w:id="169" w:name="_Toc442022101"/>
      <w:bookmarkStart w:id="170" w:name="_Toc396036410"/>
      <w:bookmarkStart w:id="171" w:name="_Toc442133371"/>
      <w:bookmarkStart w:id="172" w:name="_Toc383301027"/>
      <w:bookmarkStart w:id="173" w:name="_Toc442016142"/>
      <w:bookmarkStart w:id="174" w:name="_Toc381911466"/>
      <w:bookmarkStart w:id="175" w:name="_Toc451698740"/>
      <w:bookmarkStart w:id="176" w:name="_Toc384944717"/>
      <w:bookmarkStart w:id="177" w:name="_Toc434694363"/>
      <w:bookmarkStart w:id="178" w:name="_Toc396037054"/>
      <w:bookmarkStart w:id="179" w:name="_Toc389985359"/>
      <w:r>
        <w:rPr>
          <w:sz w:val="24"/>
          <w:lang w:eastAsia="zh-CN"/>
        </w:rPr>
        <w:t>2 协议内容</w:t>
      </w:r>
    </w:p>
    <w:p>
      <w:pPr>
        <w:adjustRightInd w:val="0"/>
        <w:snapToGrid w:val="0"/>
        <w:spacing w:line="500" w:lineRule="exact"/>
        <w:rPr>
          <w:sz w:val="24"/>
          <w:lang w:eastAsia="zh-CN"/>
        </w:rPr>
      </w:pPr>
      <w:r>
        <w:rPr>
          <w:sz w:val="24"/>
          <w:lang w:eastAsia="zh-CN"/>
        </w:rPr>
        <w:t>2.1甲方的职责、权利</w:t>
      </w:r>
    </w:p>
    <w:p>
      <w:pPr>
        <w:snapToGrid w:val="0"/>
        <w:spacing w:line="500" w:lineRule="exact"/>
        <w:rPr>
          <w:sz w:val="24"/>
          <w:lang w:eastAsia="zh-CN"/>
        </w:rPr>
      </w:pPr>
      <w:r>
        <w:rPr>
          <w:sz w:val="24"/>
          <w:lang w:eastAsia="zh-CN"/>
        </w:rPr>
        <w:t>2.1.1甲方职责</w:t>
      </w:r>
    </w:p>
    <w:p>
      <w:pPr>
        <w:snapToGrid w:val="0"/>
        <w:spacing w:line="500" w:lineRule="exact"/>
        <w:ind w:firstLine="480" w:firstLineChars="200"/>
        <w:rPr>
          <w:sz w:val="24"/>
          <w:lang w:eastAsia="zh-CN"/>
        </w:rPr>
      </w:pPr>
      <w:r>
        <w:rPr>
          <w:sz w:val="24"/>
          <w:lang w:eastAsia="zh-CN"/>
        </w:rPr>
        <w:t>甲方有责任监督指导乙方按照甲方的信息化管理系统进行承包商全生命周期管理，确保乙方正确理解和应用该系统并遵循相关要求。</w:t>
      </w:r>
    </w:p>
    <w:p>
      <w:pPr>
        <w:snapToGrid w:val="0"/>
        <w:spacing w:line="500" w:lineRule="exact"/>
        <w:rPr>
          <w:sz w:val="24"/>
          <w:lang w:eastAsia="zh-CN"/>
        </w:rPr>
      </w:pPr>
      <w:r>
        <w:rPr>
          <w:sz w:val="24"/>
          <w:lang w:eastAsia="zh-CN"/>
        </w:rPr>
        <w:t>2.1.1.1作业前管理要求</w:t>
      </w:r>
    </w:p>
    <w:p>
      <w:pPr>
        <w:snapToGrid w:val="0"/>
        <w:spacing w:line="500" w:lineRule="exact"/>
        <w:ind w:firstLine="504" w:firstLineChars="200"/>
        <w:rPr>
          <w:sz w:val="24"/>
          <w:lang w:eastAsia="zh-CN"/>
        </w:rPr>
      </w:pPr>
      <w:r>
        <w:rPr>
          <w:spacing w:val="6"/>
          <w:sz w:val="24"/>
          <w:lang w:eastAsia="zh-CN"/>
        </w:rPr>
        <w:t>对乙方提供的单位资质、人员资质等资料进行审核并备案</w:t>
      </w:r>
      <w:r>
        <w:rPr>
          <w:sz w:val="24"/>
          <w:lang w:val="zh-CN" w:eastAsia="zh-CN" w:bidi="zh-CN"/>
        </w:rPr>
        <w:t>，</w:t>
      </w:r>
      <w:r>
        <w:rPr>
          <w:sz w:val="24"/>
          <w:lang w:eastAsia="zh-CN"/>
        </w:rPr>
        <w:t>审查验证乙方作业安全条件，对乙方人员进行进场安全交底</w:t>
      </w:r>
      <w:r>
        <w:rPr>
          <w:kern w:val="36"/>
          <w:sz w:val="24"/>
          <w:lang w:eastAsia="zh-CN"/>
        </w:rPr>
        <w:t>。</w:t>
      </w:r>
    </w:p>
    <w:p>
      <w:pPr>
        <w:widowControl/>
        <w:spacing w:line="500" w:lineRule="exact"/>
        <w:ind w:firstLine="554" w:firstLineChars="231"/>
        <w:rPr>
          <w:sz w:val="24"/>
          <w:lang w:eastAsia="zh-CN"/>
        </w:rPr>
      </w:pPr>
      <w:r>
        <w:rPr>
          <w:sz w:val="24"/>
          <w:lang w:eastAsia="zh-CN"/>
        </w:rPr>
        <w:t>——负责</w:t>
      </w:r>
      <w:r>
        <w:rPr>
          <w:kern w:val="36"/>
          <w:sz w:val="24"/>
          <w:lang w:eastAsia="zh-CN"/>
        </w:rPr>
        <w:t>审核乙方承包资质证件及提供的各类无事故证明、保险、安全培训、作业方案、现场处置方案等文件资料</w:t>
      </w:r>
      <w:r>
        <w:rPr>
          <w:sz w:val="24"/>
          <w:lang w:eastAsia="zh-CN"/>
        </w:rPr>
        <w:t>。</w:t>
      </w:r>
    </w:p>
    <w:p>
      <w:pPr>
        <w:adjustRightInd w:val="0"/>
        <w:snapToGrid w:val="0"/>
        <w:spacing w:line="500" w:lineRule="exact"/>
        <w:rPr>
          <w:sz w:val="24"/>
          <w:lang w:eastAsia="zh-CN"/>
        </w:rPr>
      </w:pPr>
      <w:r>
        <w:rPr>
          <w:sz w:val="24"/>
          <w:lang w:eastAsia="zh-CN"/>
        </w:rPr>
        <w:t>——核验乙方安全管理机构及人员配备情况及相应安全（特种作业）资格证书</w:t>
      </w:r>
      <w:r>
        <w:rPr>
          <w:rFonts w:hint="eastAsia"/>
          <w:sz w:val="24"/>
          <w:lang w:eastAsia="zh-CN"/>
        </w:rPr>
        <w:t>（</w:t>
      </w:r>
      <w:r>
        <w:rPr>
          <w:sz w:val="24"/>
          <w:lang w:eastAsia="zh-CN"/>
        </w:rPr>
        <w:t>a.</w:t>
      </w:r>
      <w:r>
        <w:rPr>
          <w:rFonts w:hint="eastAsia"/>
          <w:sz w:val="24"/>
          <w:lang w:eastAsia="zh-CN"/>
        </w:rPr>
        <w:t>存在下列高处作业的应持有高处作业证：高处从事脚手架和跨越架架设或拆除作业；建筑物内外装饰、清洁、装修、电力、电信等线路架设，高处管道架设，小型空调高处安装、维修，各种设备设施与户外广告的安装、检修、维护以及在高处从事建筑物、设备设施拆除作业。b</w:t>
      </w:r>
      <w:r>
        <w:rPr>
          <w:sz w:val="24"/>
          <w:lang w:eastAsia="zh-CN"/>
        </w:rPr>
        <w:t>.</w:t>
      </w:r>
      <w:r>
        <w:rPr>
          <w:rFonts w:hint="eastAsia"/>
          <w:sz w:val="24"/>
          <w:lang w:eastAsia="zh-CN"/>
        </w:rPr>
        <w:t>高压电工和低压电工不需要“高处作业证”，特种作业人员培训考核内容中包含“高作作业”相关内容的，可不用重复取“高处作业证”，反之未包含的则需取证。</w:t>
      </w:r>
      <w:r>
        <w:rPr>
          <w:sz w:val="24"/>
          <w:lang w:eastAsia="zh-CN"/>
        </w:rPr>
        <w:t>c.</w:t>
      </w:r>
      <w:r>
        <w:rPr>
          <w:rFonts w:hint="eastAsia"/>
          <w:sz w:val="24"/>
          <w:lang w:eastAsia="zh-CN"/>
        </w:rPr>
        <w:t>特种设备焊接作业人员所取得证书适用于从事《特种设备安全监察条例》中规定的锅炉、压力容器（含气瓶）、压力管道和电梯、起重机械、客运索道、大型游乐设施、场（厂）内专用机动车辆的焊接工作。应急管理部门核发的焊接与热切割作业人员所取得特种作业操作证不含《特种设备安全监察条例》规定的有关作业，进行焊接与热切割作业，需要根据《特种作业人员安全技术培训考核管理规定》（原国家安全监管总局第</w:t>
      </w:r>
      <w:r>
        <w:rPr>
          <w:sz w:val="24"/>
          <w:lang w:eastAsia="zh-CN"/>
        </w:rPr>
        <w:t>30号令）取得焊接与热切割特种作业操作证后，方可上岗</w:t>
      </w:r>
      <w:r>
        <w:rPr>
          <w:rFonts w:hint="eastAsia"/>
          <w:sz w:val="24"/>
          <w:lang w:eastAsia="zh-CN"/>
        </w:rPr>
        <w:t>。）。</w:t>
      </w:r>
    </w:p>
    <w:p>
      <w:pPr>
        <w:snapToGrid w:val="0"/>
        <w:spacing w:line="500" w:lineRule="exact"/>
        <w:ind w:firstLine="480" w:firstLineChars="200"/>
        <w:rPr>
          <w:sz w:val="24"/>
          <w:lang w:eastAsia="zh-CN"/>
        </w:rPr>
      </w:pPr>
      <w:r>
        <w:rPr>
          <w:sz w:val="24"/>
          <w:lang w:eastAsia="zh-CN"/>
        </w:rPr>
        <w:t>——核验乙方作业设备设施、工具、物料、劳动保护用品等与乙方承包项目的匹配性以及安全性等；</w:t>
      </w:r>
    </w:p>
    <w:p>
      <w:pPr>
        <w:snapToGrid w:val="0"/>
        <w:spacing w:line="500" w:lineRule="exact"/>
        <w:ind w:firstLine="480" w:firstLineChars="200"/>
        <w:rPr>
          <w:sz w:val="24"/>
          <w:lang w:eastAsia="zh-CN"/>
        </w:rPr>
      </w:pPr>
      <w:r>
        <w:rPr>
          <w:sz w:val="24"/>
          <w:lang w:eastAsia="zh-CN"/>
        </w:rPr>
        <w:t>——负责对乙方人员进行安全风险交底；</w:t>
      </w:r>
    </w:p>
    <w:p>
      <w:pPr>
        <w:snapToGrid w:val="0"/>
        <w:spacing w:line="500" w:lineRule="exact"/>
        <w:ind w:firstLine="480" w:firstLineChars="200"/>
        <w:rPr>
          <w:sz w:val="24"/>
          <w:lang w:eastAsia="zh-CN"/>
        </w:rPr>
      </w:pPr>
      <w:r>
        <w:rPr>
          <w:sz w:val="24"/>
          <w:lang w:eastAsia="zh-CN"/>
        </w:rPr>
        <w:t>——提供必要的工作条件；</w:t>
      </w:r>
    </w:p>
    <w:p>
      <w:pPr>
        <w:snapToGrid w:val="0"/>
        <w:spacing w:line="500" w:lineRule="exact"/>
        <w:rPr>
          <w:sz w:val="24"/>
          <w:lang w:eastAsia="zh-CN"/>
        </w:rPr>
      </w:pPr>
      <w:r>
        <w:rPr>
          <w:sz w:val="24"/>
          <w:lang w:eastAsia="zh-CN"/>
        </w:rPr>
        <w:t>2.1.1.2作业中管理要求</w:t>
      </w:r>
    </w:p>
    <w:p>
      <w:pPr>
        <w:snapToGrid w:val="0"/>
        <w:spacing w:line="500" w:lineRule="exact"/>
        <w:ind w:firstLine="480" w:firstLineChars="200"/>
        <w:rPr>
          <w:sz w:val="24"/>
          <w:lang w:eastAsia="zh-CN"/>
        </w:rPr>
      </w:pPr>
      <w:r>
        <w:rPr>
          <w:sz w:val="24"/>
          <w:lang w:eastAsia="zh-CN"/>
        </w:rPr>
        <w:t>建立信息交流机制，对乙方提报的工作计划或作业任务进行确认，开展作业监督检查，监督办理危险作业等作业许可，指导协调应急处置。</w:t>
      </w:r>
    </w:p>
    <w:p>
      <w:pPr>
        <w:snapToGrid w:val="0"/>
        <w:spacing w:line="500" w:lineRule="exact"/>
        <w:ind w:firstLine="480" w:firstLineChars="200"/>
        <w:rPr>
          <w:sz w:val="24"/>
          <w:lang w:eastAsia="zh-CN"/>
        </w:rPr>
      </w:pPr>
      <w:r>
        <w:rPr>
          <w:sz w:val="24"/>
          <w:lang w:eastAsia="zh-CN"/>
        </w:rPr>
        <w:t>——负责审查乙方提报的《每日作业计划》；</w:t>
      </w:r>
    </w:p>
    <w:p>
      <w:pPr>
        <w:snapToGrid w:val="0"/>
        <w:spacing w:line="500" w:lineRule="exact"/>
        <w:ind w:firstLine="480" w:firstLineChars="200"/>
        <w:rPr>
          <w:sz w:val="24"/>
          <w:lang w:eastAsia="zh-CN"/>
        </w:rPr>
      </w:pPr>
      <w:r>
        <w:rPr>
          <w:sz w:val="24"/>
          <w:lang w:eastAsia="zh-CN"/>
        </w:rPr>
        <w:t>——监督检查乙方风险管控措施和危大工程的方案落实情况，并督促整改闭环。</w:t>
      </w:r>
    </w:p>
    <w:p>
      <w:pPr>
        <w:snapToGrid w:val="0"/>
        <w:spacing w:line="500" w:lineRule="exact"/>
        <w:ind w:firstLine="480" w:firstLineChars="200"/>
        <w:rPr>
          <w:sz w:val="24"/>
          <w:lang w:eastAsia="zh-CN"/>
        </w:rPr>
      </w:pPr>
      <w:r>
        <w:rPr>
          <w:sz w:val="24"/>
          <w:lang w:eastAsia="zh-CN"/>
        </w:rPr>
        <w:t>——负责指挥协调乙方现场安全生产事故应急救援工作，充分调动甲乙双方的应急资源。</w:t>
      </w:r>
    </w:p>
    <w:p>
      <w:pPr>
        <w:snapToGrid w:val="0"/>
        <w:spacing w:line="500" w:lineRule="exact"/>
        <w:ind w:firstLine="480" w:firstLineChars="200"/>
        <w:rPr>
          <w:sz w:val="24"/>
          <w:lang w:eastAsia="zh-CN"/>
        </w:rPr>
      </w:pPr>
      <w:r>
        <w:rPr>
          <w:sz w:val="24"/>
          <w:lang w:eastAsia="zh-CN"/>
        </w:rPr>
        <w:t>——对承包商危险作业实施许可管理；按照变更作业相关制度实施变更作业管理；</w:t>
      </w:r>
    </w:p>
    <w:p>
      <w:pPr>
        <w:snapToGrid w:val="0"/>
        <w:spacing w:line="500" w:lineRule="exact"/>
        <w:ind w:firstLine="480" w:firstLineChars="200"/>
        <w:rPr>
          <w:sz w:val="24"/>
          <w:lang w:eastAsia="zh-CN"/>
        </w:rPr>
      </w:pPr>
      <w:r>
        <w:rPr>
          <w:sz w:val="24"/>
          <w:lang w:eastAsia="zh-CN"/>
        </w:rPr>
        <w:t>——</w:t>
      </w:r>
      <w:r>
        <w:rPr>
          <w:rFonts w:hint="eastAsia"/>
          <w:sz w:val="24"/>
          <w:lang w:eastAsia="zh-CN"/>
        </w:rPr>
        <w:t>两个以上承包商或承包商与本单位在同一作业区域内作业，一方可能危及对方生产安全的，组织签订安全（消防）生产管理协议，明确各自的安全生产管理职责和应当采取的安全措施，并指定专人进行安全检查与协调指挥。</w:t>
      </w:r>
    </w:p>
    <w:p>
      <w:pPr>
        <w:snapToGrid w:val="0"/>
        <w:spacing w:line="500" w:lineRule="exact"/>
        <w:rPr>
          <w:sz w:val="24"/>
          <w:lang w:eastAsia="zh-CN"/>
        </w:rPr>
      </w:pPr>
      <w:r>
        <w:rPr>
          <w:sz w:val="24"/>
          <w:lang w:eastAsia="zh-CN"/>
        </w:rPr>
        <w:t>2.1.1.3作业后管理要求</w:t>
      </w:r>
    </w:p>
    <w:p>
      <w:pPr>
        <w:snapToGrid w:val="0"/>
        <w:spacing w:line="500" w:lineRule="exact"/>
        <w:ind w:firstLine="480" w:firstLineChars="200"/>
        <w:rPr>
          <w:sz w:val="24"/>
          <w:lang w:eastAsia="zh-CN"/>
        </w:rPr>
      </w:pPr>
      <w:r>
        <w:rPr>
          <w:sz w:val="24"/>
          <w:lang w:eastAsia="zh-CN"/>
        </w:rPr>
        <w:t>组织对乙方按照甲方考核评价相关制度进行考核评价，开展项目验收。</w:t>
      </w:r>
    </w:p>
    <w:p>
      <w:pPr>
        <w:snapToGrid w:val="0"/>
        <w:spacing w:line="500" w:lineRule="exact"/>
        <w:rPr>
          <w:sz w:val="24"/>
          <w:lang w:eastAsia="zh-CN"/>
        </w:rPr>
      </w:pPr>
      <w:r>
        <w:rPr>
          <w:sz w:val="24"/>
          <w:lang w:eastAsia="zh-CN"/>
        </w:rPr>
        <w:t>2.1.2 权利</w:t>
      </w:r>
    </w:p>
    <w:p>
      <w:pPr>
        <w:snapToGrid w:val="0"/>
        <w:spacing w:line="500" w:lineRule="exact"/>
        <w:rPr>
          <w:sz w:val="24"/>
          <w:lang w:eastAsia="zh-CN"/>
        </w:rPr>
      </w:pPr>
      <w:r>
        <w:rPr>
          <w:sz w:val="24"/>
          <w:lang w:eastAsia="zh-CN"/>
        </w:rPr>
        <w:t>2.1.2.1 有权否决乙方的分包方案。</w:t>
      </w:r>
    </w:p>
    <w:p>
      <w:pPr>
        <w:snapToGrid w:val="0"/>
        <w:spacing w:line="500" w:lineRule="exact"/>
        <w:rPr>
          <w:sz w:val="24"/>
          <w:lang w:eastAsia="zh-CN"/>
        </w:rPr>
      </w:pPr>
      <w:r>
        <w:rPr>
          <w:sz w:val="24"/>
          <w:lang w:eastAsia="zh-CN"/>
        </w:rPr>
        <w:t>2.1.2.2 有权对乙方现场安全工作不称职的现场负责人、安全管理负责人和作业人员，提出约谈、警告、调离岗位、直至撤换等要求。</w:t>
      </w:r>
    </w:p>
    <w:p>
      <w:pPr>
        <w:snapToGrid w:val="0"/>
        <w:spacing w:line="500" w:lineRule="exact"/>
        <w:rPr>
          <w:sz w:val="24"/>
          <w:lang w:eastAsia="zh-CN"/>
        </w:rPr>
      </w:pPr>
      <w:r>
        <w:rPr>
          <w:sz w:val="24"/>
          <w:lang w:eastAsia="zh-CN"/>
        </w:rPr>
        <w:t>2.1.2.3有权制止并纠正乙方作业现场的“三违”行为，遇到危及安全生产的紧急情况，有权下令停止作业。</w:t>
      </w:r>
    </w:p>
    <w:p>
      <w:pPr>
        <w:snapToGrid w:val="0"/>
        <w:spacing w:line="500" w:lineRule="exact"/>
        <w:rPr>
          <w:sz w:val="24"/>
          <w:lang w:eastAsia="zh-CN"/>
        </w:rPr>
      </w:pPr>
      <w:r>
        <w:rPr>
          <w:sz w:val="24"/>
          <w:lang w:eastAsia="zh-CN"/>
        </w:rPr>
        <w:t>2.1.2.4乙方实施过程中违反国家有关法律法规的，甲方有权决定解除与乙方之间的合同及本协议。</w:t>
      </w:r>
    </w:p>
    <w:p>
      <w:pPr>
        <w:snapToGrid w:val="0"/>
        <w:spacing w:line="500" w:lineRule="exact"/>
        <w:rPr>
          <w:sz w:val="24"/>
          <w:lang w:eastAsia="zh-CN"/>
        </w:rPr>
      </w:pPr>
      <w:r>
        <w:rPr>
          <w:sz w:val="24"/>
          <w:lang w:eastAsia="zh-CN"/>
        </w:rPr>
        <w:t>2.1.2.5有权要求乙方遵守并执行甲方制定或发布的全部的安全</w:t>
      </w:r>
      <w:r>
        <w:rPr>
          <w:rFonts w:hint="eastAsia"/>
          <w:sz w:val="24"/>
          <w:lang w:eastAsia="zh-CN"/>
        </w:rPr>
        <w:t>（消防）</w:t>
      </w:r>
      <w:r>
        <w:rPr>
          <w:sz w:val="24"/>
          <w:lang w:eastAsia="zh-CN"/>
        </w:rPr>
        <w:t>方面的管理制度和要求。</w:t>
      </w:r>
    </w:p>
    <w:p>
      <w:pPr>
        <w:adjustRightInd w:val="0"/>
        <w:snapToGrid w:val="0"/>
        <w:spacing w:line="500" w:lineRule="exact"/>
        <w:rPr>
          <w:sz w:val="24"/>
          <w:lang w:eastAsia="zh-CN"/>
        </w:rPr>
      </w:pPr>
      <w:r>
        <w:rPr>
          <w:sz w:val="24"/>
          <w:lang w:eastAsia="zh-CN"/>
        </w:rPr>
        <w:t>2.1.3乙方的职责、权利</w:t>
      </w:r>
    </w:p>
    <w:p>
      <w:pPr>
        <w:snapToGrid w:val="0"/>
        <w:spacing w:line="500" w:lineRule="exact"/>
        <w:rPr>
          <w:sz w:val="24"/>
          <w:lang w:eastAsia="zh-CN"/>
        </w:rPr>
      </w:pPr>
      <w:r>
        <w:rPr>
          <w:sz w:val="24"/>
          <w:lang w:eastAsia="zh-CN"/>
        </w:rPr>
        <w:t xml:space="preserve">2.2 乙方责任 </w:t>
      </w:r>
    </w:p>
    <w:p>
      <w:pPr>
        <w:snapToGrid w:val="0"/>
        <w:spacing w:line="500" w:lineRule="exact"/>
        <w:ind w:firstLine="480" w:firstLineChars="200"/>
        <w:rPr>
          <w:sz w:val="24"/>
          <w:lang w:eastAsia="zh-CN"/>
        </w:rPr>
      </w:pPr>
      <w:r>
        <w:rPr>
          <w:sz w:val="24"/>
          <w:lang w:eastAsia="zh-CN"/>
        </w:rPr>
        <w:t>乙方按照甲方承包商管理制度及信息化管理系统要求，提供、上传相关资料文件，对资料的真实性、有效性、合法性负责。安全合规有序开展作业，确保项目满足质量及使用要求。</w:t>
      </w:r>
    </w:p>
    <w:p>
      <w:pPr>
        <w:snapToGrid w:val="0"/>
        <w:spacing w:line="500" w:lineRule="exact"/>
        <w:rPr>
          <w:sz w:val="24"/>
          <w:lang w:eastAsia="zh-CN"/>
        </w:rPr>
      </w:pPr>
      <w:r>
        <w:rPr>
          <w:sz w:val="24"/>
          <w:lang w:eastAsia="zh-CN"/>
        </w:rPr>
        <w:t>2.2.1作业前工作要求</w:t>
      </w:r>
    </w:p>
    <w:p>
      <w:pPr>
        <w:widowControl/>
        <w:spacing w:line="500" w:lineRule="exact"/>
        <w:ind w:firstLine="554" w:firstLineChars="231"/>
        <w:rPr>
          <w:sz w:val="24"/>
          <w:lang w:eastAsia="zh-CN"/>
        </w:rPr>
      </w:pPr>
      <w:r>
        <w:rPr>
          <w:rFonts w:hint="eastAsia"/>
          <w:sz w:val="24"/>
          <w:lang w:eastAsia="zh-CN"/>
        </w:rPr>
        <w:t>提供企业相关信息，签订安全（消防）协议，接受安全条件审查，开展安全培训交底工作。</w:t>
      </w:r>
    </w:p>
    <w:p>
      <w:pPr>
        <w:widowControl/>
        <w:spacing w:line="500" w:lineRule="exact"/>
        <w:ind w:firstLine="554" w:firstLineChars="231"/>
        <w:rPr>
          <w:sz w:val="24"/>
          <w:lang w:eastAsia="zh-CN"/>
        </w:rPr>
      </w:pPr>
      <w:r>
        <w:rPr>
          <w:sz w:val="24"/>
          <w:lang w:eastAsia="zh-CN"/>
        </w:rPr>
        <w:t>——提交</w:t>
      </w:r>
      <w:r>
        <w:rPr>
          <w:kern w:val="36"/>
          <w:sz w:val="24"/>
          <w:lang w:eastAsia="zh-CN"/>
        </w:rPr>
        <w:t>资质证件、无事故证明、人员保险、人员资格证书、安全培训、作业方案、现场处置方案等文件资料</w:t>
      </w:r>
      <w:r>
        <w:rPr>
          <w:sz w:val="24"/>
          <w:lang w:eastAsia="zh-CN"/>
        </w:rPr>
        <w:t>，并对真实性、有效性和合法性负责。</w:t>
      </w:r>
    </w:p>
    <w:p>
      <w:pPr>
        <w:snapToGrid w:val="0"/>
        <w:spacing w:line="500" w:lineRule="exact"/>
        <w:ind w:firstLine="480" w:firstLineChars="200"/>
        <w:rPr>
          <w:sz w:val="24"/>
          <w:lang w:eastAsia="zh-CN"/>
        </w:rPr>
      </w:pPr>
      <w:r>
        <w:rPr>
          <w:sz w:val="24"/>
          <w:lang w:eastAsia="zh-CN"/>
        </w:rPr>
        <w:t>——配备安全管理机构及人员；</w:t>
      </w:r>
    </w:p>
    <w:p>
      <w:pPr>
        <w:snapToGrid w:val="0"/>
        <w:spacing w:line="500" w:lineRule="exact"/>
        <w:ind w:firstLine="480" w:firstLineChars="200"/>
        <w:rPr>
          <w:sz w:val="24"/>
          <w:lang w:eastAsia="zh-CN"/>
        </w:rPr>
      </w:pPr>
      <w:r>
        <w:rPr>
          <w:sz w:val="24"/>
          <w:lang w:eastAsia="zh-CN"/>
        </w:rPr>
        <w:t>——配备作业设备设施、工具、物料、劳动保护用品等物品，并对符合性、安全性和完好性负责；</w:t>
      </w:r>
    </w:p>
    <w:p>
      <w:pPr>
        <w:snapToGrid w:val="0"/>
        <w:spacing w:line="500" w:lineRule="exact"/>
        <w:ind w:firstLine="480" w:firstLineChars="200"/>
        <w:rPr>
          <w:sz w:val="24"/>
          <w:lang w:eastAsia="zh-CN"/>
        </w:rPr>
      </w:pPr>
      <w:r>
        <w:rPr>
          <w:sz w:val="24"/>
          <w:lang w:eastAsia="zh-CN"/>
        </w:rPr>
        <w:t>——负责对乙方作业人员进行安全风险交底；</w:t>
      </w:r>
    </w:p>
    <w:p>
      <w:pPr>
        <w:snapToGrid w:val="0"/>
        <w:spacing w:line="500" w:lineRule="exact"/>
        <w:ind w:firstLine="480" w:firstLineChars="200"/>
        <w:rPr>
          <w:sz w:val="24"/>
          <w:lang w:eastAsia="zh-CN"/>
        </w:rPr>
      </w:pPr>
      <w:r>
        <w:rPr>
          <w:sz w:val="24"/>
          <w:lang w:eastAsia="zh-CN"/>
        </w:rPr>
        <w:t>——严禁违法分包和挂靠资质。如违反，则甲方有权决定解除与乙方之间的合同及本协议。</w:t>
      </w:r>
    </w:p>
    <w:p>
      <w:pPr>
        <w:snapToGrid w:val="0"/>
        <w:spacing w:line="500" w:lineRule="exact"/>
        <w:rPr>
          <w:sz w:val="24"/>
          <w:lang w:eastAsia="zh-CN"/>
        </w:rPr>
      </w:pPr>
      <w:r>
        <w:rPr>
          <w:sz w:val="24"/>
          <w:lang w:eastAsia="zh-CN"/>
        </w:rPr>
        <w:t>2.2.2作业中管理要求</w:t>
      </w:r>
    </w:p>
    <w:p>
      <w:pPr>
        <w:snapToGrid w:val="0"/>
        <w:spacing w:line="500" w:lineRule="exact"/>
        <w:ind w:firstLine="480" w:firstLineChars="200"/>
        <w:rPr>
          <w:sz w:val="24"/>
          <w:lang w:eastAsia="zh-CN"/>
        </w:rPr>
      </w:pPr>
      <w:r>
        <w:rPr>
          <w:sz w:val="24"/>
          <w:lang w:eastAsia="zh-CN"/>
        </w:rPr>
        <w:t>按照甲方要求参加值班例会或项目例会，按时提报的工作计划或作业任务，定期开展安全检查并整改关闭，按照规定办理危险作业等作业许可，开展安全事故应急处置。</w:t>
      </w:r>
    </w:p>
    <w:p>
      <w:pPr>
        <w:snapToGrid w:val="0"/>
        <w:spacing w:line="500" w:lineRule="exact"/>
        <w:ind w:firstLine="480" w:firstLineChars="200"/>
        <w:rPr>
          <w:sz w:val="24"/>
          <w:lang w:eastAsia="zh-CN"/>
        </w:rPr>
      </w:pPr>
      <w:r>
        <w:rPr>
          <w:sz w:val="24"/>
          <w:lang w:eastAsia="zh-CN"/>
        </w:rPr>
        <w:t>禁止擅自改变每日作业活动的性质、范围和条件，禁止在作业任务规定时间之外开展作业，禁止在无人监管的情况下开展作业。</w:t>
      </w:r>
    </w:p>
    <w:p>
      <w:pPr>
        <w:snapToGrid w:val="0"/>
        <w:spacing w:line="500" w:lineRule="exact"/>
        <w:ind w:firstLine="480" w:firstLineChars="200"/>
        <w:rPr>
          <w:sz w:val="24"/>
          <w:lang w:eastAsia="zh-CN"/>
        </w:rPr>
      </w:pPr>
      <w:r>
        <w:rPr>
          <w:sz w:val="24"/>
          <w:lang w:eastAsia="zh-CN"/>
        </w:rPr>
        <w:t>——负责提报的《每日作业计划》；</w:t>
      </w:r>
    </w:p>
    <w:p>
      <w:pPr>
        <w:snapToGrid w:val="0"/>
        <w:spacing w:line="500" w:lineRule="exact"/>
        <w:ind w:firstLine="480" w:firstLineChars="200"/>
        <w:rPr>
          <w:sz w:val="24"/>
          <w:lang w:eastAsia="zh-CN"/>
        </w:rPr>
      </w:pPr>
      <w:r>
        <w:rPr>
          <w:sz w:val="24"/>
          <w:lang w:eastAsia="zh-CN"/>
        </w:rPr>
        <w:t>——按照施工方案落实风险管控措施；</w:t>
      </w:r>
    </w:p>
    <w:p>
      <w:pPr>
        <w:snapToGrid w:val="0"/>
        <w:spacing w:line="500" w:lineRule="exact"/>
        <w:ind w:firstLine="480" w:firstLineChars="200"/>
        <w:rPr>
          <w:sz w:val="24"/>
          <w:lang w:eastAsia="zh-CN"/>
        </w:rPr>
      </w:pPr>
      <w:r>
        <w:rPr>
          <w:sz w:val="24"/>
          <w:lang w:eastAsia="zh-CN"/>
        </w:rPr>
        <w:t>——负责指挥现场安全生产事故应急救援工作，并及时向甲方报告，并积极配合甲方的应急指挥、协调事故救援工作。</w:t>
      </w:r>
    </w:p>
    <w:p>
      <w:pPr>
        <w:snapToGrid w:val="0"/>
        <w:spacing w:line="500" w:lineRule="exact"/>
        <w:ind w:firstLine="480" w:firstLineChars="200"/>
        <w:rPr>
          <w:sz w:val="24"/>
          <w:lang w:eastAsia="zh-CN"/>
        </w:rPr>
      </w:pPr>
      <w:r>
        <w:rPr>
          <w:sz w:val="24"/>
          <w:lang w:eastAsia="zh-CN"/>
        </w:rPr>
        <w:t>——按照甲方制度要求，危险作业办理许可方可作业；按照甲方变更作业相关制度实施变更作业管理；</w:t>
      </w:r>
    </w:p>
    <w:p>
      <w:pPr>
        <w:snapToGrid w:val="0"/>
        <w:spacing w:line="500" w:lineRule="exact"/>
        <w:ind w:firstLine="480" w:firstLineChars="200"/>
        <w:rPr>
          <w:sz w:val="24"/>
          <w:lang w:eastAsia="zh-CN"/>
        </w:rPr>
      </w:pPr>
      <w:r>
        <w:rPr>
          <w:sz w:val="24"/>
          <w:lang w:eastAsia="zh-CN"/>
        </w:rPr>
        <w:t>——特种作业人员须持有与作业相应的、合格的特种作业证，特种设备操作人员需持有效的特种设备操作员证；</w:t>
      </w:r>
    </w:p>
    <w:p>
      <w:pPr>
        <w:snapToGrid w:val="0"/>
        <w:spacing w:line="500" w:lineRule="exact"/>
        <w:ind w:firstLine="480" w:firstLineChars="200"/>
        <w:rPr>
          <w:sz w:val="24"/>
          <w:lang w:eastAsia="zh-CN"/>
        </w:rPr>
      </w:pPr>
      <w:r>
        <w:rPr>
          <w:sz w:val="24"/>
          <w:lang w:eastAsia="zh-CN"/>
        </w:rPr>
        <w:t>——现场存在交叉作业时，应服从甲方协调、指挥。</w:t>
      </w:r>
    </w:p>
    <w:p>
      <w:pPr>
        <w:snapToGrid w:val="0"/>
        <w:spacing w:line="500" w:lineRule="exact"/>
        <w:ind w:firstLine="540" w:firstLineChars="225"/>
        <w:rPr>
          <w:sz w:val="24"/>
          <w:lang w:eastAsia="zh-CN"/>
        </w:rPr>
      </w:pPr>
      <w:r>
        <w:rPr>
          <w:sz w:val="24"/>
          <w:lang w:eastAsia="zh-CN"/>
        </w:rPr>
        <w:t>——施工过程中，存在重大变更（方案、工具、人员等）或重大隐患、事故征兆以及事故的情况，应及时、如实报告甲方。</w:t>
      </w:r>
    </w:p>
    <w:p>
      <w:pPr>
        <w:widowControl/>
        <w:spacing w:line="500" w:lineRule="exact"/>
        <w:ind w:firstLine="480" w:firstLineChars="200"/>
        <w:rPr>
          <w:sz w:val="24"/>
          <w:lang w:eastAsia="zh-CN"/>
        </w:rPr>
      </w:pPr>
      <w:r>
        <w:rPr>
          <w:sz w:val="24"/>
          <w:lang w:eastAsia="zh-CN"/>
        </w:rPr>
        <w:t>——涉及危大工程的，根据《危险性较大的分部分项工程安全管理规定》及甲方相关制度标准，组织编制危大工程专项施工方案。</w:t>
      </w:r>
    </w:p>
    <w:p>
      <w:pPr>
        <w:widowControl/>
        <w:spacing w:line="500" w:lineRule="exact"/>
        <w:ind w:firstLine="480" w:firstLineChars="200"/>
        <w:rPr>
          <w:sz w:val="24"/>
          <w:lang w:eastAsia="zh-CN"/>
        </w:rPr>
      </w:pPr>
      <w:r>
        <w:rPr>
          <w:sz w:val="24"/>
          <w:lang w:eastAsia="zh-CN"/>
        </w:rPr>
        <w:t>——作业过程中违反国家有关法律法规造成损失的，承担相应责任，若因此给甲方造成损失或处罚的，承担经济损失。</w:t>
      </w:r>
    </w:p>
    <w:p>
      <w:pPr>
        <w:snapToGrid w:val="0"/>
        <w:spacing w:line="500" w:lineRule="exact"/>
        <w:ind w:firstLine="480" w:firstLineChars="200"/>
        <w:rPr>
          <w:sz w:val="24"/>
          <w:lang w:eastAsia="zh-CN"/>
        </w:rPr>
      </w:pPr>
      <w:r>
        <w:rPr>
          <w:sz w:val="24"/>
          <w:lang w:eastAsia="zh-CN"/>
        </w:rPr>
        <w:t>——作业过程中严禁使用国家明令禁止使用或耗能大、对环境造成较大破坏的设备设施，运输车辆需符合排放标准要求，作业现场需做好防扬撒措施，规范处置作业过程中产生的固废、危废。</w:t>
      </w:r>
    </w:p>
    <w:p>
      <w:pPr>
        <w:snapToGrid w:val="0"/>
        <w:spacing w:line="500" w:lineRule="exact"/>
        <w:rPr>
          <w:sz w:val="24"/>
          <w:lang w:eastAsia="zh-CN"/>
        </w:rPr>
      </w:pPr>
      <w:r>
        <w:rPr>
          <w:sz w:val="24"/>
          <w:lang w:eastAsia="zh-CN"/>
        </w:rPr>
        <w:t>2.2.3作业后管理要求</w:t>
      </w:r>
    </w:p>
    <w:p>
      <w:pPr>
        <w:snapToGrid w:val="0"/>
        <w:spacing w:line="500" w:lineRule="exact"/>
        <w:ind w:firstLine="480" w:firstLineChars="200"/>
        <w:rPr>
          <w:sz w:val="24"/>
          <w:lang w:eastAsia="zh-CN"/>
        </w:rPr>
      </w:pPr>
      <w:r>
        <w:rPr>
          <w:sz w:val="24"/>
          <w:lang w:eastAsia="zh-CN"/>
        </w:rPr>
        <w:t>对甲方提供的技术资料保密，并提供真实有效的竣工验收资料。</w:t>
      </w:r>
    </w:p>
    <w:p>
      <w:pPr>
        <w:snapToGrid w:val="0"/>
        <w:spacing w:line="500" w:lineRule="exact"/>
        <w:ind w:firstLine="480" w:firstLineChars="200"/>
        <w:rPr>
          <w:sz w:val="24"/>
          <w:lang w:eastAsia="zh-CN"/>
        </w:rPr>
      </w:pPr>
      <w:r>
        <w:rPr>
          <w:sz w:val="24"/>
          <w:lang w:eastAsia="zh-CN"/>
        </w:rPr>
        <w:t>——对甲方提供的技术资料的保密性负责；</w:t>
      </w:r>
    </w:p>
    <w:p>
      <w:pPr>
        <w:snapToGrid w:val="0"/>
        <w:spacing w:line="500" w:lineRule="exact"/>
        <w:ind w:firstLine="480" w:firstLineChars="200"/>
        <w:rPr>
          <w:sz w:val="24"/>
          <w:lang w:eastAsia="zh-CN"/>
        </w:rPr>
      </w:pPr>
      <w:r>
        <w:rPr>
          <w:sz w:val="24"/>
          <w:lang w:eastAsia="zh-CN"/>
        </w:rPr>
        <w:t>——对提交竣工验收相关资料的真实性负责。</w:t>
      </w:r>
    </w:p>
    <w:p>
      <w:pPr>
        <w:snapToGrid w:val="0"/>
        <w:spacing w:line="500" w:lineRule="exact"/>
        <w:rPr>
          <w:sz w:val="24"/>
          <w:lang w:eastAsia="zh-CN"/>
        </w:rPr>
      </w:pPr>
      <w:r>
        <w:rPr>
          <w:sz w:val="24"/>
          <w:lang w:eastAsia="zh-CN"/>
        </w:rPr>
        <w:t>2.3 权利</w:t>
      </w:r>
    </w:p>
    <w:p>
      <w:pPr>
        <w:spacing w:line="500" w:lineRule="exact"/>
        <w:rPr>
          <w:sz w:val="24"/>
          <w:lang w:eastAsia="zh-CN"/>
        </w:rPr>
      </w:pPr>
      <w:r>
        <w:rPr>
          <w:sz w:val="24"/>
          <w:lang w:eastAsia="zh-CN"/>
        </w:rPr>
        <w:t>2.3.1 有权拒绝甲方的违章指挥、强令冒险作业要求。</w:t>
      </w:r>
      <w:bookmarkEnd w:id="169"/>
      <w:bookmarkEnd w:id="170"/>
      <w:bookmarkEnd w:id="171"/>
      <w:bookmarkEnd w:id="172"/>
      <w:bookmarkEnd w:id="173"/>
      <w:bookmarkEnd w:id="174"/>
      <w:bookmarkEnd w:id="175"/>
      <w:bookmarkEnd w:id="176"/>
      <w:bookmarkEnd w:id="177"/>
      <w:bookmarkEnd w:id="178"/>
      <w:bookmarkEnd w:id="179"/>
    </w:p>
    <w:p>
      <w:pPr>
        <w:spacing w:line="500" w:lineRule="exact"/>
        <w:rPr>
          <w:b/>
          <w:bCs/>
          <w:sz w:val="24"/>
          <w:lang w:eastAsia="zh-CN"/>
        </w:rPr>
      </w:pPr>
      <w:bookmarkStart w:id="180" w:name="_Toc442133372"/>
      <w:bookmarkStart w:id="181" w:name="_Toc389985360"/>
      <w:bookmarkStart w:id="182" w:name="_Toc451698741"/>
      <w:bookmarkStart w:id="183" w:name="_Toc396037055"/>
      <w:bookmarkStart w:id="184" w:name="_Toc381911467"/>
      <w:bookmarkStart w:id="185" w:name="_Toc384944718"/>
      <w:bookmarkStart w:id="186" w:name="_Toc442016143"/>
      <w:bookmarkStart w:id="187" w:name="_Toc396036411"/>
      <w:bookmarkStart w:id="188" w:name="_Toc383301028"/>
      <w:bookmarkStart w:id="189" w:name="_Toc434694364"/>
      <w:bookmarkStart w:id="190" w:name="_Toc442022102"/>
      <w:r>
        <w:rPr>
          <w:b/>
          <w:bCs/>
          <w:sz w:val="24"/>
          <w:lang w:eastAsia="zh-CN"/>
        </w:rPr>
        <w:t>3安全投入和资金保障</w:t>
      </w:r>
      <w:bookmarkEnd w:id="180"/>
      <w:bookmarkEnd w:id="181"/>
      <w:bookmarkEnd w:id="182"/>
      <w:bookmarkEnd w:id="183"/>
      <w:bookmarkEnd w:id="184"/>
      <w:bookmarkEnd w:id="185"/>
      <w:bookmarkEnd w:id="186"/>
      <w:bookmarkEnd w:id="187"/>
      <w:bookmarkEnd w:id="188"/>
      <w:bookmarkEnd w:id="189"/>
      <w:bookmarkEnd w:id="190"/>
    </w:p>
    <w:p>
      <w:pPr>
        <w:spacing w:line="500" w:lineRule="exact"/>
        <w:rPr>
          <w:sz w:val="24"/>
          <w:lang w:eastAsia="zh-CN"/>
        </w:rPr>
      </w:pPr>
      <w:r>
        <w:rPr>
          <w:sz w:val="24"/>
          <w:lang w:eastAsia="zh-CN"/>
        </w:rPr>
        <w:t>3.1甲方是项目安全投入的责任主体，负责完善和改进项目安全生产条件的资金保障，向乙方提供保障施工作业所需的安全投入，已包含在甲方支付给乙方的合同款中。</w:t>
      </w:r>
    </w:p>
    <w:p>
      <w:pPr>
        <w:spacing w:line="500" w:lineRule="exact"/>
        <w:rPr>
          <w:bCs/>
          <w:sz w:val="24"/>
          <w:lang w:eastAsia="zh-CN"/>
        </w:rPr>
      </w:pPr>
      <w:r>
        <w:rPr>
          <w:sz w:val="24"/>
          <w:lang w:eastAsia="zh-CN"/>
        </w:rPr>
        <w:t>3.2乙方缴纳的项目合同履约保证金可同时用作风险抵押金，作为安全、环保风险抵押金使用。</w:t>
      </w:r>
      <w:r>
        <w:rPr>
          <w:bCs/>
          <w:sz w:val="24"/>
          <w:lang w:eastAsia="zh-CN"/>
        </w:rPr>
        <w:t>用于甲方对乙方的安全管理。当乙方发生未履新安全管理责任或者造成安全事故时，甲方可以根据协议扣除部分或全部安全管理风险押金。</w:t>
      </w:r>
    </w:p>
    <w:p>
      <w:pPr>
        <w:spacing w:line="500" w:lineRule="exact"/>
        <w:rPr>
          <w:bCs/>
          <w:sz w:val="24"/>
          <w:lang w:eastAsia="zh-CN"/>
        </w:rPr>
      </w:pPr>
      <w:r>
        <w:rPr>
          <w:bCs/>
          <w:sz w:val="24"/>
          <w:lang w:eastAsia="zh-CN"/>
        </w:rPr>
        <w:t>3.3乙方须</w:t>
      </w:r>
      <w:r>
        <w:rPr>
          <w:sz w:val="24"/>
          <w:lang w:eastAsia="zh-CN"/>
        </w:rPr>
        <w:t>和参与施工人员签订符合《民法典》要求的用工合同或劳务合同，</w:t>
      </w:r>
      <w:r>
        <w:rPr>
          <w:bCs/>
          <w:sz w:val="24"/>
          <w:lang w:eastAsia="zh-CN"/>
        </w:rPr>
        <w:t>为施工人员购买工伤保险或购买赔付额度不低于</w:t>
      </w:r>
      <w:r>
        <w:rPr>
          <w:rFonts w:hint="eastAsia"/>
          <w:bCs/>
          <w:sz w:val="24"/>
          <w:lang w:eastAsia="zh-CN"/>
        </w:rPr>
        <w:t>105万</w:t>
      </w:r>
      <w:r>
        <w:rPr>
          <w:bCs/>
          <w:sz w:val="24"/>
          <w:lang w:eastAsia="zh-CN"/>
        </w:rPr>
        <w:t>元（</w:t>
      </w:r>
      <w:r>
        <w:rPr>
          <w:sz w:val="24"/>
          <w:lang w:val="zh-CN" w:eastAsia="zh-CN"/>
        </w:rPr>
        <w:t>保额赔付不低于</w:t>
      </w:r>
      <w:r>
        <w:rPr>
          <w:sz w:val="24"/>
          <w:lang w:eastAsia="zh-CN"/>
        </w:rPr>
        <w:t>上一年度国家一次性工亡补助金标准为上一年度全国城镇居民人均可支配收入的20倍</w:t>
      </w:r>
      <w:r>
        <w:rPr>
          <w:bCs/>
          <w:sz w:val="24"/>
          <w:lang w:eastAsia="zh-CN"/>
        </w:rPr>
        <w:t>）的意外伤害险或雇主责任险和10万元的医疗保险。</w:t>
      </w:r>
    </w:p>
    <w:p>
      <w:pPr>
        <w:spacing w:line="500" w:lineRule="exact"/>
        <w:rPr>
          <w:bCs/>
          <w:sz w:val="24"/>
          <w:lang w:eastAsia="zh-CN"/>
        </w:rPr>
      </w:pPr>
      <w:r>
        <w:rPr>
          <w:sz w:val="24"/>
          <w:lang w:eastAsia="zh-CN"/>
        </w:rPr>
        <w:t>3.4</w:t>
      </w:r>
      <w:r>
        <w:rPr>
          <w:bCs/>
          <w:sz w:val="24"/>
          <w:lang w:eastAsia="zh-CN"/>
        </w:rPr>
        <w:t>乙方应当按照相关法律、法规、规章和标准的有关规定和本协议，保证安全生产投入落实到位、专款专用，不断完善和改进项目现场安全生产条件。</w:t>
      </w:r>
      <w:r>
        <w:rPr>
          <w:sz w:val="24"/>
          <w:lang w:eastAsia="zh-CN"/>
        </w:rPr>
        <w:t>甲方监督乙方将各项安全投入落实到位，乙方不落实的由甲方先期垫付。</w:t>
      </w:r>
    </w:p>
    <w:p>
      <w:pPr>
        <w:spacing w:line="500" w:lineRule="exact"/>
        <w:rPr>
          <w:b/>
          <w:bCs/>
          <w:sz w:val="24"/>
          <w:lang w:eastAsia="zh-CN"/>
        </w:rPr>
      </w:pPr>
      <w:bookmarkStart w:id="191" w:name="_Toc442022103"/>
      <w:bookmarkStart w:id="192" w:name="_Toc442133373"/>
      <w:bookmarkStart w:id="193" w:name="_Toc396036412"/>
      <w:bookmarkStart w:id="194" w:name="_Toc442016144"/>
      <w:bookmarkStart w:id="195" w:name="_Toc389985361"/>
      <w:bookmarkStart w:id="196" w:name="_Toc434694365"/>
      <w:bookmarkStart w:id="197" w:name="_Toc381911468"/>
      <w:bookmarkStart w:id="198" w:name="_Toc396037056"/>
      <w:bookmarkStart w:id="199" w:name="_Toc384944719"/>
      <w:bookmarkStart w:id="200" w:name="_Toc451698742"/>
      <w:bookmarkStart w:id="201" w:name="_Toc383301029"/>
      <w:r>
        <w:rPr>
          <w:b/>
          <w:bCs/>
          <w:sz w:val="24"/>
          <w:lang w:eastAsia="zh-CN"/>
        </w:rPr>
        <w:t>4安全设施和施工条件</w:t>
      </w:r>
      <w:bookmarkEnd w:id="191"/>
      <w:bookmarkEnd w:id="192"/>
      <w:bookmarkEnd w:id="193"/>
      <w:bookmarkEnd w:id="194"/>
      <w:bookmarkEnd w:id="195"/>
      <w:bookmarkEnd w:id="196"/>
      <w:bookmarkEnd w:id="197"/>
      <w:bookmarkEnd w:id="198"/>
      <w:bookmarkEnd w:id="199"/>
      <w:bookmarkEnd w:id="200"/>
      <w:bookmarkEnd w:id="201"/>
    </w:p>
    <w:p>
      <w:pPr>
        <w:spacing w:line="500" w:lineRule="exact"/>
        <w:rPr>
          <w:sz w:val="24"/>
          <w:lang w:eastAsia="zh-CN"/>
        </w:rPr>
      </w:pPr>
      <w:r>
        <w:rPr>
          <w:sz w:val="24"/>
          <w:lang w:eastAsia="zh-CN"/>
        </w:rPr>
        <w:t xml:space="preserve">4.1甲方应当保证提供给外包项目有关的生产系统安全设施正常运行，保证外包项目具备法律、法规、规章和标准规定的安全生产条件。 </w:t>
      </w:r>
    </w:p>
    <w:p>
      <w:pPr>
        <w:spacing w:line="500" w:lineRule="exact"/>
        <w:rPr>
          <w:sz w:val="24"/>
          <w:lang w:eastAsia="zh-CN"/>
        </w:rPr>
      </w:pPr>
      <w:r>
        <w:rPr>
          <w:sz w:val="24"/>
          <w:lang w:eastAsia="zh-CN"/>
        </w:rPr>
        <w:t>4.2甲方应当为乙方提供安全生产所必要的施工作业条件。除不可抗力外，甲方未向乙方提供安全生产所必要的施工作业条件，由此给乙方造成有关生产进度、经济等方面损失的，由甲方承担责任。</w:t>
      </w:r>
    </w:p>
    <w:p>
      <w:pPr>
        <w:spacing w:line="500" w:lineRule="exact"/>
        <w:rPr>
          <w:sz w:val="24"/>
          <w:lang w:eastAsia="zh-CN"/>
        </w:rPr>
      </w:pPr>
      <w:r>
        <w:rPr>
          <w:sz w:val="24"/>
          <w:lang w:eastAsia="zh-CN"/>
        </w:rPr>
        <w:t>4.3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spacing w:line="500" w:lineRule="exact"/>
        <w:ind w:firstLine="480" w:firstLineChars="200"/>
        <w:rPr>
          <w:sz w:val="24"/>
          <w:lang w:eastAsia="zh-CN"/>
        </w:rPr>
      </w:pPr>
      <w:r>
        <w:rPr>
          <w:bCs/>
          <w:sz w:val="24"/>
          <w:lang w:eastAsia="zh-CN"/>
        </w:rPr>
        <w:t>甲方</w:t>
      </w:r>
      <w:r>
        <w:rPr>
          <w:sz w:val="24"/>
          <w:lang w:eastAsia="zh-CN"/>
        </w:rPr>
        <w:t>提供乙方图纸资料的日期(包括图纸的绘制时间)、名称和数量清单，技术交底的时间、负责人、参加人员等记录资料，应当在本协议的附件1(《技术交底记录文件》)中予以明确。</w:t>
      </w:r>
    </w:p>
    <w:p>
      <w:pPr>
        <w:widowControl/>
        <w:shd w:val="clear" w:color="auto" w:fill="FFFFFF"/>
        <w:snapToGrid w:val="0"/>
        <w:spacing w:line="500" w:lineRule="exact"/>
        <w:rPr>
          <w:sz w:val="24"/>
          <w:lang w:eastAsia="zh-CN"/>
        </w:rPr>
      </w:pPr>
      <w:r>
        <w:rPr>
          <w:sz w:val="24"/>
          <w:lang w:eastAsia="zh-CN"/>
        </w:rPr>
        <w:t>4.4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设备作业人员必须具备相应合格有效的特种作业资质。现场公示告知风险分析及防控措施和应急处置方案。</w:t>
      </w:r>
    </w:p>
    <w:p>
      <w:pPr>
        <w:widowControl/>
        <w:shd w:val="clear" w:color="auto" w:fill="FFFFFF"/>
        <w:snapToGrid w:val="0"/>
        <w:spacing w:line="500" w:lineRule="exact"/>
        <w:ind w:firstLine="480" w:firstLineChars="200"/>
        <w:rPr>
          <w:sz w:val="24"/>
          <w:lang w:eastAsia="zh-CN"/>
        </w:rPr>
      </w:pPr>
      <w:r>
        <w:rPr>
          <w:sz w:val="24"/>
          <w:lang w:eastAsia="zh-CN"/>
        </w:rPr>
        <w:t>注意：</w:t>
      </w:r>
      <w:r>
        <w:rPr>
          <w:spacing w:val="6"/>
          <w:sz w:val="24"/>
          <w:lang w:eastAsia="zh-CN"/>
        </w:rPr>
        <w:t>不得安排未经上岗前职业健康检查的人员从事接触职业病危害的作业，不得安排有职业禁忌的人员从事其所禁忌的作业。</w:t>
      </w:r>
    </w:p>
    <w:p>
      <w:pPr>
        <w:spacing w:line="500" w:lineRule="exact"/>
        <w:rPr>
          <w:bCs/>
          <w:sz w:val="24"/>
          <w:lang w:eastAsia="zh-CN"/>
        </w:rPr>
      </w:pPr>
      <w:r>
        <w:rPr>
          <w:sz w:val="24"/>
          <w:lang w:eastAsia="zh-CN"/>
        </w:rPr>
        <w:t>4.5乙方应当明确其项目施工人员和设备设施的情况</w:t>
      </w:r>
      <w:r>
        <w:rPr>
          <w:bCs/>
          <w:sz w:val="24"/>
          <w:lang w:eastAsia="zh-CN"/>
        </w:rPr>
        <w:t>，具体内容如下：</w:t>
      </w:r>
    </w:p>
    <w:p>
      <w:pPr>
        <w:spacing w:line="500" w:lineRule="exact"/>
        <w:rPr>
          <w:bCs/>
          <w:sz w:val="24"/>
          <w:lang w:eastAsia="zh-CN"/>
        </w:rPr>
      </w:pPr>
      <w:r>
        <w:rPr>
          <w:bCs/>
          <w:sz w:val="24"/>
          <w:lang w:eastAsia="zh-CN"/>
        </w:rPr>
        <w:t>4.5.1安全管理人员、项目技术人员和特种作业人员的姓名、性别、年龄、文化程度、所在岗位和资格证书。</w:t>
      </w:r>
      <w:bookmarkStart w:id="202" w:name="_Hlk132662916"/>
    </w:p>
    <w:bookmarkEnd w:id="202"/>
    <w:p>
      <w:pPr>
        <w:spacing w:line="500" w:lineRule="exact"/>
        <w:rPr>
          <w:bCs/>
          <w:sz w:val="24"/>
          <w:lang w:eastAsia="zh-CN"/>
        </w:rPr>
      </w:pPr>
      <w:r>
        <w:rPr>
          <w:bCs/>
          <w:sz w:val="24"/>
          <w:lang w:eastAsia="zh-CN"/>
        </w:rPr>
        <w:t>4.5.2其他从业人员的姓名、身份证号、性别、年龄、文化程度。</w:t>
      </w:r>
    </w:p>
    <w:p>
      <w:pPr>
        <w:spacing w:line="500" w:lineRule="exact"/>
        <w:rPr>
          <w:bCs/>
          <w:sz w:val="24"/>
          <w:lang w:eastAsia="zh-CN"/>
        </w:rPr>
      </w:pPr>
      <w:r>
        <w:rPr>
          <w:bCs/>
          <w:sz w:val="24"/>
          <w:lang w:eastAsia="zh-CN"/>
        </w:rPr>
        <w:t>4.5.3主要设备设施的名称、型号规格、数量、安装位置等情况。</w:t>
      </w:r>
    </w:p>
    <w:p>
      <w:pPr>
        <w:spacing w:line="500" w:lineRule="exact"/>
        <w:ind w:firstLine="480" w:firstLineChars="200"/>
        <w:rPr>
          <w:bCs/>
          <w:sz w:val="24"/>
          <w:lang w:eastAsia="zh-CN"/>
        </w:rPr>
      </w:pPr>
      <w:r>
        <w:rPr>
          <w:bCs/>
          <w:sz w:val="24"/>
          <w:lang w:eastAsia="zh-CN"/>
        </w:rPr>
        <w:t>乙方应当将上述情况在本协议附件2(《有关人员和设备设施证明文件》)中列明。</w:t>
      </w:r>
    </w:p>
    <w:p>
      <w:pPr>
        <w:spacing w:line="500" w:lineRule="exact"/>
        <w:rPr>
          <w:sz w:val="24"/>
          <w:lang w:eastAsia="zh-CN"/>
        </w:rPr>
      </w:pPr>
      <w:r>
        <w:rPr>
          <w:sz w:val="24"/>
          <w:lang w:eastAsia="zh-CN"/>
        </w:rPr>
        <w:t>4.6涉及吊装作业、高处作业、临时用电、动火作业、有限空间等危险作业执行许可制度，作业前必须进行审核、审批，针对作业项目制定安全技术措施并组织落实。</w:t>
      </w:r>
    </w:p>
    <w:p>
      <w:pPr>
        <w:spacing w:line="500" w:lineRule="exact"/>
        <w:rPr>
          <w:sz w:val="24"/>
          <w:lang w:eastAsia="zh-CN"/>
        </w:rPr>
      </w:pPr>
      <w:r>
        <w:rPr>
          <w:sz w:val="24"/>
          <w:lang w:eastAsia="zh-CN"/>
        </w:rPr>
        <w:t>4.6.1原则禁止从事交叉作业。存在同时作业或交叉作业，有可能相互危及对方作业时，应签订安全</w:t>
      </w:r>
      <w:r>
        <w:rPr>
          <w:rFonts w:hint="eastAsia"/>
          <w:sz w:val="24"/>
          <w:lang w:eastAsia="zh-CN"/>
        </w:rPr>
        <w:t>（消防）</w:t>
      </w:r>
      <w:r>
        <w:rPr>
          <w:sz w:val="24"/>
          <w:lang w:eastAsia="zh-CN"/>
        </w:rPr>
        <w:t>管理协议，明确各自的安全管理职责和应采取的安全措施及责任划分，配专人进行安全检查与协调。提前准备好作业人员相关信息报备甲方备案成功后，方可安排从事危险作业。</w:t>
      </w:r>
    </w:p>
    <w:p>
      <w:pPr>
        <w:widowControl/>
        <w:shd w:val="clear" w:color="auto" w:fill="FFFFFF"/>
        <w:snapToGrid w:val="0"/>
        <w:spacing w:line="500" w:lineRule="exact"/>
        <w:rPr>
          <w:sz w:val="24"/>
          <w:lang w:eastAsia="zh-CN"/>
        </w:rPr>
      </w:pPr>
      <w:r>
        <w:rPr>
          <w:sz w:val="24"/>
          <w:lang w:eastAsia="zh-CN"/>
        </w:rPr>
        <w:t>4.6.2从事吊装作业禁止用手扶吊件，如有需要必须使用专用工具（如绳、专用工具等）；</w:t>
      </w:r>
    </w:p>
    <w:p>
      <w:pPr>
        <w:widowControl/>
        <w:shd w:val="clear" w:color="auto" w:fill="FFFFFF"/>
        <w:snapToGrid w:val="0"/>
        <w:spacing w:line="500" w:lineRule="exact"/>
        <w:rPr>
          <w:sz w:val="24"/>
          <w:lang w:eastAsia="zh-CN"/>
        </w:rPr>
      </w:pPr>
      <w:r>
        <w:rPr>
          <w:sz w:val="24"/>
          <w:lang w:eastAsia="zh-CN"/>
        </w:rPr>
        <w:t>4.6.3从事高处作业、临边作业必须佩戴安全带并挂好，没有条件要创造条件。搭设的脚手架必须符合规范等安全要求，原则上禁止使用竹、木头等易断材质作为搭设材料，脚手架上的踏板必须铺满并固定好；</w:t>
      </w:r>
    </w:p>
    <w:p>
      <w:pPr>
        <w:widowControl/>
        <w:shd w:val="clear" w:color="auto" w:fill="FFFFFF"/>
        <w:snapToGrid w:val="0"/>
        <w:spacing w:line="500" w:lineRule="exact"/>
        <w:rPr>
          <w:sz w:val="24"/>
          <w:lang w:eastAsia="zh-CN"/>
        </w:rPr>
      </w:pPr>
      <w:r>
        <w:rPr>
          <w:sz w:val="24"/>
          <w:lang w:eastAsia="zh-CN"/>
        </w:rPr>
        <w:t>4.6.4从事临时用电作业室外电箱为防水型、主电缆要有火线、零线和地线之分、接地线为黄绿相间颜色、箱门要有跨接线、符合一机一闸一漏保箱门能正常关门和上锁管理、禁止使用无生产合格证的花线、各类电缆禁止出现破损、电线进出端禁止裸露，禁止乙方接施工电箱主电源，由乙方向甲方申请临时用电，甲方派人接电，电气作业人员必须穿绝缘鞋。</w:t>
      </w:r>
    </w:p>
    <w:p>
      <w:pPr>
        <w:widowControl/>
        <w:shd w:val="clear" w:color="auto" w:fill="FFFFFF"/>
        <w:snapToGrid w:val="0"/>
        <w:spacing w:line="500" w:lineRule="exact"/>
        <w:rPr>
          <w:sz w:val="24"/>
          <w:lang w:eastAsia="zh-CN"/>
        </w:rPr>
      </w:pPr>
      <w:r>
        <w:rPr>
          <w:sz w:val="24"/>
          <w:lang w:eastAsia="zh-CN"/>
        </w:rPr>
        <w:t>4.6.5从事气割、焊接动火作业，必须戴难燃手套和墨镜、佩戴安全帽、绝缘鞋、电焊手套、电焊面罩，作业过程中禁止穿易燃的反光衣等，作业完毕后及时穿反光衣，电焊机必须完好无损，焊机各类线禁止使用铝线，地线只能搭接在焊点附近，做到双线到焊件上，禁止将防护栏杆和固定钢构等作为地线。</w:t>
      </w:r>
    </w:p>
    <w:p>
      <w:pPr>
        <w:widowControl/>
        <w:shd w:val="clear" w:color="auto" w:fill="FFFFFF"/>
        <w:snapToGrid w:val="0"/>
        <w:spacing w:line="500" w:lineRule="exact"/>
        <w:rPr>
          <w:sz w:val="24"/>
          <w:lang w:eastAsia="zh-CN"/>
        </w:rPr>
      </w:pPr>
      <w:r>
        <w:rPr>
          <w:sz w:val="24"/>
          <w:lang w:eastAsia="zh-CN"/>
        </w:rPr>
        <w:t>4.7每日作业前，必须参加甲方组织的班前会（安全技术交底）活动后方可安排作业。各施工小组（点）人数达3-7人的要设1名现场负责人，7人以上共同作业或从事危险作业的要设1名专职安全监护人，监护人专门负责小组（点）施工安全监护。施工方作业人数大于或等于7人的必须要配置专职监护人。专职监护人禁止参与任何作业活动，主要履行现场安全监护职责,专职监护人必须穿专用红色“安全监护人”反光背心。</w:t>
      </w:r>
    </w:p>
    <w:p>
      <w:pPr>
        <w:widowControl/>
        <w:shd w:val="clear" w:color="auto" w:fill="FFFFFF"/>
        <w:snapToGrid w:val="0"/>
        <w:spacing w:line="500" w:lineRule="exact"/>
        <w:rPr>
          <w:sz w:val="24"/>
          <w:lang w:eastAsia="zh-CN"/>
        </w:rPr>
      </w:pPr>
      <w:r>
        <w:rPr>
          <w:sz w:val="24"/>
          <w:lang w:eastAsia="zh-CN"/>
        </w:rPr>
        <w:t>4.8统一配发符合国家或行业标准的劳动防护用品（如反光背心、安全帽、双钩安全带、安全绳、手套、防护眼镜、墨镜、劳保鞋、防护面罩、口罩、护耳器等），并监督正确佩戴、使用；</w:t>
      </w:r>
    </w:p>
    <w:p>
      <w:pPr>
        <w:widowControl/>
        <w:shd w:val="clear" w:color="auto" w:fill="FFFFFF"/>
        <w:snapToGrid w:val="0"/>
        <w:spacing w:line="500" w:lineRule="exact"/>
        <w:rPr>
          <w:sz w:val="24"/>
          <w:lang w:eastAsia="zh-CN"/>
        </w:rPr>
      </w:pPr>
      <w:r>
        <w:rPr>
          <w:sz w:val="24"/>
          <w:lang w:eastAsia="zh-CN"/>
        </w:rPr>
        <w:t xml:space="preserve">4.9乙方携带的工具、设备设施必须符合国家法律法规、规范等安全要求，坚持“线不着地，齿不外露，转必有罩，险必有栏”的标准。（如砂轮机、切割机必须有可靠的防护罩和接地等措施； </w:t>
      </w:r>
    </w:p>
    <w:p>
      <w:pPr>
        <w:widowControl/>
        <w:shd w:val="clear" w:color="auto" w:fill="FFFFFF"/>
        <w:snapToGrid w:val="0"/>
        <w:spacing w:line="500" w:lineRule="exact"/>
        <w:rPr>
          <w:sz w:val="24"/>
          <w:lang w:eastAsia="zh-CN"/>
        </w:rPr>
      </w:pPr>
      <w:r>
        <w:rPr>
          <w:sz w:val="24"/>
          <w:lang w:eastAsia="zh-CN"/>
        </w:rPr>
        <w:t>4.10出具合格证并保持安全附属设备设施安全可靠灵敏有效。工具、材料、备品备件应码放平稳，不存在倾翻、滚动、坠落和其它危险隐患。不准堵塞安全通道、要害部位。严禁擅自拆除工器具安全防护装置及设施，如需拆除机电设备的安全装置（设施）前必须征得甲方设备、安全管理人员同意，</w:t>
      </w:r>
      <w:r>
        <w:rPr>
          <w:spacing w:val="6"/>
          <w:sz w:val="24"/>
          <w:lang w:eastAsia="zh-CN"/>
        </w:rPr>
        <w:t>由乙方采取必要措施后方可变动拆除。</w:t>
      </w:r>
      <w:r>
        <w:rPr>
          <w:sz w:val="24"/>
          <w:lang w:eastAsia="zh-CN"/>
        </w:rPr>
        <w:t>并且做可靠的临时防护。工作完毕，及时恢复安全装置（设施）。</w:t>
      </w:r>
      <w:r>
        <w:rPr>
          <w:spacing w:val="6"/>
          <w:sz w:val="24"/>
          <w:lang w:eastAsia="zh-CN"/>
        </w:rPr>
        <w:t>乙方擅自变动拆除所造成的后果，均由乙方自行负责，承担后果。</w:t>
      </w:r>
    </w:p>
    <w:p>
      <w:pPr>
        <w:widowControl/>
        <w:shd w:val="clear" w:color="auto" w:fill="FFFFFF"/>
        <w:snapToGrid w:val="0"/>
        <w:spacing w:line="500" w:lineRule="exact"/>
        <w:rPr>
          <w:sz w:val="24"/>
          <w:lang w:eastAsia="zh-CN"/>
        </w:rPr>
      </w:pPr>
      <w:r>
        <w:rPr>
          <w:sz w:val="24"/>
          <w:lang w:eastAsia="zh-CN"/>
        </w:rPr>
        <w:t>4.11乙方施工（安装）区域的施工（安装）设备、临时用电设施、脚手架、出入通道口、楼梯口、危险有害气体或液体存放处等危险部位，应设置明显的安全警示标志、围栏，危险警示标志、围栏符合国家标准。</w:t>
      </w:r>
    </w:p>
    <w:p>
      <w:pPr>
        <w:widowControl/>
        <w:shd w:val="clear" w:color="auto" w:fill="FFFFFF"/>
        <w:snapToGrid w:val="0"/>
        <w:spacing w:line="500" w:lineRule="exact"/>
        <w:rPr>
          <w:sz w:val="24"/>
          <w:lang w:eastAsia="zh-CN"/>
        </w:rPr>
      </w:pPr>
      <w:r>
        <w:rPr>
          <w:sz w:val="24"/>
          <w:lang w:eastAsia="zh-CN"/>
        </w:rPr>
        <w:t>4.12凡未经确认的线路、管道、容器一律视为有电、有压力、正在运行。不得挪用或者擅自拆除、停用消防设施、器材，不得埋压圈占、遮挡消防栓、不得占用防火间距，不得占用、堵塞、封闭疏散通道、安全出口与消防车通道。</w:t>
      </w:r>
    </w:p>
    <w:p>
      <w:pPr>
        <w:widowControl/>
        <w:shd w:val="clear" w:color="auto" w:fill="FFFFFF"/>
        <w:snapToGrid w:val="0"/>
        <w:spacing w:line="500" w:lineRule="exact"/>
        <w:rPr>
          <w:sz w:val="24"/>
          <w:lang w:eastAsia="zh-CN"/>
        </w:rPr>
      </w:pPr>
      <w:r>
        <w:rPr>
          <w:sz w:val="24"/>
          <w:lang w:eastAsia="zh-CN"/>
        </w:rPr>
        <w:t>4.13乙方对作业区域现场在作业开始前已有或毗邻建（构）筑物、设备、设施、地下管线（网）或特殊作业环境可能造成损害的，须采取相应的安全防护措施，并承担损坏赔偿责任。</w:t>
      </w:r>
    </w:p>
    <w:p>
      <w:pPr>
        <w:spacing w:line="500" w:lineRule="exact"/>
        <w:rPr>
          <w:sz w:val="24"/>
          <w:lang w:eastAsia="zh-CN"/>
        </w:rPr>
      </w:pPr>
      <w:r>
        <w:rPr>
          <w:sz w:val="24"/>
          <w:lang w:eastAsia="zh-CN"/>
        </w:rPr>
        <w:t>4.14各种机动车辆不准在生产区/库区停放、维修和加油。生产区/库区全天候禁止电瓶车进入库区充电。进入生产区/库区车辆禁止携带任何与消防防火有关的危险物品。</w:t>
      </w:r>
    </w:p>
    <w:p>
      <w:pPr>
        <w:widowControl/>
        <w:shd w:val="clear" w:color="auto" w:fill="FFFFFF"/>
        <w:snapToGrid w:val="0"/>
        <w:spacing w:line="500" w:lineRule="exact"/>
        <w:rPr>
          <w:sz w:val="24"/>
          <w:lang w:eastAsia="zh-CN"/>
        </w:rPr>
      </w:pPr>
      <w:r>
        <w:rPr>
          <w:sz w:val="24"/>
          <w:lang w:eastAsia="zh-CN"/>
        </w:rPr>
        <w:t>4.15要按规定的路线进出，不得擅自进入与作业无关的区域。工程、运输车辆必须按照甲方要求配置爆闪灯、前后录像仪、倒车语音提示、前后影像、倒车雷达、示宽灯、车辆左右和后侧张贴反光条等。</w:t>
      </w:r>
    </w:p>
    <w:p>
      <w:pPr>
        <w:widowControl/>
        <w:shd w:val="clear" w:color="auto" w:fill="FFFFFF"/>
        <w:snapToGrid w:val="0"/>
        <w:spacing w:line="500" w:lineRule="exact"/>
        <w:rPr>
          <w:sz w:val="24"/>
          <w:lang w:eastAsia="zh-CN"/>
        </w:rPr>
      </w:pPr>
      <w:r>
        <w:rPr>
          <w:sz w:val="24"/>
          <w:lang w:eastAsia="zh-CN"/>
        </w:rPr>
        <w:t>4.16施工前，为施工人员办理好</w:t>
      </w:r>
      <w:r>
        <w:rPr>
          <w:rFonts w:hint="eastAsia"/>
          <w:sz w:val="24"/>
          <w:lang w:eastAsia="zh-CN"/>
        </w:rPr>
        <w:t>生物信息，便于门禁管理</w:t>
      </w:r>
      <w:r>
        <w:rPr>
          <w:sz w:val="24"/>
          <w:lang w:eastAsia="zh-CN"/>
        </w:rPr>
        <w:t>，所有作业人员月度考勤表记录（进场以后执行），签订外来施工作业人员的安全承诺（进场前签定）。配合甲方做好治安及文明出入工作。人员在厂区行走时，原则上只允许行走人行通道、斑马线和甲方指定的区域，禁止跨越隔离栏，乱走、乱跑，不得擅自进入与作业无关的区域。要按规定的路线进出，不得擅自进入与作业无关的区域。乙方完成当日作业后应做到人走场地清。作业人员原则上必须穿长裤（涉水作业和仓储搬运等特定作业做好其它安全措施除外），禁止裸体作业。</w:t>
      </w:r>
    </w:p>
    <w:p>
      <w:pPr>
        <w:widowControl/>
        <w:shd w:val="clear" w:color="auto" w:fill="FFFFFF"/>
        <w:snapToGrid w:val="0"/>
        <w:spacing w:line="500" w:lineRule="exact"/>
        <w:rPr>
          <w:sz w:val="24"/>
          <w:lang w:eastAsia="zh-CN"/>
        </w:rPr>
      </w:pPr>
      <w:r>
        <w:rPr>
          <w:sz w:val="24"/>
          <w:lang w:eastAsia="zh-CN"/>
        </w:rPr>
        <w:t>4.17作业现场暂时停工和完成当日作业后，乙方须做好现场安全防护工作。做到人走场地清，确保安全文明作业。</w:t>
      </w:r>
    </w:p>
    <w:p>
      <w:pPr>
        <w:spacing w:line="500" w:lineRule="exact"/>
        <w:rPr>
          <w:b/>
          <w:bCs/>
          <w:sz w:val="24"/>
          <w:lang w:eastAsia="zh-CN"/>
        </w:rPr>
      </w:pPr>
      <w:bookmarkStart w:id="203" w:name="_Toc442016145"/>
      <w:bookmarkStart w:id="204" w:name="_Toc383301030"/>
      <w:bookmarkStart w:id="205" w:name="_Toc434694366"/>
      <w:bookmarkStart w:id="206" w:name="_Toc396036413"/>
      <w:bookmarkStart w:id="207" w:name="_Toc381911469"/>
      <w:bookmarkStart w:id="208" w:name="_Toc384944720"/>
      <w:bookmarkStart w:id="209" w:name="_Toc442133374"/>
      <w:bookmarkStart w:id="210" w:name="_Toc389985362"/>
      <w:bookmarkStart w:id="211" w:name="_Toc451698743"/>
      <w:bookmarkStart w:id="212" w:name="_Toc442022104"/>
      <w:bookmarkStart w:id="213" w:name="_Toc396037057"/>
      <w:bookmarkStart w:id="214" w:name="_Hlk132406554"/>
      <w:r>
        <w:rPr>
          <w:b/>
          <w:bCs/>
          <w:sz w:val="24"/>
          <w:lang w:eastAsia="zh-CN"/>
        </w:rPr>
        <w:t>5隐患排查与治理</w:t>
      </w:r>
      <w:bookmarkEnd w:id="203"/>
      <w:bookmarkEnd w:id="204"/>
      <w:bookmarkEnd w:id="205"/>
      <w:bookmarkEnd w:id="206"/>
      <w:bookmarkEnd w:id="207"/>
      <w:bookmarkEnd w:id="208"/>
      <w:bookmarkEnd w:id="209"/>
      <w:bookmarkEnd w:id="210"/>
      <w:bookmarkEnd w:id="211"/>
      <w:bookmarkEnd w:id="212"/>
      <w:bookmarkEnd w:id="213"/>
    </w:p>
    <w:p>
      <w:pPr>
        <w:spacing w:line="500" w:lineRule="exact"/>
        <w:rPr>
          <w:sz w:val="24"/>
          <w:lang w:eastAsia="zh-CN"/>
        </w:rPr>
      </w:pPr>
      <w:r>
        <w:rPr>
          <w:sz w:val="24"/>
          <w:lang w:eastAsia="zh-CN"/>
        </w:rPr>
        <w:t>5.1甲方应当建立健全事故隐患排查治理和建档、监控等项制度，对项目现场进行隐患排查并督促乙方整改，定期对隐患排查治理情况进行统计分析与报告。</w:t>
      </w:r>
    </w:p>
    <w:p>
      <w:pPr>
        <w:spacing w:line="500" w:lineRule="exact"/>
        <w:rPr>
          <w:sz w:val="24"/>
          <w:lang w:eastAsia="zh-CN"/>
        </w:rPr>
      </w:pPr>
      <w:r>
        <w:rPr>
          <w:sz w:val="24"/>
          <w:lang w:eastAsia="zh-CN"/>
        </w:rPr>
        <w:t>5.2乙方应组织相关单位及外包单位对其所从事的作业活动开展危险源辨识工作。</w:t>
      </w:r>
    </w:p>
    <w:p>
      <w:pPr>
        <w:spacing w:line="500" w:lineRule="exact"/>
        <w:rPr>
          <w:sz w:val="24"/>
          <w:lang w:eastAsia="zh-CN"/>
        </w:rPr>
      </w:pPr>
      <w:r>
        <w:rPr>
          <w:sz w:val="24"/>
          <w:lang w:eastAsia="zh-CN"/>
        </w:rPr>
        <w:t>5.3乙方应当定期排查并及时治理项目作业范围内的事故隐患（包括甲方人员排查及要求整改的事故隐患），建立台账，做好相关记录，并及时向甲方报告。</w:t>
      </w:r>
    </w:p>
    <w:p>
      <w:pPr>
        <w:widowControl/>
        <w:shd w:val="clear" w:color="auto" w:fill="FFFFFF"/>
        <w:snapToGrid w:val="0"/>
        <w:spacing w:line="500" w:lineRule="exact"/>
        <w:rPr>
          <w:sz w:val="24"/>
          <w:lang w:eastAsia="zh-CN"/>
        </w:rPr>
      </w:pPr>
      <w:r>
        <w:rPr>
          <w:sz w:val="24"/>
          <w:lang w:eastAsia="zh-CN"/>
        </w:rPr>
        <w:t>5.4乙方在项目作业范围内发现重大事故隐患后不能立即治理的，应当采取必要的防范措施，并及时书面报告甲方协商解决，消除事故隐患。</w:t>
      </w:r>
    </w:p>
    <w:p>
      <w:pPr>
        <w:spacing w:line="500" w:lineRule="exact"/>
        <w:rPr>
          <w:b/>
          <w:bCs/>
          <w:sz w:val="24"/>
          <w:lang w:eastAsia="zh-CN"/>
        </w:rPr>
      </w:pPr>
      <w:bookmarkStart w:id="215" w:name="_Toc396037058"/>
      <w:bookmarkStart w:id="216" w:name="_Toc442016146"/>
      <w:bookmarkStart w:id="217" w:name="_Toc442022105"/>
      <w:bookmarkStart w:id="218" w:name="_Toc384944721"/>
      <w:bookmarkStart w:id="219" w:name="_Toc381911470"/>
      <w:bookmarkStart w:id="220" w:name="_Toc389985363"/>
      <w:bookmarkStart w:id="221" w:name="_Toc451698744"/>
      <w:bookmarkStart w:id="222" w:name="_Toc434694367"/>
      <w:bookmarkStart w:id="223" w:name="_Toc383301031"/>
      <w:bookmarkStart w:id="224" w:name="_Toc396036414"/>
      <w:bookmarkStart w:id="225" w:name="_Toc442133375"/>
      <w:r>
        <w:rPr>
          <w:b/>
          <w:bCs/>
          <w:sz w:val="24"/>
          <w:lang w:eastAsia="zh-CN"/>
        </w:rPr>
        <w:t>6安全教育与培训</w:t>
      </w:r>
      <w:bookmarkEnd w:id="215"/>
      <w:bookmarkEnd w:id="216"/>
      <w:bookmarkEnd w:id="217"/>
      <w:bookmarkEnd w:id="218"/>
      <w:bookmarkEnd w:id="219"/>
      <w:bookmarkEnd w:id="220"/>
      <w:bookmarkEnd w:id="221"/>
      <w:bookmarkEnd w:id="222"/>
      <w:bookmarkEnd w:id="223"/>
      <w:bookmarkEnd w:id="224"/>
      <w:bookmarkEnd w:id="225"/>
    </w:p>
    <w:p>
      <w:pPr>
        <w:spacing w:line="500" w:lineRule="exact"/>
        <w:rPr>
          <w:sz w:val="24"/>
          <w:lang w:eastAsia="zh-CN"/>
        </w:rPr>
      </w:pPr>
      <w:r>
        <w:rPr>
          <w:sz w:val="24"/>
          <w:lang w:eastAsia="zh-CN"/>
        </w:rPr>
        <w:t>6.1甲方应当对乙方的安全教育与培训工作进行指导。</w:t>
      </w:r>
    </w:p>
    <w:p>
      <w:pPr>
        <w:spacing w:line="500" w:lineRule="exact"/>
        <w:rPr>
          <w:sz w:val="24"/>
          <w:lang w:eastAsia="zh-CN"/>
        </w:rPr>
      </w:pPr>
      <w:r>
        <w:rPr>
          <w:sz w:val="24"/>
          <w:lang w:eastAsia="zh-CN"/>
        </w:rPr>
        <w:t>6.2甲方应当监督检查乙方开展员工安全教育培训工作情况。</w:t>
      </w:r>
    </w:p>
    <w:p>
      <w:pPr>
        <w:spacing w:line="500" w:lineRule="exact"/>
        <w:rPr>
          <w:sz w:val="24"/>
          <w:lang w:eastAsia="zh-CN"/>
        </w:rPr>
      </w:pPr>
      <w:r>
        <w:rPr>
          <w:sz w:val="24"/>
          <w:lang w:eastAsia="zh-CN"/>
        </w:rPr>
        <w:t>6.3乙方应当制定本单位的安全教育培训工作计划。在作业项目开工前必须对参加作业人员进行安全教育培训和考试，保证从业人员掌握必需的安全生产知识、</w:t>
      </w:r>
      <w:r>
        <w:rPr>
          <w:spacing w:val="6"/>
          <w:sz w:val="24"/>
          <w:lang w:eastAsia="zh-CN"/>
        </w:rPr>
        <w:t>提高安全生产技能</w:t>
      </w:r>
      <w:r>
        <w:rPr>
          <w:sz w:val="24"/>
          <w:lang w:eastAsia="zh-CN"/>
        </w:rPr>
        <w:t>和应急逃生知识</w:t>
      </w:r>
      <w:r>
        <w:rPr>
          <w:spacing w:val="6"/>
          <w:sz w:val="24"/>
          <w:lang w:eastAsia="zh-CN"/>
        </w:rPr>
        <w:t>，同时对本单位员工开展“三级”安全教育</w:t>
      </w:r>
      <w:r>
        <w:rPr>
          <w:sz w:val="24"/>
          <w:lang w:eastAsia="zh-CN"/>
        </w:rPr>
        <w:t>。</w:t>
      </w:r>
    </w:p>
    <w:p>
      <w:pPr>
        <w:spacing w:line="500" w:lineRule="exact"/>
        <w:rPr>
          <w:sz w:val="24"/>
          <w:lang w:eastAsia="zh-CN"/>
        </w:rPr>
      </w:pPr>
      <w:r>
        <w:rPr>
          <w:sz w:val="24"/>
          <w:lang w:eastAsia="zh-CN"/>
        </w:rPr>
        <w:t>6.4乙方应当按照相关法律、法规、规章和标准对本单位从业人员进行安全教育培训，保证从业人员掌握必需的安全生产知识、操作技能和应急逃生知识。</w:t>
      </w:r>
    </w:p>
    <w:p>
      <w:pPr>
        <w:spacing w:line="500" w:lineRule="exact"/>
        <w:rPr>
          <w:sz w:val="24"/>
          <w:lang w:eastAsia="zh-CN"/>
        </w:rPr>
      </w:pPr>
      <w:r>
        <w:rPr>
          <w:sz w:val="24"/>
          <w:lang w:eastAsia="zh-CN"/>
        </w:rPr>
        <w:t>6.5乙方应加强作业现场应急管理，完善应急预案，配备现场作业所需的应急资源，并加强培训和演练。</w:t>
      </w:r>
    </w:p>
    <w:p>
      <w:pPr>
        <w:spacing w:line="500" w:lineRule="exact"/>
        <w:rPr>
          <w:b/>
          <w:bCs/>
          <w:sz w:val="24"/>
          <w:lang w:eastAsia="zh-CN"/>
        </w:rPr>
      </w:pPr>
      <w:bookmarkStart w:id="226" w:name="_Toc381911471"/>
      <w:bookmarkStart w:id="227" w:name="_Toc383301032"/>
      <w:bookmarkStart w:id="228" w:name="_Toc396037059"/>
      <w:bookmarkStart w:id="229" w:name="_Toc396036415"/>
      <w:bookmarkStart w:id="230" w:name="_Toc451698745"/>
      <w:bookmarkStart w:id="231" w:name="_Toc384944722"/>
      <w:bookmarkStart w:id="232" w:name="_Toc442016147"/>
      <w:bookmarkStart w:id="233" w:name="_Toc389985364"/>
      <w:bookmarkStart w:id="234" w:name="_Toc434694368"/>
      <w:bookmarkStart w:id="235" w:name="_Toc442133376"/>
      <w:bookmarkStart w:id="236" w:name="_Toc442022106"/>
      <w:r>
        <w:rPr>
          <w:b/>
          <w:bCs/>
          <w:sz w:val="24"/>
          <w:lang w:eastAsia="zh-CN"/>
        </w:rPr>
        <w:t>7事故应急救援</w:t>
      </w:r>
      <w:bookmarkEnd w:id="226"/>
      <w:bookmarkEnd w:id="227"/>
      <w:bookmarkEnd w:id="228"/>
      <w:bookmarkEnd w:id="229"/>
      <w:bookmarkEnd w:id="230"/>
      <w:bookmarkEnd w:id="231"/>
      <w:bookmarkEnd w:id="232"/>
      <w:bookmarkEnd w:id="233"/>
      <w:bookmarkEnd w:id="234"/>
      <w:bookmarkEnd w:id="235"/>
      <w:bookmarkEnd w:id="236"/>
    </w:p>
    <w:p>
      <w:pPr>
        <w:spacing w:line="500" w:lineRule="exact"/>
        <w:rPr>
          <w:b/>
          <w:sz w:val="24"/>
          <w:lang w:eastAsia="zh-CN"/>
        </w:rPr>
      </w:pPr>
      <w:r>
        <w:rPr>
          <w:b/>
          <w:sz w:val="24"/>
          <w:lang w:eastAsia="zh-CN"/>
        </w:rPr>
        <w:t>7.1应急准备。</w:t>
      </w:r>
    </w:p>
    <w:p>
      <w:pPr>
        <w:spacing w:line="500" w:lineRule="exact"/>
        <w:rPr>
          <w:sz w:val="24"/>
          <w:lang w:eastAsia="zh-CN"/>
        </w:rPr>
      </w:pPr>
      <w:r>
        <w:rPr>
          <w:sz w:val="24"/>
          <w:lang w:eastAsia="zh-CN"/>
        </w:rPr>
        <w:t>7.1.1甲方应当按照国家有关规定建立应急救援组织或者与其他应急救援组织签订救援协议，编制本单位事故应急预案，并定期组织演练。</w:t>
      </w:r>
    </w:p>
    <w:p>
      <w:pPr>
        <w:spacing w:line="500" w:lineRule="exact"/>
        <w:rPr>
          <w:sz w:val="24"/>
          <w:lang w:eastAsia="zh-CN"/>
        </w:rPr>
      </w:pPr>
      <w:r>
        <w:rPr>
          <w:sz w:val="24"/>
          <w:lang w:eastAsia="zh-CN"/>
        </w:rPr>
        <w:t>7.1.2</w:t>
      </w:r>
      <w:r>
        <w:rPr>
          <w:spacing w:val="6"/>
          <w:sz w:val="24"/>
          <w:lang w:eastAsia="zh-CN"/>
        </w:rPr>
        <w:t>甲方负责向乙方如实告知根据甲方能力所知的作业场所和岗位存在的危险因素，要求乙方制订防范措施以及事故应急预案。</w:t>
      </w:r>
    </w:p>
    <w:p>
      <w:pPr>
        <w:spacing w:line="500" w:lineRule="exact"/>
        <w:rPr>
          <w:sz w:val="24"/>
          <w:lang w:eastAsia="zh-CN"/>
        </w:rPr>
      </w:pPr>
      <w:r>
        <w:rPr>
          <w:sz w:val="24"/>
          <w:lang w:eastAsia="zh-CN"/>
        </w:rPr>
        <w:t>7.1.3甲方配置的应急救援设备设施和器材包括：</w:t>
      </w:r>
      <w:r>
        <w:rPr>
          <w:b/>
          <w:bCs/>
          <w:sz w:val="24"/>
          <w:u w:val="single"/>
          <w:lang w:eastAsia="zh-CN"/>
        </w:rPr>
        <w:t xml:space="preserve"> 项目现场及附近车间的消防器材、正压式空气呼吸器、防毒面具、担架、应急通风机、四合一气体检测仪、应急药箱、救援绳</w:t>
      </w:r>
      <w:r>
        <w:rPr>
          <w:sz w:val="24"/>
          <w:u w:val="single"/>
          <w:lang w:eastAsia="zh-CN"/>
        </w:rPr>
        <w:t>等</w:t>
      </w:r>
      <w:r>
        <w:rPr>
          <w:sz w:val="24"/>
          <w:lang w:eastAsia="zh-CN"/>
        </w:rPr>
        <w:t>。</w:t>
      </w:r>
    </w:p>
    <w:p>
      <w:pPr>
        <w:spacing w:line="500" w:lineRule="exact"/>
        <w:rPr>
          <w:sz w:val="24"/>
          <w:lang w:eastAsia="zh-CN"/>
        </w:rPr>
      </w:pPr>
      <w:r>
        <w:rPr>
          <w:sz w:val="24"/>
          <w:lang w:eastAsia="zh-CN"/>
        </w:rPr>
        <w:t>7.1.4乙方应当编制与项目相适应的应急预案或者应急处置预案，并与甲方的相关预案接口,并定期组织演练或者参加甲方组织的演练。</w:t>
      </w:r>
    </w:p>
    <w:p>
      <w:pPr>
        <w:spacing w:line="500" w:lineRule="exact"/>
        <w:rPr>
          <w:sz w:val="24"/>
          <w:lang w:eastAsia="zh-CN"/>
        </w:rPr>
      </w:pPr>
      <w:r>
        <w:rPr>
          <w:sz w:val="24"/>
          <w:lang w:eastAsia="zh-CN"/>
        </w:rPr>
        <w:t>7.1.5乙方配置的应急救援设备设施和器材包括：</w:t>
      </w:r>
      <w:r>
        <w:rPr>
          <w:sz w:val="24"/>
          <w:u w:val="single"/>
          <w:lang w:eastAsia="zh-CN"/>
        </w:rPr>
        <w:t xml:space="preserve">                            </w:t>
      </w:r>
      <w:r>
        <w:rPr>
          <w:sz w:val="24"/>
          <w:lang w:eastAsia="zh-CN"/>
        </w:rPr>
        <w:t>。</w:t>
      </w:r>
    </w:p>
    <w:p>
      <w:pPr>
        <w:spacing w:line="500" w:lineRule="exact"/>
        <w:rPr>
          <w:b/>
          <w:sz w:val="24"/>
          <w:lang w:eastAsia="zh-CN"/>
        </w:rPr>
      </w:pPr>
      <w:r>
        <w:rPr>
          <w:b/>
          <w:sz w:val="24"/>
          <w:lang w:eastAsia="zh-CN"/>
        </w:rPr>
        <w:t>7.2事故报告。</w:t>
      </w:r>
    </w:p>
    <w:p>
      <w:pPr>
        <w:spacing w:line="500" w:lineRule="exact"/>
        <w:rPr>
          <w:spacing w:val="6"/>
          <w:sz w:val="24"/>
          <w:lang w:eastAsia="zh-CN"/>
        </w:rPr>
      </w:pPr>
      <w:r>
        <w:rPr>
          <w:sz w:val="24"/>
          <w:lang w:eastAsia="zh-CN"/>
        </w:rPr>
        <w:t>7.2.1项目施工发生事故后</w:t>
      </w:r>
      <w:r>
        <w:rPr>
          <w:rFonts w:hint="eastAsia"/>
          <w:sz w:val="24"/>
          <w:lang w:eastAsia="zh-CN"/>
        </w:rPr>
        <w:t>，</w:t>
      </w:r>
      <w:r>
        <w:rPr>
          <w:rFonts w:hint="eastAsia"/>
          <w:spacing w:val="6"/>
          <w:sz w:val="24"/>
          <w:lang w:eastAsia="zh-CN"/>
        </w:rPr>
        <w:t>首先应上报甲方，甲方按照本单位事故报告流程进行上报</w:t>
      </w:r>
      <w:r>
        <w:rPr>
          <w:spacing w:val="6"/>
          <w:sz w:val="24"/>
          <w:lang w:eastAsia="zh-CN"/>
        </w:rPr>
        <w:t>，</w:t>
      </w:r>
      <w:r>
        <w:rPr>
          <w:rFonts w:hint="eastAsia"/>
          <w:spacing w:val="6"/>
          <w:sz w:val="24"/>
          <w:lang w:eastAsia="zh-CN"/>
        </w:rPr>
        <w:t>并根据相关法律法规上报地方有关部门。</w:t>
      </w:r>
      <w:r>
        <w:rPr>
          <w:spacing w:val="6"/>
          <w:sz w:val="24"/>
          <w:lang w:eastAsia="zh-CN"/>
        </w:rPr>
        <w:t>乙方及时开展对伤亡人员的救援救治</w:t>
      </w:r>
      <w:r>
        <w:rPr>
          <w:rFonts w:hint="eastAsia"/>
          <w:spacing w:val="6"/>
          <w:sz w:val="24"/>
          <w:lang w:eastAsia="zh-CN"/>
        </w:rPr>
        <w:t>工作</w:t>
      </w:r>
      <w:r>
        <w:rPr>
          <w:spacing w:val="6"/>
          <w:sz w:val="24"/>
          <w:lang w:eastAsia="zh-CN"/>
        </w:rPr>
        <w:t>，保护好事故现场，承担伤亡人员的医疗费用、工伤认定、保险索赔及相关的善后处理工作。</w:t>
      </w:r>
    </w:p>
    <w:p>
      <w:pPr>
        <w:widowControl/>
        <w:shd w:val="clear" w:color="auto" w:fill="FFFFFF"/>
        <w:snapToGrid w:val="0"/>
        <w:spacing w:line="500" w:lineRule="exact"/>
        <w:rPr>
          <w:b/>
          <w:bCs/>
          <w:sz w:val="24"/>
          <w:lang w:eastAsia="zh-CN"/>
        </w:rPr>
      </w:pPr>
      <w:r>
        <w:rPr>
          <w:rFonts w:hint="eastAsia"/>
          <w:spacing w:val="6"/>
          <w:sz w:val="24"/>
          <w:lang w:eastAsia="zh-CN"/>
        </w:rPr>
        <w:t>7</w:t>
      </w:r>
      <w:r>
        <w:rPr>
          <w:spacing w:val="6"/>
          <w:sz w:val="24"/>
          <w:lang w:eastAsia="zh-CN"/>
        </w:rPr>
        <w:t>.2.2</w:t>
      </w:r>
      <w:r>
        <w:rPr>
          <w:rFonts w:hint="eastAsia"/>
          <w:b/>
          <w:bCs/>
          <w:sz w:val="24"/>
          <w:lang w:eastAsia="zh-CN"/>
        </w:rPr>
        <w:t>应急联系方式：</w:t>
      </w:r>
    </w:p>
    <w:p>
      <w:pPr>
        <w:widowControl/>
        <w:shd w:val="clear" w:color="auto" w:fill="FFFFFF"/>
        <w:snapToGrid w:val="0"/>
        <w:spacing w:line="500" w:lineRule="exact"/>
        <w:ind w:firstLine="480" w:firstLineChars="200"/>
        <w:rPr>
          <w:sz w:val="24"/>
          <w:lang w:eastAsia="zh-CN"/>
        </w:rPr>
      </w:pPr>
      <w:r>
        <w:rPr>
          <w:rFonts w:hint="eastAsia"/>
          <w:sz w:val="24"/>
          <w:lang w:eastAsia="zh-CN"/>
        </w:rPr>
        <w:t>作业现场负责人：xxx</w:t>
      </w:r>
      <w:r>
        <w:rPr>
          <w:sz w:val="24"/>
          <w:lang w:eastAsia="zh-CN"/>
        </w:rPr>
        <w:t xml:space="preserve">        </w:t>
      </w:r>
      <w:r>
        <w:rPr>
          <w:rFonts w:hint="eastAsia"/>
          <w:sz w:val="24"/>
          <w:lang w:eastAsia="zh-CN"/>
        </w:rPr>
        <w:t>电话：x</w:t>
      </w:r>
      <w:r>
        <w:rPr>
          <w:sz w:val="24"/>
          <w:lang w:eastAsia="zh-CN"/>
        </w:rPr>
        <w:t>xxxxxxx</w:t>
      </w:r>
    </w:p>
    <w:p>
      <w:pPr>
        <w:spacing w:line="500" w:lineRule="exact"/>
        <w:rPr>
          <w:sz w:val="24"/>
          <w:lang w:eastAsia="zh-CN"/>
        </w:rPr>
      </w:pPr>
      <w:r>
        <w:rPr>
          <w:rFonts w:hint="eastAsia"/>
          <w:sz w:val="24"/>
          <w:lang w:eastAsia="zh-CN"/>
        </w:rPr>
        <w:t xml:space="preserve"> </w:t>
      </w:r>
      <w:r>
        <w:rPr>
          <w:sz w:val="24"/>
          <w:lang w:eastAsia="zh-CN"/>
        </w:rPr>
        <w:t xml:space="preserve">   </w:t>
      </w:r>
      <w:r>
        <w:rPr>
          <w:rFonts w:hint="eastAsia"/>
          <w:sz w:val="24"/>
          <w:lang w:eastAsia="zh-CN"/>
        </w:rPr>
        <w:t>甲方安全环保部负责人：x</w:t>
      </w:r>
      <w:r>
        <w:rPr>
          <w:sz w:val="24"/>
          <w:lang w:eastAsia="zh-CN"/>
        </w:rPr>
        <w:t xml:space="preserve">xx   </w:t>
      </w:r>
      <w:r>
        <w:rPr>
          <w:rFonts w:hint="eastAsia"/>
          <w:sz w:val="24"/>
          <w:lang w:eastAsia="zh-CN"/>
        </w:rPr>
        <w:t>电话：x</w:t>
      </w:r>
      <w:r>
        <w:rPr>
          <w:sz w:val="24"/>
          <w:lang w:eastAsia="zh-CN"/>
        </w:rPr>
        <w:t>xxxxxx</w:t>
      </w:r>
    </w:p>
    <w:p>
      <w:pPr>
        <w:spacing w:line="500" w:lineRule="exact"/>
        <w:rPr>
          <w:b/>
          <w:sz w:val="24"/>
          <w:lang w:eastAsia="zh-CN"/>
        </w:rPr>
      </w:pPr>
      <w:r>
        <w:rPr>
          <w:b/>
          <w:sz w:val="24"/>
          <w:lang w:eastAsia="zh-CN"/>
        </w:rPr>
        <w:t>7.3事故救援。</w:t>
      </w:r>
    </w:p>
    <w:p>
      <w:pPr>
        <w:spacing w:line="500" w:lineRule="exact"/>
        <w:rPr>
          <w:sz w:val="24"/>
          <w:lang w:eastAsia="zh-CN"/>
        </w:rPr>
      </w:pPr>
      <w:r>
        <w:rPr>
          <w:sz w:val="24"/>
          <w:lang w:eastAsia="zh-CN"/>
        </w:rPr>
        <w:t>7.3.1项目施工发生事故后，乙方应当按照专项应急预案或者应急处置方案立即开展事故救援。保护好事故现场。</w:t>
      </w:r>
    </w:p>
    <w:p>
      <w:pPr>
        <w:spacing w:line="500" w:lineRule="exact"/>
        <w:rPr>
          <w:sz w:val="24"/>
          <w:lang w:eastAsia="zh-CN"/>
        </w:rPr>
      </w:pPr>
      <w:r>
        <w:rPr>
          <w:sz w:val="24"/>
          <w:lang w:eastAsia="zh-CN"/>
        </w:rPr>
        <w:t>7.3.2项目施工发生事故后，甲方应当按照应急预案要求，立即开展应急救援，负责指挥、协调事故救援工作，充分调动甲乙双方的应急资源。</w:t>
      </w:r>
    </w:p>
    <w:p>
      <w:pPr>
        <w:spacing w:line="500" w:lineRule="exact"/>
        <w:rPr>
          <w:b/>
          <w:sz w:val="24"/>
          <w:lang w:eastAsia="zh-CN"/>
        </w:rPr>
      </w:pPr>
      <w:r>
        <w:rPr>
          <w:b/>
          <w:sz w:val="24"/>
          <w:lang w:eastAsia="zh-CN"/>
        </w:rPr>
        <w:t>7.4事故处理。</w:t>
      </w:r>
    </w:p>
    <w:p>
      <w:pPr>
        <w:spacing w:line="500" w:lineRule="exact"/>
        <w:rPr>
          <w:sz w:val="24"/>
          <w:lang w:eastAsia="zh-CN"/>
        </w:rPr>
      </w:pPr>
      <w:r>
        <w:rPr>
          <w:sz w:val="24"/>
          <w:lang w:eastAsia="zh-CN"/>
        </w:rPr>
        <w:t>7.4.1在发生安全事故后应积极配合甲方组织开展的对事故的相关调查。</w:t>
      </w:r>
    </w:p>
    <w:p>
      <w:pPr>
        <w:spacing w:line="500" w:lineRule="exact"/>
        <w:rPr>
          <w:sz w:val="24"/>
          <w:lang w:eastAsia="zh-CN"/>
        </w:rPr>
      </w:pPr>
      <w:r>
        <w:rPr>
          <w:sz w:val="24"/>
          <w:lang w:eastAsia="zh-CN"/>
        </w:rPr>
        <w:t>7.4.2事故调查结案后，甲乙双方根据事故调查处理结论承担各自相应责任。</w:t>
      </w:r>
    </w:p>
    <w:p>
      <w:pPr>
        <w:spacing w:line="500" w:lineRule="exact"/>
        <w:rPr>
          <w:sz w:val="24"/>
          <w:lang w:eastAsia="zh-CN"/>
        </w:rPr>
      </w:pPr>
      <w:r>
        <w:rPr>
          <w:sz w:val="24"/>
          <w:lang w:eastAsia="zh-CN"/>
        </w:rPr>
        <w:t>7.4.3甲方应当承担的经济处罚不得转嫁或者变相转嫁给乙方。</w:t>
      </w:r>
    </w:p>
    <w:p>
      <w:pPr>
        <w:spacing w:line="500" w:lineRule="exact"/>
        <w:rPr>
          <w:sz w:val="24"/>
          <w:lang w:eastAsia="zh-CN"/>
        </w:rPr>
      </w:pPr>
      <w:r>
        <w:rPr>
          <w:sz w:val="24"/>
          <w:lang w:eastAsia="zh-CN"/>
        </w:rPr>
        <w:t>7.4.46乙方对发生安全事故坚持“四不放过”原则的指导思想，不隐瞒、谎报，并在员工中开展事故分析、教育，防止同类事故的再次发生。</w:t>
      </w:r>
    </w:p>
    <w:p>
      <w:pPr>
        <w:spacing w:line="500" w:lineRule="exact"/>
        <w:rPr>
          <w:sz w:val="24"/>
          <w:lang w:eastAsia="zh-CN"/>
        </w:rPr>
      </w:pPr>
      <w:r>
        <w:rPr>
          <w:b/>
          <w:sz w:val="24"/>
          <w:lang w:eastAsia="zh-CN"/>
        </w:rPr>
        <w:t>8信息沟通：</w:t>
      </w:r>
      <w:r>
        <w:rPr>
          <w:sz w:val="24"/>
          <w:lang w:eastAsia="zh-CN"/>
        </w:rPr>
        <w:t>甲乙双方按照  次/（月、周）召开安全沟通会议，其他安全环保重大事项应立即报告甲方或备案。</w:t>
      </w:r>
    </w:p>
    <w:p>
      <w:pPr>
        <w:spacing w:line="500" w:lineRule="exact"/>
        <w:rPr>
          <w:b/>
          <w:bCs/>
          <w:sz w:val="24"/>
          <w:lang w:eastAsia="zh-CN"/>
        </w:rPr>
      </w:pPr>
      <w:bookmarkStart w:id="237" w:name="_Toc442016148"/>
      <w:bookmarkStart w:id="238" w:name="_Toc381911472"/>
      <w:bookmarkStart w:id="239" w:name="_Toc384944723"/>
      <w:bookmarkStart w:id="240" w:name="_Toc434694369"/>
      <w:bookmarkStart w:id="241" w:name="_Toc451698746"/>
      <w:bookmarkStart w:id="242" w:name="_Toc396036416"/>
      <w:bookmarkStart w:id="243" w:name="_Toc383301033"/>
      <w:bookmarkStart w:id="244" w:name="_Toc442133377"/>
      <w:bookmarkStart w:id="245" w:name="_Toc442022107"/>
      <w:bookmarkStart w:id="246" w:name="_Toc389985365"/>
      <w:bookmarkStart w:id="247" w:name="_Toc396037060"/>
      <w:r>
        <w:rPr>
          <w:b/>
          <w:bCs/>
          <w:sz w:val="24"/>
          <w:lang w:eastAsia="zh-CN"/>
        </w:rPr>
        <w:t>9安全检查与考评</w:t>
      </w:r>
      <w:bookmarkEnd w:id="237"/>
      <w:bookmarkEnd w:id="238"/>
      <w:bookmarkEnd w:id="239"/>
      <w:bookmarkEnd w:id="240"/>
      <w:bookmarkEnd w:id="241"/>
      <w:bookmarkEnd w:id="242"/>
      <w:bookmarkEnd w:id="243"/>
      <w:bookmarkEnd w:id="244"/>
      <w:bookmarkEnd w:id="245"/>
      <w:bookmarkEnd w:id="246"/>
      <w:bookmarkEnd w:id="247"/>
    </w:p>
    <w:p>
      <w:pPr>
        <w:spacing w:line="500" w:lineRule="exact"/>
        <w:rPr>
          <w:sz w:val="24"/>
          <w:lang w:eastAsia="zh-CN"/>
        </w:rPr>
      </w:pPr>
      <w:r>
        <w:rPr>
          <w:sz w:val="24"/>
          <w:lang w:eastAsia="zh-CN"/>
        </w:rPr>
        <w:t>9.1甲方应建立项目施工的安全生产考核机制，制定考核办法，对乙方进行安全生产考核。</w:t>
      </w:r>
    </w:p>
    <w:p>
      <w:pPr>
        <w:spacing w:line="500" w:lineRule="exact"/>
        <w:rPr>
          <w:sz w:val="24"/>
          <w:lang w:eastAsia="zh-CN"/>
        </w:rPr>
      </w:pPr>
      <w:r>
        <w:rPr>
          <w:sz w:val="24"/>
          <w:lang w:eastAsia="zh-CN"/>
        </w:rPr>
        <w:t>9.2甲方应当加强项目监督检查工作，发现乙方违反法律、法规、规章和标准的</w:t>
      </w:r>
      <w:r>
        <w:rPr>
          <w:spacing w:val="6"/>
          <w:sz w:val="24"/>
          <w:lang w:eastAsia="zh-CN"/>
        </w:rPr>
        <w:t>违章违纪</w:t>
      </w:r>
      <w:r>
        <w:rPr>
          <w:sz w:val="24"/>
          <w:lang w:eastAsia="zh-CN"/>
        </w:rPr>
        <w:t>行为，</w:t>
      </w:r>
      <w:r>
        <w:rPr>
          <w:spacing w:val="6"/>
          <w:sz w:val="24"/>
          <w:lang w:eastAsia="zh-CN"/>
        </w:rPr>
        <w:t>及时进行教育，</w:t>
      </w:r>
      <w:r>
        <w:rPr>
          <w:sz w:val="24"/>
          <w:lang w:eastAsia="zh-CN"/>
        </w:rPr>
        <w:t>有权纠正和考核，</w:t>
      </w:r>
      <w:r>
        <w:rPr>
          <w:spacing w:val="6"/>
          <w:sz w:val="24"/>
          <w:lang w:eastAsia="zh-CN"/>
        </w:rPr>
        <w:t>对不听劝告、</w:t>
      </w:r>
      <w:r>
        <w:rPr>
          <w:sz w:val="24"/>
          <w:lang w:eastAsia="zh-CN"/>
        </w:rPr>
        <w:t>直至清退出场。</w:t>
      </w:r>
    </w:p>
    <w:p>
      <w:pPr>
        <w:spacing w:line="500" w:lineRule="exact"/>
        <w:rPr>
          <w:bCs/>
          <w:sz w:val="24"/>
          <w:lang w:eastAsia="zh-CN"/>
        </w:rPr>
      </w:pPr>
      <w:r>
        <w:rPr>
          <w:bCs/>
          <w:sz w:val="24"/>
          <w:lang w:eastAsia="zh-CN"/>
        </w:rPr>
        <w:t>9.3甲方审查乙方相应的作业资格证书、作业方案和外包商、作业现场的设备、设施、建（构）筑物和人员作业安全状况等。</w:t>
      </w:r>
    </w:p>
    <w:p>
      <w:pPr>
        <w:spacing w:line="500" w:lineRule="exact"/>
        <w:rPr>
          <w:spacing w:val="6"/>
          <w:sz w:val="24"/>
          <w:lang w:eastAsia="zh-CN"/>
        </w:rPr>
      </w:pPr>
      <w:r>
        <w:rPr>
          <w:bCs/>
          <w:sz w:val="24"/>
          <w:lang w:eastAsia="zh-CN"/>
        </w:rPr>
        <w:t>9.4</w:t>
      </w:r>
      <w:r>
        <w:rPr>
          <w:spacing w:val="6"/>
          <w:sz w:val="24"/>
          <w:lang w:eastAsia="zh-CN"/>
        </w:rPr>
        <w:t>甲方对乙方的安全生产工作统一协调、管理，甲方有权对乙方施工作业区的设备、设施、建（构）筑物和人员作业安全状况进行安全检查，发现安全问题的，应当及时督促乙方进行整改。甲方有权提出撤换外包方项目经理、安全管理负责人。</w:t>
      </w:r>
    </w:p>
    <w:p>
      <w:pPr>
        <w:spacing w:line="500" w:lineRule="exact"/>
        <w:rPr>
          <w:bCs/>
          <w:sz w:val="24"/>
          <w:lang w:eastAsia="zh-CN"/>
        </w:rPr>
      </w:pPr>
      <w:r>
        <w:rPr>
          <w:spacing w:val="6"/>
          <w:sz w:val="24"/>
          <w:lang w:eastAsia="zh-CN"/>
        </w:rPr>
        <w:t>9.5</w:t>
      </w:r>
      <w:r>
        <w:rPr>
          <w:rFonts w:hint="eastAsia"/>
          <w:bCs/>
          <w:sz w:val="24"/>
          <w:lang w:eastAsia="zh-CN"/>
        </w:rPr>
        <w:t>乙方负责项目范围内的作业安全（消防）管理，制定施工方案，加强项目作业现场的日常安全检查，做好相关记录，落实各项规章制度和安全操作规程，消除人的不安全行为和物的不安全状态。在项目作业范围内发现重大事故隐患后不能立即治理的，应当采取必要的防范措施，并及时书面报告甲方协商解决，消除事故隐患</w:t>
      </w:r>
      <w:r>
        <w:rPr>
          <w:bCs/>
          <w:sz w:val="24"/>
          <w:lang w:eastAsia="zh-CN"/>
        </w:rPr>
        <w:t>。</w:t>
      </w:r>
    </w:p>
    <w:p>
      <w:pPr>
        <w:spacing w:line="500" w:lineRule="exact"/>
        <w:rPr>
          <w:bCs/>
          <w:sz w:val="24"/>
          <w:lang w:eastAsia="zh-CN"/>
        </w:rPr>
      </w:pPr>
      <w:r>
        <w:rPr>
          <w:bCs/>
          <w:sz w:val="24"/>
          <w:lang w:eastAsia="zh-CN"/>
        </w:rPr>
        <w:t>9.6乙方应当接受甲方的监督管理，遵守甲方的有关规章制度的要求。同时，乙方有权拒绝甲方违章指挥和强令冒险作业。</w:t>
      </w:r>
    </w:p>
    <w:p>
      <w:pPr>
        <w:spacing w:line="500" w:lineRule="exact"/>
        <w:rPr>
          <w:bCs/>
          <w:sz w:val="24"/>
          <w:lang w:eastAsia="zh-CN"/>
        </w:rPr>
      </w:pPr>
      <w:r>
        <w:rPr>
          <w:bCs/>
          <w:sz w:val="24"/>
          <w:lang w:eastAsia="zh-CN"/>
        </w:rPr>
        <w:t>9.7乙方应当向甲方提供安全生产考核所需资料，接受甲方的考核与奖惩。</w:t>
      </w:r>
      <w:bookmarkEnd w:id="214"/>
    </w:p>
    <w:p>
      <w:pPr>
        <w:spacing w:line="500" w:lineRule="exact"/>
        <w:rPr>
          <w:b/>
          <w:bCs/>
          <w:sz w:val="24"/>
          <w:lang w:eastAsia="zh-CN"/>
        </w:rPr>
      </w:pPr>
      <w:r>
        <w:rPr>
          <w:b/>
          <w:bCs/>
          <w:sz w:val="24"/>
          <w:lang w:eastAsia="zh-CN"/>
        </w:rPr>
        <w:t>10风险抵押金考核</w:t>
      </w:r>
    </w:p>
    <w:p>
      <w:pPr>
        <w:widowControl/>
        <w:shd w:val="clear" w:color="auto" w:fill="FFFFFF"/>
        <w:snapToGrid w:val="0"/>
        <w:spacing w:line="500" w:lineRule="exact"/>
        <w:rPr>
          <w:sz w:val="24"/>
          <w:lang w:eastAsia="zh-CN"/>
        </w:rPr>
      </w:pPr>
      <w:r>
        <w:rPr>
          <w:bCs/>
          <w:sz w:val="24"/>
          <w:lang w:eastAsia="zh-CN"/>
        </w:rPr>
        <w:t>10.1乙方违反甲方各项安全管理规定的，（如违反甲方危险作业要求、使用不安全的工具、设备、未按要求佩戴相对应的劳保防护用品、未做到工完场清或未及时搞好现场卫生、作业过程违反操作规程等），一般违规扣200元/次；严重违规（糖业10条禁令）扣500元/次，重复违反扣1000元/次，违反《中粮集团</w:t>
      </w:r>
      <w:bookmarkStart w:id="248" w:name="_Hlk132701874"/>
      <w:r>
        <w:rPr>
          <w:bCs/>
          <w:sz w:val="24"/>
          <w:lang w:eastAsia="zh-CN"/>
        </w:rPr>
        <w:t>承包商与工程项目管理安全</w:t>
      </w:r>
      <w:bookmarkEnd w:id="248"/>
      <w:r>
        <w:rPr>
          <w:bCs/>
          <w:sz w:val="24"/>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widowControl/>
        <w:shd w:val="clear" w:color="auto" w:fill="FFFFFF"/>
        <w:snapToGrid w:val="0"/>
        <w:spacing w:line="500" w:lineRule="exact"/>
        <w:ind w:firstLine="480" w:firstLineChars="200"/>
        <w:rPr>
          <w:bCs/>
          <w:sz w:val="24"/>
          <w:lang w:eastAsia="zh-CN"/>
        </w:rPr>
      </w:pPr>
      <w:r>
        <w:rPr>
          <w:sz w:val="24"/>
          <w:lang w:eastAsia="zh-CN"/>
        </w:rPr>
        <w:t>乙方发生事故罚款时，履约保证金不足，可从合同金额中扣除。</w:t>
      </w:r>
    </w:p>
    <w:p>
      <w:pPr>
        <w:spacing w:line="500" w:lineRule="exact"/>
        <w:rPr>
          <w:sz w:val="24"/>
          <w:lang w:eastAsia="zh-CN"/>
        </w:rPr>
      </w:pPr>
      <w:r>
        <w:rPr>
          <w:sz w:val="24"/>
          <w:lang w:eastAsia="zh-CN"/>
        </w:rPr>
        <w:t>10.2对安全管理漏洞及事故隐患未能限期整改，必要时进行停工整顿。由于乙方作业活动中严重违反甲方安全</w:t>
      </w:r>
      <w:r>
        <w:rPr>
          <w:rFonts w:hint="eastAsia"/>
          <w:sz w:val="24"/>
          <w:lang w:eastAsia="zh-CN"/>
        </w:rPr>
        <w:t>、消防</w:t>
      </w:r>
      <w:r>
        <w:rPr>
          <w:sz w:val="24"/>
          <w:lang w:eastAsia="zh-CN"/>
        </w:rPr>
        <w:t>管理制度，对甲方造成严重影响的已未遂事故时，甲方有权单方解除合同，并要求乙方承担由此给甲方造成的实际损失的赔偿责任。</w:t>
      </w:r>
    </w:p>
    <w:p>
      <w:pPr>
        <w:spacing w:line="500" w:lineRule="exact"/>
        <w:rPr>
          <w:bCs/>
          <w:sz w:val="24"/>
          <w:lang w:eastAsia="zh-CN"/>
        </w:rPr>
      </w:pPr>
      <w:r>
        <w:rPr>
          <w:sz w:val="24"/>
          <w:lang w:eastAsia="zh-CN"/>
        </w:rPr>
        <w:t>10.3乙方作业过程中违反国家有关法律法规，受到行政、经济、刑事处罚的，由乙方自行承担责任。</w:t>
      </w:r>
    </w:p>
    <w:p>
      <w:pPr>
        <w:spacing w:line="500" w:lineRule="exact"/>
        <w:rPr>
          <w:sz w:val="24"/>
          <w:lang w:eastAsia="zh-CN"/>
        </w:rPr>
      </w:pPr>
      <w:r>
        <w:rPr>
          <w:sz w:val="24"/>
          <w:lang w:eastAsia="zh-CN"/>
        </w:rPr>
        <w:t>10.4乙方施工现场发生重伤1-2人责任事故，甲方扣罚该项目风险抵押金总额的20％（1人）、60%（2人）；若乙方施工现场发生死亡1人及以上或重伤3人及以上责任事故，甲方扣罚该项目全部风险抵押金。项目验收结束且确认乙方无违规、事故后，甲方无息返还乙方风险抵押金。</w:t>
      </w:r>
    </w:p>
    <w:p>
      <w:pPr>
        <w:spacing w:line="500" w:lineRule="exact"/>
        <w:rPr>
          <w:sz w:val="24"/>
          <w:lang w:eastAsia="zh-CN"/>
        </w:rPr>
      </w:pPr>
      <w:r>
        <w:rPr>
          <w:rFonts w:hint="eastAsia"/>
          <w:sz w:val="24"/>
          <w:lang w:eastAsia="zh-CN"/>
        </w:rPr>
        <w:t>10.5</w:t>
      </w:r>
      <w:r>
        <w:rPr>
          <w:sz w:val="24"/>
          <w:lang w:eastAsia="zh-CN"/>
        </w:rPr>
        <w:t>依据《甘蔗糖部质量安全环保绩效考核办法》相关要求，对承包商安全管理</w:t>
      </w:r>
      <w:r>
        <w:rPr>
          <w:rFonts w:hint="eastAsia"/>
          <w:sz w:val="24"/>
          <w:lang w:eastAsia="zh-CN"/>
        </w:rPr>
        <w:t>进行</w:t>
      </w:r>
      <w:r>
        <w:rPr>
          <w:sz w:val="24"/>
          <w:lang w:eastAsia="zh-CN"/>
        </w:rPr>
        <w:t>量化记点考核、违章处罚和“黑名单”制</w:t>
      </w:r>
      <w:r>
        <w:rPr>
          <w:rFonts w:hint="eastAsia"/>
          <w:sz w:val="24"/>
          <w:lang w:eastAsia="zh-CN"/>
        </w:rPr>
        <w:t>，考核标准：违反禁令扣2点/次、严重违章扣1.5点/次、一般违章扣1点/次，累计达到15点时，甘蔗糖部对相关公司和相关方发出预警。扣点20点的相关方解除承包合同，列入安全黑名单</w:t>
      </w:r>
      <w:bookmarkStart w:id="249" w:name="_Hlk151135068"/>
      <w:r>
        <w:rPr>
          <w:rFonts w:hint="eastAsia"/>
          <w:sz w:val="24"/>
          <w:lang w:eastAsia="zh-CN"/>
        </w:rPr>
        <w:t>(其他条件按照《承包商管理办法》8</w:t>
      </w:r>
      <w:r>
        <w:rPr>
          <w:sz w:val="24"/>
          <w:lang w:eastAsia="zh-CN"/>
        </w:rPr>
        <w:t>.4</w:t>
      </w:r>
      <w:r>
        <w:rPr>
          <w:rFonts w:hint="eastAsia"/>
          <w:sz w:val="24"/>
          <w:lang w:eastAsia="zh-CN"/>
        </w:rPr>
        <w:t>款</w:t>
      </w:r>
      <w:r>
        <w:rPr>
          <w:sz w:val="24"/>
          <w:lang w:eastAsia="zh-CN"/>
        </w:rPr>
        <w:t>)</w:t>
      </w:r>
      <w:bookmarkEnd w:id="249"/>
      <w:r>
        <w:rPr>
          <w:rFonts w:hint="eastAsia"/>
          <w:sz w:val="24"/>
          <w:lang w:eastAsia="zh-CN"/>
        </w:rPr>
        <w:t>，报生产技术部拉黑，从中粮糖业承包商库中进行除名。</w:t>
      </w:r>
    </w:p>
    <w:p>
      <w:pPr>
        <w:spacing w:line="500" w:lineRule="exact"/>
        <w:rPr>
          <w:b/>
          <w:bCs/>
          <w:sz w:val="24"/>
          <w:lang w:eastAsia="zh-CN"/>
        </w:rPr>
      </w:pPr>
      <w:bookmarkStart w:id="250" w:name="_Toc383301034"/>
      <w:bookmarkStart w:id="251" w:name="_Toc381911473"/>
      <w:bookmarkStart w:id="252" w:name="_Toc434694370"/>
      <w:bookmarkStart w:id="253" w:name="_Toc442133378"/>
      <w:bookmarkStart w:id="254" w:name="_Toc384944724"/>
      <w:bookmarkStart w:id="255" w:name="_Toc396036417"/>
      <w:bookmarkStart w:id="256" w:name="_Toc442022108"/>
      <w:bookmarkStart w:id="257" w:name="_Toc442016149"/>
      <w:bookmarkStart w:id="258" w:name="_Toc451698747"/>
      <w:bookmarkStart w:id="259" w:name="_Toc396037061"/>
      <w:bookmarkStart w:id="260" w:name="_Toc389985366"/>
      <w:r>
        <w:rPr>
          <w:b/>
          <w:bCs/>
          <w:sz w:val="24"/>
          <w:lang w:eastAsia="zh-CN"/>
        </w:rPr>
        <w:t>11违约责任</w:t>
      </w:r>
      <w:bookmarkEnd w:id="250"/>
      <w:bookmarkEnd w:id="251"/>
      <w:bookmarkEnd w:id="252"/>
      <w:bookmarkEnd w:id="253"/>
      <w:bookmarkEnd w:id="254"/>
      <w:bookmarkEnd w:id="255"/>
      <w:bookmarkEnd w:id="256"/>
      <w:bookmarkEnd w:id="257"/>
      <w:bookmarkEnd w:id="258"/>
      <w:bookmarkEnd w:id="259"/>
      <w:bookmarkEnd w:id="260"/>
    </w:p>
    <w:p>
      <w:pPr>
        <w:spacing w:line="500" w:lineRule="exact"/>
        <w:rPr>
          <w:bCs/>
          <w:sz w:val="24"/>
          <w:lang w:eastAsia="zh-CN"/>
        </w:rPr>
      </w:pPr>
      <w:r>
        <w:rPr>
          <w:sz w:val="24"/>
          <w:lang w:eastAsia="zh-CN"/>
        </w:rPr>
        <w:t>11.1甲乙双方遵守</w:t>
      </w:r>
      <w:r>
        <w:rPr>
          <w:bCs/>
          <w:sz w:val="24"/>
          <w:lang w:eastAsia="zh-CN"/>
        </w:rPr>
        <w:t>法律、法规、规章规定的义务，</w:t>
      </w:r>
      <w:r>
        <w:rPr>
          <w:sz w:val="24"/>
          <w:lang w:eastAsia="zh-CN"/>
        </w:rPr>
        <w:t>并享有相应的</w:t>
      </w:r>
      <w:r>
        <w:rPr>
          <w:bCs/>
          <w:sz w:val="24"/>
          <w:lang w:eastAsia="zh-CN"/>
        </w:rPr>
        <w:t>权利。</w:t>
      </w:r>
    </w:p>
    <w:p>
      <w:pPr>
        <w:spacing w:line="500" w:lineRule="exact"/>
        <w:rPr>
          <w:b/>
          <w:sz w:val="24"/>
          <w:lang w:eastAsia="zh-CN"/>
        </w:rPr>
      </w:pPr>
      <w:r>
        <w:rPr>
          <w:b/>
          <w:bCs/>
          <w:sz w:val="24"/>
          <w:lang w:eastAsia="zh-CN"/>
        </w:rPr>
        <w:t>11.1.1</w:t>
      </w:r>
      <w:r>
        <w:rPr>
          <w:b/>
          <w:sz w:val="24"/>
          <w:lang w:eastAsia="zh-CN"/>
        </w:rPr>
        <w:t>甲方违约</w:t>
      </w:r>
    </w:p>
    <w:p>
      <w:pPr>
        <w:spacing w:line="500" w:lineRule="exact"/>
        <w:ind w:firstLine="480" w:firstLineChars="200"/>
        <w:rPr>
          <w:sz w:val="24"/>
          <w:lang w:eastAsia="zh-CN"/>
        </w:rPr>
      </w:pPr>
      <w:r>
        <w:rPr>
          <w:sz w:val="24"/>
          <w:lang w:eastAsia="zh-CN"/>
        </w:rPr>
        <w:t>当发生下列情况之一的，甲方承担违约责任，依法赔偿给乙方造成的经济损失；因违约造成生产安全事故的，按照相关法律、法规、规章的规定，甲方依法承担相应责任：</w:t>
      </w:r>
    </w:p>
    <w:p>
      <w:pPr>
        <w:spacing w:line="500" w:lineRule="exact"/>
        <w:ind w:firstLine="480" w:firstLineChars="200"/>
        <w:rPr>
          <w:sz w:val="24"/>
          <w:lang w:eastAsia="zh-CN"/>
        </w:rPr>
      </w:pPr>
      <w:r>
        <w:rPr>
          <w:sz w:val="24"/>
          <w:lang w:eastAsia="zh-CN"/>
        </w:rPr>
        <w:t>——甲方擅自压缩项目合同约定的工期，违章指挥或者强令乙方及其从业人员冒险作业的；</w:t>
      </w:r>
    </w:p>
    <w:p>
      <w:pPr>
        <w:spacing w:line="500" w:lineRule="exact"/>
        <w:ind w:firstLine="480" w:firstLineChars="200"/>
        <w:rPr>
          <w:sz w:val="24"/>
          <w:lang w:eastAsia="zh-CN"/>
        </w:rPr>
      </w:pPr>
      <w:r>
        <w:rPr>
          <w:sz w:val="24"/>
          <w:lang w:eastAsia="zh-CN"/>
        </w:rPr>
        <w:t>——甲方未提供项目施工作业所必要的图纸资料，未向乙方进行技术交底的；</w:t>
      </w:r>
    </w:p>
    <w:p>
      <w:pPr>
        <w:spacing w:line="500" w:lineRule="exact"/>
        <w:ind w:firstLine="480" w:firstLineChars="200"/>
        <w:rPr>
          <w:sz w:val="24"/>
          <w:lang w:eastAsia="zh-CN"/>
        </w:rPr>
      </w:pPr>
      <w:r>
        <w:rPr>
          <w:sz w:val="24"/>
          <w:lang w:eastAsia="zh-CN"/>
        </w:rPr>
        <w:t>——甲方不能提供合法的外包项目的；</w:t>
      </w:r>
    </w:p>
    <w:p>
      <w:pPr>
        <w:spacing w:line="500" w:lineRule="exact"/>
        <w:ind w:firstLine="480" w:firstLineChars="200"/>
        <w:rPr>
          <w:sz w:val="24"/>
          <w:lang w:eastAsia="zh-CN"/>
        </w:rPr>
      </w:pPr>
      <w:r>
        <w:rPr>
          <w:sz w:val="24"/>
          <w:lang w:eastAsia="zh-CN"/>
        </w:rPr>
        <w:t>——甲方不能保证与外包项目有关的生产系统安全设施正常运行的；</w:t>
      </w:r>
    </w:p>
    <w:p>
      <w:pPr>
        <w:spacing w:line="500" w:lineRule="exact"/>
        <w:ind w:firstLine="480" w:firstLineChars="200"/>
        <w:rPr>
          <w:sz w:val="24"/>
          <w:lang w:eastAsia="zh-CN"/>
        </w:rPr>
      </w:pPr>
      <w:r>
        <w:rPr>
          <w:sz w:val="24"/>
          <w:lang w:eastAsia="zh-CN"/>
        </w:rPr>
        <w:t>——甲方违反项目设计安排乙方施工作业的；</w:t>
      </w:r>
    </w:p>
    <w:p>
      <w:pPr>
        <w:spacing w:line="500" w:lineRule="exact"/>
        <w:ind w:firstLine="480" w:firstLineChars="200"/>
        <w:rPr>
          <w:sz w:val="24"/>
          <w:lang w:eastAsia="zh-CN"/>
        </w:rPr>
      </w:pPr>
      <w:r>
        <w:rPr>
          <w:sz w:val="24"/>
          <w:lang w:eastAsia="zh-CN"/>
        </w:rPr>
        <w:t>——甲方未按照合同或者协议约定支付应当由甲方承担的项目安全生产费用的；</w:t>
      </w:r>
    </w:p>
    <w:p>
      <w:pPr>
        <w:spacing w:line="500" w:lineRule="exact"/>
        <w:ind w:firstLine="480" w:firstLineChars="200"/>
        <w:rPr>
          <w:sz w:val="24"/>
          <w:lang w:eastAsia="zh-CN"/>
        </w:rPr>
      </w:pPr>
      <w:r>
        <w:rPr>
          <w:sz w:val="24"/>
          <w:lang w:eastAsia="zh-CN"/>
        </w:rPr>
        <w:t>——发生事故后，甲方未及时组织开展应急救援工作的；</w:t>
      </w:r>
    </w:p>
    <w:p>
      <w:pPr>
        <w:spacing w:line="500" w:lineRule="exact"/>
        <w:ind w:firstLine="480" w:firstLineChars="200"/>
        <w:rPr>
          <w:sz w:val="24"/>
          <w:lang w:eastAsia="zh-CN"/>
        </w:rPr>
      </w:pPr>
      <w:r>
        <w:rPr>
          <w:sz w:val="24"/>
          <w:lang w:eastAsia="zh-CN"/>
        </w:rPr>
        <w:t>——甲方不履行协议义务或不按协议约定履行义务的其他情况。</w:t>
      </w:r>
    </w:p>
    <w:p>
      <w:pPr>
        <w:spacing w:line="500" w:lineRule="exact"/>
        <w:rPr>
          <w:b/>
          <w:sz w:val="24"/>
          <w:lang w:eastAsia="zh-CN"/>
        </w:rPr>
      </w:pPr>
      <w:r>
        <w:rPr>
          <w:b/>
          <w:sz w:val="24"/>
          <w:lang w:eastAsia="zh-CN"/>
        </w:rPr>
        <w:t>11.1.2乙方违约</w:t>
      </w:r>
    </w:p>
    <w:p>
      <w:pPr>
        <w:spacing w:line="500" w:lineRule="exact"/>
        <w:ind w:firstLine="480" w:firstLineChars="200"/>
        <w:rPr>
          <w:sz w:val="24"/>
          <w:lang w:eastAsia="zh-CN"/>
        </w:rPr>
      </w:pPr>
      <w:r>
        <w:rPr>
          <w:sz w:val="24"/>
          <w:lang w:eastAsia="zh-CN"/>
        </w:rPr>
        <w:t>当发生下列情况之一的，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pPr>
        <w:spacing w:line="500" w:lineRule="exact"/>
        <w:ind w:firstLine="480" w:firstLineChars="200"/>
        <w:rPr>
          <w:sz w:val="24"/>
          <w:lang w:eastAsia="zh-CN"/>
        </w:rPr>
      </w:pPr>
      <w:r>
        <w:rPr>
          <w:sz w:val="24"/>
          <w:lang w:eastAsia="zh-CN"/>
        </w:rPr>
        <w:t>——乙方未按照合同或者协议约定将甲方提供的安全生产费用落实到位、专款专用的；</w:t>
      </w:r>
    </w:p>
    <w:p>
      <w:pPr>
        <w:spacing w:line="500" w:lineRule="exact"/>
        <w:ind w:firstLine="480" w:firstLineChars="200"/>
        <w:rPr>
          <w:sz w:val="24"/>
          <w:lang w:eastAsia="zh-CN"/>
        </w:rPr>
      </w:pPr>
      <w:r>
        <w:rPr>
          <w:sz w:val="24"/>
          <w:lang w:eastAsia="zh-CN"/>
        </w:rPr>
        <w:t>——乙方不能保证与承揽项目规模相匹配的施工资质、技术人员、特种作业人员和设备设施的；</w:t>
      </w:r>
    </w:p>
    <w:p>
      <w:pPr>
        <w:spacing w:line="500" w:lineRule="exact"/>
        <w:ind w:firstLine="480" w:firstLineChars="200"/>
        <w:rPr>
          <w:sz w:val="24"/>
          <w:lang w:eastAsia="zh-CN"/>
        </w:rPr>
      </w:pPr>
      <w:r>
        <w:rPr>
          <w:sz w:val="24"/>
          <w:lang w:eastAsia="zh-CN"/>
        </w:rPr>
        <w:t>——乙方有关资质、证照已过期的，或者安排证件已过期的各类应持证人员上岗作业的；</w:t>
      </w:r>
    </w:p>
    <w:p>
      <w:pPr>
        <w:spacing w:line="500" w:lineRule="exact"/>
        <w:ind w:firstLine="480" w:firstLineChars="200"/>
        <w:rPr>
          <w:sz w:val="24"/>
          <w:lang w:eastAsia="zh-CN"/>
        </w:rPr>
      </w:pPr>
      <w:r>
        <w:rPr>
          <w:sz w:val="24"/>
          <w:lang w:eastAsia="zh-CN"/>
        </w:rPr>
        <w:t>——乙方人员违章指挥或者违章作业的；</w:t>
      </w:r>
    </w:p>
    <w:p>
      <w:pPr>
        <w:spacing w:line="500" w:lineRule="exact"/>
        <w:ind w:firstLine="480" w:firstLineChars="200"/>
        <w:rPr>
          <w:sz w:val="24"/>
          <w:lang w:eastAsia="zh-CN"/>
        </w:rPr>
      </w:pPr>
      <w:r>
        <w:rPr>
          <w:sz w:val="24"/>
          <w:lang w:eastAsia="zh-CN"/>
        </w:rPr>
        <w:t>——乙方现场安全管理不到位的；</w:t>
      </w:r>
    </w:p>
    <w:p>
      <w:pPr>
        <w:spacing w:line="500" w:lineRule="exact"/>
        <w:ind w:firstLine="480" w:firstLineChars="200"/>
        <w:rPr>
          <w:sz w:val="24"/>
          <w:lang w:eastAsia="zh-CN"/>
        </w:rPr>
      </w:pPr>
      <w:r>
        <w:rPr>
          <w:sz w:val="24"/>
          <w:lang w:eastAsia="zh-CN"/>
        </w:rPr>
        <w:t>——发生事故后，乙方未及时开展应急救援工作的；</w:t>
      </w:r>
    </w:p>
    <w:p>
      <w:pPr>
        <w:spacing w:line="500" w:lineRule="exact"/>
        <w:ind w:firstLine="480" w:firstLineChars="200"/>
        <w:rPr>
          <w:sz w:val="24"/>
          <w:lang w:eastAsia="zh-CN"/>
        </w:rPr>
      </w:pPr>
      <w:r>
        <w:rPr>
          <w:sz w:val="24"/>
          <w:lang w:eastAsia="zh-CN"/>
        </w:rPr>
        <w:t>——乙方不履行协议义务或者未按协议约定履行义务的其他情况。</w:t>
      </w:r>
    </w:p>
    <w:p>
      <w:pPr>
        <w:spacing w:line="500" w:lineRule="exact"/>
        <w:rPr>
          <w:b/>
          <w:bCs/>
          <w:sz w:val="24"/>
          <w:lang w:eastAsia="zh-CN"/>
        </w:rPr>
      </w:pPr>
      <w:bookmarkStart w:id="261" w:name="_Toc442016150"/>
      <w:bookmarkStart w:id="262" w:name="_Toc384944725"/>
      <w:bookmarkStart w:id="263" w:name="_Toc383301035"/>
      <w:bookmarkStart w:id="264" w:name="_Toc451698748"/>
      <w:bookmarkStart w:id="265" w:name="_Toc389985367"/>
      <w:bookmarkStart w:id="266" w:name="_Toc396036418"/>
      <w:bookmarkStart w:id="267" w:name="_Toc442133379"/>
      <w:bookmarkStart w:id="268" w:name="_Toc442022109"/>
      <w:bookmarkStart w:id="269" w:name="_Toc434694371"/>
      <w:bookmarkStart w:id="270" w:name="_Toc396037062"/>
      <w:bookmarkStart w:id="271" w:name="_Toc381911474"/>
      <w:r>
        <w:rPr>
          <w:b/>
          <w:bCs/>
          <w:sz w:val="24"/>
          <w:lang w:eastAsia="zh-CN"/>
        </w:rPr>
        <w:t>12补充条款</w:t>
      </w:r>
      <w:bookmarkEnd w:id="261"/>
      <w:bookmarkEnd w:id="262"/>
      <w:bookmarkEnd w:id="263"/>
      <w:bookmarkEnd w:id="264"/>
      <w:bookmarkEnd w:id="265"/>
      <w:bookmarkEnd w:id="266"/>
      <w:bookmarkEnd w:id="267"/>
      <w:bookmarkEnd w:id="268"/>
      <w:bookmarkEnd w:id="269"/>
      <w:bookmarkEnd w:id="270"/>
      <w:bookmarkEnd w:id="271"/>
    </w:p>
    <w:p>
      <w:pPr>
        <w:spacing w:line="500" w:lineRule="exact"/>
        <w:ind w:firstLine="480" w:firstLineChars="200"/>
        <w:rPr>
          <w:sz w:val="24"/>
          <w:lang w:eastAsia="zh-CN"/>
        </w:rPr>
      </w:pPr>
      <w:r>
        <w:rPr>
          <w:sz w:val="24"/>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spacing w:line="500" w:lineRule="exact"/>
        <w:rPr>
          <w:b/>
          <w:bCs/>
          <w:sz w:val="24"/>
          <w:lang w:eastAsia="zh-CN"/>
        </w:rPr>
      </w:pPr>
      <w:bookmarkStart w:id="272" w:name="_Toc442022110"/>
      <w:bookmarkStart w:id="273" w:name="_Toc434694372"/>
      <w:bookmarkStart w:id="274" w:name="_Toc442016151"/>
      <w:bookmarkStart w:id="275" w:name="_Toc442133380"/>
      <w:bookmarkStart w:id="276" w:name="_Toc383301036"/>
      <w:bookmarkStart w:id="277" w:name="_Toc396037063"/>
      <w:bookmarkStart w:id="278" w:name="_Toc389985368"/>
      <w:bookmarkStart w:id="279" w:name="_Toc384944726"/>
      <w:bookmarkStart w:id="280" w:name="_Toc451698749"/>
      <w:bookmarkStart w:id="281" w:name="_Toc381911475"/>
      <w:bookmarkStart w:id="282" w:name="_Toc396036419"/>
      <w:r>
        <w:rPr>
          <w:b/>
          <w:bCs/>
          <w:sz w:val="24"/>
          <w:lang w:eastAsia="zh-CN"/>
        </w:rPr>
        <w:t>13协议生效</w:t>
      </w:r>
      <w:bookmarkEnd w:id="272"/>
      <w:bookmarkEnd w:id="273"/>
      <w:bookmarkEnd w:id="274"/>
      <w:bookmarkEnd w:id="275"/>
      <w:bookmarkEnd w:id="276"/>
      <w:bookmarkEnd w:id="277"/>
      <w:bookmarkEnd w:id="278"/>
      <w:bookmarkEnd w:id="279"/>
      <w:bookmarkEnd w:id="280"/>
      <w:bookmarkEnd w:id="281"/>
      <w:bookmarkEnd w:id="282"/>
    </w:p>
    <w:p>
      <w:pPr>
        <w:snapToGrid w:val="0"/>
        <w:spacing w:line="500" w:lineRule="exact"/>
        <w:ind w:firstLine="511" w:firstLineChars="213"/>
        <w:rPr>
          <w:sz w:val="24"/>
          <w:lang w:eastAsia="zh-CN"/>
        </w:rPr>
      </w:pPr>
      <w:r>
        <w:rPr>
          <w:sz w:val="24"/>
          <w:lang w:eastAsia="zh-CN"/>
        </w:rPr>
        <w:t>本协议与合同具有同等效力。本协议一式两份，甲、乙双方各持一份，双方盖章后生效，具有同等的法律效力。</w:t>
      </w:r>
    </w:p>
    <w:p>
      <w:pPr>
        <w:spacing w:line="480" w:lineRule="exact"/>
        <w:rPr>
          <w:sz w:val="24"/>
          <w:lang w:val="zh-CN" w:eastAsia="zh-CN" w:bidi="zh-CN"/>
        </w:rPr>
      </w:pPr>
      <w:r>
        <w:rPr>
          <w:sz w:val="24"/>
          <w:lang w:val="zh-CN" w:eastAsia="zh-CN" w:bidi="zh-CN"/>
        </w:rPr>
        <w:t>甲方(盖章)：                           乙方(盖章)：</w:t>
      </w:r>
    </w:p>
    <w:p>
      <w:pPr>
        <w:spacing w:line="480" w:lineRule="exact"/>
        <w:rPr>
          <w:sz w:val="24"/>
          <w:lang w:val="zh-CN" w:eastAsia="zh-CN" w:bidi="zh-CN"/>
        </w:rPr>
      </w:pPr>
      <w:r>
        <w:rPr>
          <w:sz w:val="24"/>
          <w:lang w:val="zh-CN" w:eastAsia="zh-CN" w:bidi="zh-CN"/>
        </w:rPr>
        <w:t>企业负责人(签字)：                     企业负责人(签字)：　</w:t>
      </w:r>
    </w:p>
    <w:p>
      <w:pPr>
        <w:spacing w:line="480" w:lineRule="exact"/>
        <w:rPr>
          <w:sz w:val="24"/>
          <w:lang w:val="zh-CN" w:eastAsia="zh-CN" w:bidi="zh-CN"/>
        </w:rPr>
      </w:pPr>
      <w:r>
        <w:rPr>
          <w:sz w:val="24"/>
          <w:lang w:val="zh-CN" w:eastAsia="zh-CN" w:bidi="zh-CN"/>
        </w:rPr>
        <w:t>或委托代理人(签字)                     或委托代理人(签字)：</w:t>
      </w:r>
    </w:p>
    <w:p>
      <w:pPr>
        <w:spacing w:line="480" w:lineRule="exact"/>
        <w:rPr>
          <w:sz w:val="24"/>
          <w:lang w:val="zh-CN" w:eastAsia="zh-CN" w:bidi="zh-CN"/>
        </w:rPr>
      </w:pPr>
      <w:r>
        <w:rPr>
          <w:sz w:val="24"/>
          <w:lang w:val="zh-CN" w:eastAsia="zh-CN" w:bidi="zh-CN"/>
        </w:rPr>
        <w:t>联系电话：                            联系电话：</w:t>
      </w:r>
    </w:p>
    <w:p>
      <w:pPr>
        <w:spacing w:line="480" w:lineRule="exact"/>
        <w:rPr>
          <w:sz w:val="24"/>
          <w:lang w:val="zh-CN" w:eastAsia="zh-CN" w:bidi="zh-CN"/>
        </w:rPr>
      </w:pPr>
      <w:r>
        <w:rPr>
          <w:sz w:val="24"/>
          <w:lang w:val="zh-CN" w:eastAsia="zh-CN" w:bidi="zh-CN"/>
        </w:rPr>
        <w:t>日期：    年  月  日                  日期：    年  月  日</w:t>
      </w:r>
    </w:p>
    <w:p>
      <w:pPr>
        <w:rPr>
          <w:rFonts w:ascii="仿宋" w:hAnsi="仿宋" w:eastAsia="仿宋" w:cs="仿宋"/>
          <w:b/>
          <w:sz w:val="24"/>
          <w:szCs w:val="24"/>
          <w:lang w:eastAsia="zh-CN"/>
        </w:rPr>
      </w:pPr>
    </w:p>
    <w:p>
      <w:pPr>
        <w:rPr>
          <w:rFonts w:eastAsia="仿宋_GB2312"/>
          <w:sz w:val="30"/>
          <w:szCs w:val="30"/>
          <w:lang w:eastAsia="zh-CN"/>
        </w:rPr>
      </w:pPr>
      <w:bookmarkStart w:id="283" w:name="_Toc120949932"/>
      <w:r>
        <w:rPr>
          <w:rFonts w:hint="eastAsia" w:ascii="仿宋" w:hAnsi="仿宋" w:eastAsia="仿宋" w:cs="仿宋"/>
          <w:b/>
          <w:bCs/>
          <w:sz w:val="24"/>
          <w:szCs w:val="24"/>
          <w:lang w:eastAsia="zh-CN"/>
        </w:rPr>
        <w:t>附件5：食品接触材料设备设施质量规范及安装要求</w:t>
      </w:r>
    </w:p>
    <w:p>
      <w:pPr>
        <w:pStyle w:val="5"/>
        <w:rPr>
          <w:b/>
          <w:sz w:val="24"/>
          <w:lang w:eastAsia="zh-CN"/>
        </w:rPr>
      </w:pPr>
    </w:p>
    <w:p>
      <w:pPr>
        <w:ind w:firstLine="643" w:firstLineChars="200"/>
        <w:jc w:val="center"/>
        <w:rPr>
          <w:rFonts w:ascii="方正小标宋_GBK" w:eastAsia="方正小标宋_GBK"/>
          <w:b/>
          <w:bCs/>
          <w:sz w:val="32"/>
          <w:szCs w:val="32"/>
          <w:lang w:eastAsia="zh-CN"/>
        </w:rPr>
      </w:pPr>
      <w:r>
        <w:rPr>
          <w:rFonts w:hint="eastAsia" w:ascii="方正小标宋_GBK" w:eastAsia="方正小标宋_GBK"/>
          <w:b/>
          <w:bCs/>
          <w:sz w:val="32"/>
          <w:szCs w:val="32"/>
          <w:lang w:eastAsia="zh-CN"/>
        </w:rPr>
        <w:t>食品接触材料设备设施质量规范及安装要求</w:t>
      </w:r>
    </w:p>
    <w:p>
      <w:pPr>
        <w:spacing w:line="440" w:lineRule="exact"/>
        <w:ind w:firstLine="482" w:firstLineChars="200"/>
        <w:rPr>
          <w:rFonts w:ascii="仿宋" w:hAnsi="仿宋" w:eastAsia="仿宋" w:cs="仿宋"/>
          <w:b/>
          <w:bCs/>
          <w:sz w:val="24"/>
          <w:szCs w:val="24"/>
          <w:lang w:eastAsia="zh-CN"/>
        </w:rPr>
      </w:pPr>
      <w:r>
        <w:rPr>
          <w:rFonts w:hint="eastAsia" w:ascii="仿宋" w:hAnsi="仿宋" w:eastAsia="仿宋" w:cs="仿宋"/>
          <w:b/>
          <w:bCs/>
          <w:sz w:val="24"/>
          <w:szCs w:val="24"/>
          <w:lang w:eastAsia="zh-CN"/>
        </w:rPr>
        <w:t>一、目的</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为确保公司涉及食品卫生的材料、设备、设施（在下文中统一称为设备）各中标方在设计、制造、安装过程中符合国家相关食品生产卫生标准及满足公司客户的要求，特规定此质量规范机安装要求，各中标方或施工方按照要求来实施。</w:t>
      </w:r>
    </w:p>
    <w:p>
      <w:pPr>
        <w:spacing w:line="440" w:lineRule="exact"/>
        <w:ind w:firstLine="482" w:firstLineChars="200"/>
        <w:rPr>
          <w:rFonts w:ascii="仿宋" w:hAnsi="仿宋" w:eastAsia="仿宋" w:cs="仿宋"/>
          <w:b/>
          <w:bCs/>
          <w:sz w:val="24"/>
          <w:szCs w:val="24"/>
          <w:lang w:eastAsia="zh-CN"/>
        </w:rPr>
      </w:pPr>
      <w:r>
        <w:rPr>
          <w:rFonts w:hint="eastAsia" w:ascii="仿宋" w:hAnsi="仿宋" w:eastAsia="仿宋" w:cs="仿宋"/>
          <w:b/>
          <w:bCs/>
          <w:sz w:val="24"/>
          <w:szCs w:val="24"/>
          <w:lang w:eastAsia="zh-CN"/>
        </w:rPr>
        <w:t>二、适用范围</w:t>
      </w:r>
    </w:p>
    <w:p>
      <w:pPr>
        <w:spacing w:line="440" w:lineRule="exact"/>
        <w:ind w:firstLine="480" w:firstLineChars="200"/>
        <w:rPr>
          <w:rFonts w:ascii="仿宋" w:hAnsi="仿宋" w:eastAsia="仿宋" w:cs="仿宋"/>
          <w:bCs/>
          <w:sz w:val="24"/>
          <w:szCs w:val="24"/>
          <w:lang w:eastAsia="zh-CN"/>
        </w:rPr>
      </w:pPr>
      <w:r>
        <w:rPr>
          <w:rFonts w:hint="eastAsia" w:ascii="仿宋" w:hAnsi="仿宋" w:eastAsia="仿宋" w:cs="仿宋"/>
          <w:bCs/>
          <w:sz w:val="24"/>
          <w:szCs w:val="24"/>
          <w:lang w:eastAsia="zh-CN"/>
        </w:rPr>
        <w:t>制炼车间煮糖、分蜜、装包工段所有设备。</w:t>
      </w:r>
    </w:p>
    <w:p>
      <w:pPr>
        <w:spacing w:line="440" w:lineRule="exact"/>
        <w:ind w:firstLine="482" w:firstLineChars="200"/>
        <w:rPr>
          <w:rFonts w:ascii="仿宋" w:hAnsi="仿宋" w:eastAsia="仿宋" w:cs="仿宋"/>
          <w:b/>
          <w:bCs/>
          <w:sz w:val="24"/>
          <w:szCs w:val="24"/>
          <w:lang w:eastAsia="zh-CN"/>
        </w:rPr>
      </w:pPr>
      <w:r>
        <w:rPr>
          <w:rFonts w:hint="eastAsia" w:ascii="仿宋" w:hAnsi="仿宋" w:eastAsia="仿宋" w:cs="仿宋"/>
          <w:b/>
          <w:bCs/>
          <w:sz w:val="24"/>
          <w:szCs w:val="24"/>
          <w:lang w:eastAsia="zh-CN"/>
        </w:rPr>
        <w:t>三、相关标准及关联文件</w:t>
      </w:r>
    </w:p>
    <w:p>
      <w:pPr>
        <w:spacing w:line="440" w:lineRule="exact"/>
        <w:ind w:firstLine="482" w:firstLineChars="200"/>
        <w:rPr>
          <w:rFonts w:ascii="仿宋" w:hAnsi="仿宋" w:eastAsia="仿宋" w:cs="仿宋"/>
          <w:b/>
          <w:sz w:val="24"/>
          <w:szCs w:val="24"/>
          <w:lang w:eastAsia="zh-CN"/>
        </w:rPr>
      </w:pPr>
      <w:r>
        <w:rPr>
          <w:rFonts w:hint="eastAsia" w:ascii="仿宋" w:hAnsi="仿宋" w:eastAsia="仿宋" w:cs="仿宋"/>
          <w:b/>
          <w:sz w:val="24"/>
          <w:szCs w:val="24"/>
          <w:lang w:eastAsia="zh-CN"/>
        </w:rPr>
        <w:t>（一）引入的国家标准或行业标准</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1.《食品工业用不锈钢薄壁容器》——QBT2681；</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2.《食品工业用不锈钢管道安装及验收规范》——QB/T4848；</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3.《食品机械安全卫生》—— GB 16798；</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4.《食品工业用不锈钢管》——QB/T2467；</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5.《食品接触用金属材料及制品》——GB4806.9</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6.《现场设备、工业管道焊接工程施工规范》——GB50236</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7.《产品几何技术规范（GPS) 表面结构轮廓法表面粗糙度参数及其数值》——GBT1031</w:t>
      </w:r>
    </w:p>
    <w:p>
      <w:pPr>
        <w:spacing w:line="440" w:lineRule="exact"/>
        <w:ind w:firstLine="482" w:firstLineChars="200"/>
        <w:rPr>
          <w:rFonts w:ascii="仿宋" w:hAnsi="仿宋" w:eastAsia="仿宋" w:cs="仿宋"/>
          <w:b/>
          <w:bCs/>
          <w:sz w:val="24"/>
          <w:szCs w:val="24"/>
          <w:lang w:eastAsia="zh-CN"/>
        </w:rPr>
      </w:pPr>
      <w:r>
        <w:rPr>
          <w:rFonts w:hint="eastAsia" w:ascii="仿宋" w:hAnsi="仿宋" w:eastAsia="仿宋" w:cs="仿宋"/>
          <w:b/>
          <w:bCs/>
          <w:sz w:val="24"/>
          <w:szCs w:val="24"/>
          <w:lang w:eastAsia="zh-CN"/>
        </w:rPr>
        <w:t>四、有关术语、定义</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食品接触面：接触食品的那些表面以及经常在正常加工过程中会将污水滴溅在食品上、火溅在接触食品的那些表面上的表面。包括用具及接触面的设备表面。</w:t>
      </w:r>
    </w:p>
    <w:p>
      <w:pPr>
        <w:widowControl/>
        <w:shd w:val="clear" w:color="auto" w:fill="FFFFFF"/>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表面粗糙度：是指加工表面具有的较小间距和微小峰谷的</w:t>
      </w:r>
      <w:r>
        <w:fldChar w:fldCharType="begin"/>
      </w:r>
      <w:r>
        <w:instrText xml:space="preserve"> HYPERLINK "https://baike.baidu.com/item/%E4%B8%8D%E5%B9%B3%E5%BA%A6/711368" \t "_blank" </w:instrText>
      </w:r>
      <w:r>
        <w:fldChar w:fldCharType="separate"/>
      </w:r>
      <w:r>
        <w:rPr>
          <w:rFonts w:hint="eastAsia" w:ascii="仿宋" w:hAnsi="仿宋" w:eastAsia="仿宋" w:cs="仿宋"/>
          <w:sz w:val="24"/>
          <w:szCs w:val="24"/>
          <w:lang w:eastAsia="zh-CN"/>
        </w:rPr>
        <w:t>不平度</w:t>
      </w:r>
      <w:r>
        <w:rPr>
          <w:rFonts w:hint="eastAsia" w:ascii="仿宋" w:hAnsi="仿宋" w:eastAsia="仿宋" w:cs="仿宋"/>
          <w:sz w:val="24"/>
          <w:szCs w:val="24"/>
          <w:lang w:eastAsia="zh-CN"/>
        </w:rPr>
        <w:fldChar w:fldCharType="end"/>
      </w:r>
      <w:r>
        <w:rPr>
          <w:rFonts w:hint="eastAsia" w:ascii="仿宋" w:hAnsi="仿宋" w:eastAsia="仿宋" w:cs="仿宋"/>
          <w:sz w:val="24"/>
          <w:szCs w:val="24"/>
          <w:lang w:eastAsia="zh-CN"/>
        </w:rPr>
        <w:t>，表面粗糙度越小，则表面越光滑。</w:t>
      </w:r>
    </w:p>
    <w:p>
      <w:pPr>
        <w:widowControl/>
        <w:shd w:val="clear" w:color="auto" w:fill="FFFFFF"/>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Rɑ：表面粗糙度表示值，在取样长度内轮廓偏距绝对值的</w:t>
      </w:r>
      <w:r>
        <w:fldChar w:fldCharType="begin"/>
      </w:r>
      <w:r>
        <w:instrText xml:space="preserve"> HYPERLINK "https://baike.baidu.com/item/%E7%AE%97%E6%9C%AF%E5%B9%B3%E5%9D%87%E5%80%BC" \t "_blank" </w:instrText>
      </w:r>
      <w:r>
        <w:fldChar w:fldCharType="separate"/>
      </w:r>
      <w:r>
        <w:rPr>
          <w:rFonts w:hint="eastAsia" w:ascii="仿宋" w:hAnsi="仿宋" w:eastAsia="仿宋" w:cs="仿宋"/>
          <w:sz w:val="24"/>
          <w:szCs w:val="24"/>
          <w:lang w:eastAsia="zh-CN"/>
        </w:rPr>
        <w:t>算术平均值</w:t>
      </w:r>
      <w:r>
        <w:rPr>
          <w:rFonts w:hint="eastAsia" w:ascii="仿宋" w:hAnsi="仿宋" w:eastAsia="仿宋" w:cs="仿宋"/>
          <w:sz w:val="24"/>
          <w:szCs w:val="24"/>
          <w:lang w:eastAsia="zh-CN"/>
        </w:rPr>
        <w:fldChar w:fldCharType="end"/>
      </w:r>
      <w:r>
        <w:rPr>
          <w:rFonts w:hint="eastAsia" w:ascii="仿宋" w:hAnsi="仿宋" w:eastAsia="仿宋" w:cs="仿宋"/>
          <w:sz w:val="24"/>
          <w:szCs w:val="24"/>
          <w:lang w:eastAsia="zh-CN"/>
        </w:rPr>
        <w:t>。</w:t>
      </w:r>
    </w:p>
    <w:p>
      <w:pPr>
        <w:widowControl/>
        <w:shd w:val="clear" w:color="auto" w:fill="FFFFFF"/>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Rz：表面粗糙度表示值，轮廓峰顶线和谷底线之间的距离。</w:t>
      </w:r>
    </w:p>
    <w:p>
      <w:pPr>
        <w:widowControl/>
        <w:shd w:val="clear" w:color="auto" w:fill="FFFFFF"/>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照度：光照强度是一种物理术语，指单位面积上所接受可见光的光通量。</w:t>
      </w:r>
    </w:p>
    <w:p>
      <w:pPr>
        <w:widowControl/>
        <w:shd w:val="clear" w:color="auto" w:fill="FFFFFF"/>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机械抛光：靠切削、材料表面塑性变形去掉被抛光后的凸部而得到平滑面的抛光方法。</w:t>
      </w:r>
    </w:p>
    <w:p>
      <w:pPr>
        <w:widowControl/>
        <w:shd w:val="clear" w:color="auto" w:fill="FFFFFF"/>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电解抛光：是利用不锈钢在电解液中的选择性阳极溶解而达到抛光和清洁表面目的的一种表面处理方法</w:t>
      </w:r>
    </w:p>
    <w:p>
      <w:pPr>
        <w:spacing w:line="440" w:lineRule="exact"/>
        <w:ind w:firstLine="482" w:firstLineChars="200"/>
        <w:rPr>
          <w:rFonts w:ascii="仿宋" w:hAnsi="仿宋" w:eastAsia="仿宋" w:cs="仿宋"/>
          <w:b/>
          <w:bCs/>
          <w:sz w:val="24"/>
          <w:szCs w:val="24"/>
          <w:lang w:eastAsia="zh-CN"/>
        </w:rPr>
      </w:pPr>
      <w:r>
        <w:rPr>
          <w:rFonts w:hint="eastAsia" w:ascii="仿宋" w:hAnsi="仿宋" w:eastAsia="仿宋" w:cs="仿宋"/>
          <w:b/>
          <w:bCs/>
          <w:sz w:val="24"/>
          <w:szCs w:val="24"/>
          <w:lang w:eastAsia="zh-CN"/>
        </w:rPr>
        <w:t>五、中标方或施工方设备设施制作安装要求</w:t>
      </w:r>
    </w:p>
    <w:p>
      <w:pPr>
        <w:spacing w:line="440" w:lineRule="exact"/>
        <w:ind w:firstLine="643"/>
        <w:rPr>
          <w:rFonts w:ascii="仿宋" w:hAnsi="仿宋" w:eastAsia="仿宋" w:cs="仿宋"/>
          <w:b/>
          <w:sz w:val="24"/>
          <w:szCs w:val="24"/>
          <w:lang w:eastAsia="zh-CN"/>
        </w:rPr>
      </w:pPr>
      <w:r>
        <w:rPr>
          <w:rFonts w:hint="eastAsia" w:ascii="仿宋" w:hAnsi="仿宋" w:eastAsia="仿宋" w:cs="仿宋"/>
          <w:b/>
          <w:sz w:val="24"/>
          <w:szCs w:val="24"/>
          <w:lang w:eastAsia="zh-CN"/>
        </w:rPr>
        <w:t>（一）</w:t>
      </w:r>
      <w:r>
        <w:rPr>
          <w:rFonts w:hint="eastAsia" w:ascii="仿宋" w:hAnsi="仿宋" w:eastAsia="仿宋" w:cs="仿宋"/>
          <w:b/>
          <w:bCs/>
          <w:sz w:val="24"/>
          <w:szCs w:val="24"/>
          <w:lang w:eastAsia="zh-CN"/>
        </w:rPr>
        <w:t>设备设施</w:t>
      </w:r>
      <w:r>
        <w:rPr>
          <w:rFonts w:hint="eastAsia" w:ascii="仿宋" w:hAnsi="仿宋" w:eastAsia="仿宋" w:cs="仿宋"/>
          <w:b/>
          <w:sz w:val="24"/>
          <w:szCs w:val="24"/>
          <w:lang w:eastAsia="zh-CN"/>
        </w:rPr>
        <w:t>材料要求</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选材料的原则及要求考虑适合运转设备、温度的耐受性、消毒剂的耐受性、耐压力，符合生产工艺要求等。设备材料应选用无毒、无味、防霉、不易脱落、不分解，不能被产品或被任何清洗消毒剂所腐蚀、分解或渗透，不影响产品质量材料，材料安全符合相关法规要求。</w:t>
      </w:r>
    </w:p>
    <w:p>
      <w:pPr>
        <w:spacing w:line="440" w:lineRule="exact"/>
        <w:ind w:firstLine="482" w:firstLineChars="200"/>
        <w:rPr>
          <w:rFonts w:ascii="仿宋" w:hAnsi="仿宋" w:eastAsia="仿宋" w:cs="仿宋"/>
          <w:b/>
          <w:sz w:val="24"/>
          <w:szCs w:val="24"/>
          <w:lang w:eastAsia="zh-CN"/>
        </w:rPr>
      </w:pPr>
      <w:r>
        <w:rPr>
          <w:rFonts w:hint="eastAsia" w:ascii="仿宋" w:hAnsi="仿宋" w:eastAsia="仿宋" w:cs="仿宋"/>
          <w:b/>
          <w:bCs/>
          <w:sz w:val="24"/>
          <w:szCs w:val="24"/>
          <w:lang w:eastAsia="zh-CN"/>
        </w:rPr>
        <w:t>1.</w:t>
      </w:r>
      <w:r>
        <w:rPr>
          <w:rFonts w:hint="eastAsia" w:ascii="仿宋" w:hAnsi="仿宋" w:eastAsia="仿宋" w:cs="仿宋"/>
          <w:b/>
          <w:sz w:val="24"/>
          <w:szCs w:val="24"/>
          <w:lang w:eastAsia="zh-CN"/>
        </w:rPr>
        <w:t xml:space="preserve"> 不锈钢材料</w:t>
      </w:r>
    </w:p>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（1）材料应易于加工，无毒性，无吸收性，耐腐蚀性强，不溶于食品溶液，不产生有损于产品风味的金属离子。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1022"/>
        <w:gridCol w:w="4160"/>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金属材料选用统一数字代号</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牌号</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焊接用焊丝材料</w:t>
            </w:r>
          </w:p>
        </w:tc>
        <w:tc>
          <w:tcPr>
            <w:tcW w:w="2057" w:type="dxa"/>
            <w:vAlign w:val="center"/>
          </w:tcPr>
          <w:p>
            <w:pPr>
              <w:jc w:val="center"/>
              <w:rPr>
                <w:rFonts w:ascii="仿宋" w:hAnsi="仿宋" w:eastAsia="仿宋" w:cs="仿宋"/>
                <w:sz w:val="24"/>
                <w:szCs w:val="24"/>
              </w:rPr>
            </w:pPr>
            <w:r>
              <w:rPr>
                <w:rFonts w:hint="eastAsia" w:ascii="仿宋" w:hAnsi="仿宋" w:eastAsia="仿宋" w:cs="仿宋"/>
                <w:sz w:val="24"/>
                <w:szCs w:val="24"/>
              </w:rPr>
              <w:t>选用场所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rPr>
            </w:pPr>
            <w:r>
              <w:rPr>
                <w:rFonts w:hint="eastAsia" w:ascii="仿宋" w:hAnsi="仿宋" w:eastAsia="仿宋" w:cs="仿宋"/>
                <w:sz w:val="24"/>
                <w:szCs w:val="24"/>
              </w:rPr>
              <w:t>06C9Ni10</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S304</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H08Cr21Ni10或H03Cr21Ni10</w:t>
            </w:r>
          </w:p>
        </w:tc>
        <w:tc>
          <w:tcPr>
            <w:tcW w:w="2057"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普通与食品接触设备场所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rPr>
            </w:pPr>
            <w:r>
              <w:rPr>
                <w:rFonts w:hint="eastAsia" w:ascii="仿宋" w:hAnsi="仿宋" w:eastAsia="仿宋" w:cs="仿宋"/>
                <w:sz w:val="24"/>
                <w:szCs w:val="24"/>
              </w:rPr>
              <w:t>022C9Ni10</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S304L</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H03Cr21Ni10</w:t>
            </w:r>
          </w:p>
        </w:tc>
        <w:tc>
          <w:tcPr>
            <w:tcW w:w="2057" w:type="dxa"/>
            <w:vMerge w:val="continue"/>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rPr>
            </w:pPr>
            <w:r>
              <w:rPr>
                <w:rFonts w:hint="eastAsia" w:ascii="仿宋" w:hAnsi="仿宋" w:eastAsia="仿宋" w:cs="仿宋"/>
                <w:sz w:val="24"/>
                <w:szCs w:val="24"/>
              </w:rPr>
              <w:t>06C7Ni12Mo2</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S316</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H06C9Ni12Mo2或H03C9Ni12Mo2</w:t>
            </w:r>
          </w:p>
        </w:tc>
        <w:tc>
          <w:tcPr>
            <w:tcW w:w="2057" w:type="dxa"/>
            <w:vMerge w:val="continue"/>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rPr>
            </w:pPr>
            <w:r>
              <w:rPr>
                <w:rFonts w:hint="eastAsia" w:ascii="仿宋" w:hAnsi="仿宋" w:eastAsia="仿宋" w:cs="仿宋"/>
                <w:sz w:val="24"/>
                <w:szCs w:val="24"/>
              </w:rPr>
              <w:t>022C7Ni12Mo2</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S316L</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H03C9Ni12Mo2</w:t>
            </w:r>
          </w:p>
        </w:tc>
        <w:tc>
          <w:tcPr>
            <w:tcW w:w="2057" w:type="dxa"/>
            <w:vMerge w:val="continue"/>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rPr>
            </w:pPr>
            <w:r>
              <w:rPr>
                <w:rFonts w:hint="eastAsia" w:ascii="仿宋" w:hAnsi="仿宋" w:eastAsia="仿宋" w:cs="仿宋"/>
                <w:sz w:val="24"/>
                <w:szCs w:val="24"/>
              </w:rPr>
              <w:t>06C9Ni13Mo3</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S317</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H03C9Ni14Mo3或H08C9Ni14Mo3</w:t>
            </w:r>
          </w:p>
        </w:tc>
        <w:tc>
          <w:tcPr>
            <w:tcW w:w="2057"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用于以上及耐腐蚀性场所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rPr>
            </w:pPr>
            <w:r>
              <w:rPr>
                <w:rFonts w:hint="eastAsia" w:ascii="仿宋" w:hAnsi="仿宋" w:eastAsia="仿宋" w:cs="仿宋"/>
                <w:sz w:val="24"/>
                <w:szCs w:val="24"/>
              </w:rPr>
              <w:t>022C9Ni13Mo3</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S317L</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H08C9Ni14Mo3</w:t>
            </w:r>
          </w:p>
        </w:tc>
        <w:tc>
          <w:tcPr>
            <w:tcW w:w="2057" w:type="dxa"/>
            <w:vMerge w:val="continue"/>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rPr>
            </w:pPr>
            <w:r>
              <w:rPr>
                <w:rFonts w:hint="eastAsia" w:ascii="仿宋" w:hAnsi="仿宋" w:eastAsia="仿宋" w:cs="仿宋"/>
                <w:sz w:val="24"/>
                <w:szCs w:val="24"/>
              </w:rPr>
              <w:t>022Cr23Ni5Mo3N</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S2205</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H03Cr22Ni8Mo3N</w:t>
            </w:r>
          </w:p>
        </w:tc>
        <w:tc>
          <w:tcPr>
            <w:tcW w:w="2057" w:type="dxa"/>
            <w:vAlign w:val="center"/>
          </w:tcPr>
          <w:p>
            <w:pPr>
              <w:jc w:val="center"/>
              <w:rPr>
                <w:rFonts w:ascii="仿宋" w:hAnsi="仿宋" w:eastAsia="仿宋" w:cs="仿宋"/>
                <w:sz w:val="24"/>
                <w:szCs w:val="24"/>
              </w:rPr>
            </w:pPr>
            <w:r>
              <w:rPr>
                <w:rFonts w:hint="eastAsia" w:ascii="仿宋" w:hAnsi="仿宋" w:eastAsia="仿宋" w:cs="仿宋"/>
                <w:sz w:val="24"/>
                <w:szCs w:val="24"/>
              </w:rPr>
              <w:t>腐蚀性较强场所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vAlign w:val="center"/>
          </w:tcPr>
          <w:p>
            <w:pPr>
              <w:jc w:val="center"/>
              <w:rPr>
                <w:rFonts w:ascii="仿宋" w:hAnsi="仿宋" w:eastAsia="仿宋" w:cs="仿宋"/>
                <w:sz w:val="24"/>
                <w:szCs w:val="24"/>
              </w:rPr>
            </w:pPr>
            <w:r>
              <w:rPr>
                <w:rFonts w:hint="eastAsia" w:ascii="仿宋" w:hAnsi="仿宋" w:eastAsia="仿宋" w:cs="仿宋"/>
                <w:sz w:val="24"/>
                <w:szCs w:val="24"/>
              </w:rPr>
              <w:t>1C3、2C3和3C3</w:t>
            </w:r>
          </w:p>
        </w:tc>
        <w:tc>
          <w:tcPr>
            <w:tcW w:w="1030" w:type="dxa"/>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4253" w:type="dxa"/>
            <w:vAlign w:val="center"/>
          </w:tcPr>
          <w:p>
            <w:pPr>
              <w:jc w:val="center"/>
              <w:rPr>
                <w:rFonts w:ascii="仿宋" w:hAnsi="仿宋" w:eastAsia="仿宋" w:cs="仿宋"/>
                <w:sz w:val="24"/>
                <w:szCs w:val="24"/>
              </w:rPr>
            </w:pPr>
            <w:r>
              <w:rPr>
                <w:rFonts w:hint="eastAsia" w:ascii="仿宋" w:hAnsi="仿宋" w:eastAsia="仿宋" w:cs="仿宋"/>
                <w:sz w:val="24"/>
                <w:szCs w:val="24"/>
              </w:rPr>
              <w:t>H1C3或H03Cr24Ni13Si</w:t>
            </w:r>
          </w:p>
        </w:tc>
        <w:tc>
          <w:tcPr>
            <w:tcW w:w="2057"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用于产品接触表面的特殊零部件</w:t>
            </w:r>
          </w:p>
        </w:tc>
      </w:tr>
    </w:tbl>
    <w:p>
      <w:pPr>
        <w:spacing w:line="44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（2）金属表面粗糙度应符合《产品几何技术规范（GPS) 表面结构轮廓法表面粗糙度参数及其数值》GB/T1031的规定，与食品接触的金属表面粗糙度Rɑ值不应大于3.2</w:t>
      </w:r>
      <w:r>
        <w:rPr>
          <w:rFonts w:hint="eastAsia" w:ascii="仿宋" w:hAnsi="仿宋" w:eastAsia="仿宋" w:cs="仿宋"/>
          <w:sz w:val="24"/>
          <w:szCs w:val="24"/>
        </w:rPr>
        <w:t>μ</w:t>
      </w:r>
      <w:r>
        <w:rPr>
          <w:rFonts w:hint="eastAsia" w:ascii="仿宋" w:hAnsi="仿宋" w:eastAsia="仿宋" w:cs="仿宋"/>
          <w:sz w:val="24"/>
          <w:szCs w:val="24"/>
          <w:lang w:eastAsia="zh-CN"/>
        </w:rPr>
        <w:t>m，焊缝表面Rz值不应大于12.5</w:t>
      </w:r>
      <w:r>
        <w:rPr>
          <w:rFonts w:hint="eastAsia" w:ascii="仿宋" w:hAnsi="仿宋" w:eastAsia="仿宋" w:cs="仿宋"/>
          <w:sz w:val="24"/>
          <w:szCs w:val="24"/>
        </w:rPr>
        <w:t>μ</w:t>
      </w:r>
      <w:r>
        <w:rPr>
          <w:rFonts w:hint="eastAsia" w:ascii="仿宋" w:hAnsi="仿宋" w:eastAsia="仿宋" w:cs="仿宋"/>
          <w:sz w:val="24"/>
          <w:szCs w:val="24"/>
          <w:lang w:eastAsia="zh-CN"/>
        </w:rPr>
        <w:t>m，各场所使用的金属表面粗糙度要求如下：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8"/>
        <w:gridCol w:w="3248"/>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vAlign w:val="center"/>
          </w:tcPr>
          <w:p>
            <w:pPr>
              <w:jc w:val="center"/>
              <w:rPr>
                <w:rFonts w:ascii="仿宋" w:hAnsi="仿宋" w:eastAsia="仿宋" w:cs="仿宋"/>
                <w:sz w:val="24"/>
                <w:szCs w:val="24"/>
              </w:rPr>
            </w:pPr>
            <w:r>
              <w:rPr>
                <w:rFonts w:hint="eastAsia" w:ascii="仿宋" w:hAnsi="仿宋" w:eastAsia="仿宋" w:cs="仿宋"/>
                <w:sz w:val="24"/>
                <w:szCs w:val="24"/>
              </w:rPr>
              <w:t>场所</w:t>
            </w:r>
          </w:p>
        </w:tc>
        <w:tc>
          <w:tcPr>
            <w:tcW w:w="3248"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使用的不锈钢材料表面粗糙度要求</w:t>
            </w:r>
          </w:p>
        </w:tc>
        <w:tc>
          <w:tcPr>
            <w:tcW w:w="3478" w:type="dxa"/>
          </w:tcPr>
          <w:p>
            <w:pPr>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制炼车间煮糖工序</w:t>
            </w:r>
          </w:p>
        </w:tc>
        <w:tc>
          <w:tcPr>
            <w:tcW w:w="3248" w:type="dxa"/>
            <w:vAlign w:val="center"/>
          </w:tcPr>
          <w:p>
            <w:pPr>
              <w:jc w:val="center"/>
              <w:rPr>
                <w:rFonts w:ascii="仿宋" w:hAnsi="仿宋" w:eastAsia="仿宋" w:cs="仿宋"/>
                <w:sz w:val="24"/>
                <w:szCs w:val="24"/>
              </w:rPr>
            </w:pPr>
            <w:r>
              <w:rPr>
                <w:rFonts w:hint="eastAsia" w:ascii="仿宋" w:hAnsi="仿宋" w:eastAsia="仿宋" w:cs="仿宋"/>
                <w:sz w:val="24"/>
                <w:szCs w:val="24"/>
              </w:rPr>
              <w:t>Rɑ≤</w:t>
            </w:r>
            <w:r>
              <w:rPr>
                <w:rFonts w:ascii="仿宋" w:hAnsi="仿宋" w:eastAsia="仿宋" w:cs="仿宋"/>
                <w:sz w:val="24"/>
                <w:szCs w:val="24"/>
              </w:rPr>
              <w:t>0.8</w:t>
            </w:r>
            <w:r>
              <w:rPr>
                <w:rFonts w:hint="eastAsia" w:ascii="仿宋" w:hAnsi="仿宋" w:eastAsia="仿宋" w:cs="仿宋"/>
                <w:sz w:val="24"/>
                <w:szCs w:val="24"/>
              </w:rPr>
              <w:t>μm</w:t>
            </w:r>
          </w:p>
        </w:tc>
        <w:tc>
          <w:tcPr>
            <w:tcW w:w="3478" w:type="dxa"/>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制炼车间分蜜工序</w:t>
            </w:r>
          </w:p>
        </w:tc>
        <w:tc>
          <w:tcPr>
            <w:tcW w:w="3248" w:type="dxa"/>
          </w:tcPr>
          <w:p>
            <w:pPr>
              <w:jc w:val="center"/>
              <w:rPr>
                <w:rFonts w:ascii="仿宋" w:hAnsi="仿宋" w:eastAsia="仿宋" w:cs="仿宋"/>
                <w:sz w:val="24"/>
                <w:szCs w:val="24"/>
              </w:rPr>
            </w:pPr>
            <w:r>
              <w:rPr>
                <w:rFonts w:hint="eastAsia" w:ascii="仿宋" w:hAnsi="仿宋" w:eastAsia="仿宋" w:cs="仿宋"/>
                <w:sz w:val="24"/>
                <w:szCs w:val="24"/>
              </w:rPr>
              <w:t>Rɑ≤0.8μm</w:t>
            </w:r>
          </w:p>
        </w:tc>
        <w:tc>
          <w:tcPr>
            <w:tcW w:w="3478" w:type="dxa"/>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制炼车间装包工序</w:t>
            </w:r>
          </w:p>
        </w:tc>
        <w:tc>
          <w:tcPr>
            <w:tcW w:w="3248" w:type="dxa"/>
          </w:tcPr>
          <w:p>
            <w:pPr>
              <w:jc w:val="center"/>
              <w:rPr>
                <w:rFonts w:ascii="仿宋" w:hAnsi="仿宋" w:eastAsia="仿宋" w:cs="仿宋"/>
                <w:sz w:val="24"/>
                <w:szCs w:val="24"/>
              </w:rPr>
            </w:pPr>
            <w:r>
              <w:rPr>
                <w:rFonts w:hint="eastAsia" w:ascii="仿宋" w:hAnsi="仿宋" w:eastAsia="仿宋" w:cs="仿宋"/>
                <w:sz w:val="24"/>
                <w:szCs w:val="24"/>
              </w:rPr>
              <w:t>Rɑ≤0.8μm</w:t>
            </w:r>
          </w:p>
        </w:tc>
        <w:tc>
          <w:tcPr>
            <w:tcW w:w="3478" w:type="dxa"/>
          </w:tcPr>
          <w:p>
            <w:pPr>
              <w:jc w:val="center"/>
              <w:rPr>
                <w:rFonts w:ascii="仿宋" w:hAnsi="仿宋" w:eastAsia="仿宋" w:cs="仿宋"/>
                <w:sz w:val="24"/>
                <w:szCs w:val="24"/>
              </w:rPr>
            </w:pPr>
          </w:p>
        </w:tc>
      </w:tr>
    </w:tbl>
    <w:p>
      <w:pPr>
        <w:spacing w:line="46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2.塑料</w:t>
      </w:r>
    </w:p>
    <w:p>
      <w:pPr>
        <w:spacing w:line="46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用于产品接触表面的塑料应无毒、无析出物、无影响产品的气味，耐磨，在清洗、消毒及工作条件下应能保持其固有形态、形状、色泽、透明度、韧性、弹性、尺寸等特性，具体特征如下：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253"/>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16" w:type="dxa"/>
            <w:vAlign w:val="center"/>
          </w:tcPr>
          <w:p>
            <w:pPr>
              <w:jc w:val="center"/>
              <w:rPr>
                <w:rFonts w:ascii="仿宋" w:hAnsi="仿宋" w:eastAsia="仿宋" w:cs="仿宋"/>
                <w:sz w:val="24"/>
                <w:szCs w:val="24"/>
              </w:rPr>
            </w:pPr>
            <w:r>
              <w:rPr>
                <w:rFonts w:hint="eastAsia" w:ascii="仿宋" w:hAnsi="仿宋" w:eastAsia="仿宋" w:cs="仿宋"/>
                <w:sz w:val="24"/>
                <w:szCs w:val="24"/>
              </w:rPr>
              <w:t>材料名称</w:t>
            </w:r>
          </w:p>
        </w:tc>
        <w:tc>
          <w:tcPr>
            <w:tcW w:w="3253" w:type="dxa"/>
            <w:vAlign w:val="center"/>
          </w:tcPr>
          <w:p>
            <w:pPr>
              <w:jc w:val="center"/>
              <w:rPr>
                <w:rFonts w:ascii="仿宋" w:hAnsi="仿宋" w:eastAsia="仿宋" w:cs="仿宋"/>
                <w:sz w:val="24"/>
                <w:szCs w:val="24"/>
              </w:rPr>
            </w:pPr>
            <w:r>
              <w:rPr>
                <w:rFonts w:hint="eastAsia" w:ascii="仿宋" w:hAnsi="仿宋" w:eastAsia="仿宋" w:cs="仿宋"/>
                <w:sz w:val="24"/>
                <w:szCs w:val="24"/>
              </w:rPr>
              <w:t>性能</w:t>
            </w:r>
          </w:p>
        </w:tc>
        <w:tc>
          <w:tcPr>
            <w:tcW w:w="3475" w:type="dxa"/>
          </w:tcPr>
          <w:p>
            <w:pPr>
              <w:jc w:val="center"/>
              <w:rPr>
                <w:rFonts w:ascii="仿宋" w:hAnsi="仿宋" w:eastAsia="仿宋" w:cs="仿宋"/>
                <w:sz w:val="24"/>
                <w:szCs w:val="24"/>
              </w:rPr>
            </w:pPr>
            <w:r>
              <w:rPr>
                <w:rFonts w:hint="eastAsia" w:ascii="仿宋" w:hAnsi="仿宋" w:eastAsia="仿宋" w:cs="仿宋"/>
                <w:sz w:val="24"/>
                <w:szCs w:val="24"/>
              </w:rPr>
              <w:t>该材料一般用途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PET（聚对苯二甲酸乙二醇酯</w:t>
            </w:r>
          </w:p>
        </w:tc>
        <w:tc>
          <w:tcPr>
            <w:tcW w:w="3253" w:type="dxa"/>
            <w:vAlign w:val="center"/>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温度≤70℃</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矿泉水瓶、碳酸饮料瓶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HDPE（高密度聚乙烯）</w:t>
            </w:r>
          </w:p>
        </w:tc>
        <w:tc>
          <w:tcPr>
            <w:tcW w:w="3253" w:type="dxa"/>
            <w:vAlign w:val="center"/>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温度≤110℃</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LDPE（低密度聚乙烯）</w:t>
            </w:r>
          </w:p>
        </w:tc>
        <w:tc>
          <w:tcPr>
            <w:tcW w:w="3253"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温度≤70℃</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PP（聚丙烯）</w:t>
            </w:r>
          </w:p>
        </w:tc>
        <w:tc>
          <w:tcPr>
            <w:tcW w:w="3253"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温度≤130℃，透明度差</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压滤机滤板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ABS（丙烯氰-丁乙烯）</w:t>
            </w:r>
          </w:p>
        </w:tc>
        <w:tc>
          <w:tcPr>
            <w:tcW w:w="3253"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温度≤90℃</w:t>
            </w:r>
          </w:p>
        </w:tc>
        <w:tc>
          <w:tcPr>
            <w:tcW w:w="3475"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PTFE（聚四氟乙烯）</w:t>
            </w:r>
          </w:p>
        </w:tc>
        <w:tc>
          <w:tcPr>
            <w:tcW w:w="3253"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温度≤260℃</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盘根、</w:t>
            </w:r>
            <w:r>
              <w:rPr>
                <w:rFonts w:ascii="仿宋" w:hAnsi="仿宋" w:eastAsia="仿宋" w:cs="仿宋"/>
                <w:sz w:val="24"/>
                <w:szCs w:val="24"/>
                <w:shd w:val="clear" w:color="auto" w:fill="FFFFFF"/>
                <w:lang w:eastAsia="zh-CN"/>
              </w:rPr>
              <w:t>阀拍、垫片、管式金检机衬套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rPr>
            </w:pPr>
            <w:r>
              <w:rPr>
                <w:rFonts w:ascii="仿宋" w:hAnsi="仿宋" w:eastAsia="仿宋" w:cs="仿宋"/>
                <w:sz w:val="24"/>
                <w:szCs w:val="24"/>
                <w:shd w:val="clear" w:color="auto" w:fill="FFFFFF"/>
              </w:rPr>
              <w:t>PU（聚氨酯）</w:t>
            </w:r>
          </w:p>
        </w:tc>
        <w:tc>
          <w:tcPr>
            <w:tcW w:w="3253"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120°</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分类筛清洁球、软接；装包抽风管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rPr>
            </w:pPr>
            <w:r>
              <w:rPr>
                <w:rFonts w:ascii="仿宋" w:hAnsi="仿宋" w:eastAsia="仿宋" w:cs="仿宋"/>
                <w:sz w:val="24"/>
                <w:szCs w:val="24"/>
                <w:shd w:val="clear" w:color="auto" w:fill="FFFFFF"/>
              </w:rPr>
              <w:t>EPDM(三元乙丙橡胶)</w:t>
            </w:r>
          </w:p>
        </w:tc>
        <w:tc>
          <w:tcPr>
            <w:tcW w:w="3253"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120°</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换热器胶条、垫片、阀门阀座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硅胶（硅橡胶）</w:t>
            </w:r>
          </w:p>
        </w:tc>
        <w:tc>
          <w:tcPr>
            <w:tcW w:w="3253" w:type="dxa"/>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200°C</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分类筛清洁球、垫片、过滤器密封圈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尼龙（聚酰胺）</w:t>
            </w:r>
            <w:r>
              <w:rPr>
                <w:rFonts w:ascii="仿宋" w:hAnsi="仿宋" w:eastAsia="仿宋" w:cs="仿宋"/>
                <w:sz w:val="24"/>
                <w:szCs w:val="24"/>
                <w:shd w:val="clear" w:color="auto" w:fill="FFFFFF"/>
                <w:lang w:eastAsia="zh-CN"/>
              </w:rPr>
              <w:t>/MC尼龙</w:t>
            </w:r>
          </w:p>
        </w:tc>
        <w:tc>
          <w:tcPr>
            <w:tcW w:w="3253"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温度≤</w:t>
            </w:r>
            <w:r>
              <w:rPr>
                <w:rFonts w:ascii="仿宋" w:hAnsi="仿宋" w:eastAsia="仿宋" w:cs="仿宋"/>
                <w:sz w:val="24"/>
                <w:szCs w:val="24"/>
                <w:shd w:val="clear" w:color="auto" w:fill="FFFFFF"/>
                <w:lang w:eastAsia="zh-CN"/>
              </w:rPr>
              <w:t>200°C</w:t>
            </w:r>
          </w:p>
        </w:tc>
        <w:tc>
          <w:tcPr>
            <w:tcW w:w="3475"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结晶罐轴瓦、物料箱搅拌轴瓦</w:t>
            </w:r>
          </w:p>
        </w:tc>
      </w:tr>
    </w:tbl>
    <w:p>
      <w:pPr>
        <w:pStyle w:val="2"/>
      </w:pPr>
    </w:p>
    <w:p>
      <w:pPr>
        <w:spacing w:line="46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3.润滑油</w:t>
      </w:r>
    </w:p>
    <w:p>
      <w:pPr>
        <w:spacing w:line="46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食品级润滑油主要由基础油、添加剂调配而成，基础油和添加剂都是无毒无害的，偶尔和食品接触到也不会污染食品，仍然可以确保食品的卫生安全。由于食品级润滑油是专门针对食品机械的工作环境，如高/低温、高湿度等设计配方的，一般要求非常好的抗氧化、耐高低温和抗乳化性能。</w:t>
      </w:r>
    </w:p>
    <w:tbl>
      <w:tblPr>
        <w:tblStyle w:val="31"/>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6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jc w:val="center"/>
              <w:rPr>
                <w:rFonts w:ascii="仿宋" w:hAnsi="仿宋" w:eastAsia="仿宋" w:cs="仿宋"/>
                <w:sz w:val="24"/>
                <w:szCs w:val="24"/>
              </w:rPr>
            </w:pPr>
            <w:r>
              <w:rPr>
                <w:rFonts w:hint="eastAsia" w:ascii="仿宋" w:hAnsi="仿宋" w:eastAsia="仿宋" w:cs="仿宋"/>
                <w:sz w:val="24"/>
                <w:szCs w:val="24"/>
              </w:rPr>
              <w:t>润滑油型号</w:t>
            </w:r>
          </w:p>
        </w:tc>
        <w:tc>
          <w:tcPr>
            <w:tcW w:w="6760" w:type="dxa"/>
            <w:vAlign w:val="center"/>
          </w:tcPr>
          <w:p>
            <w:pPr>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食品级润滑油液态</w:t>
            </w:r>
            <w:r>
              <w:rPr>
                <w:rFonts w:ascii="仿宋" w:hAnsi="仿宋" w:eastAsia="仿宋" w:cs="仿宋"/>
                <w:sz w:val="24"/>
                <w:szCs w:val="24"/>
                <w:shd w:val="clear" w:color="auto" w:fill="FFFFFF"/>
              </w:rPr>
              <w:t>NEVASTANE AW46</w:t>
            </w:r>
          </w:p>
        </w:tc>
        <w:tc>
          <w:tcPr>
            <w:tcW w:w="6760" w:type="dxa"/>
            <w:vAlign w:val="center"/>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是一种食品级复合液压润滑油，它通过了</w:t>
            </w:r>
            <w:r>
              <w:rPr>
                <w:rFonts w:ascii="仿宋" w:hAnsi="仿宋" w:eastAsia="仿宋" w:cs="仿宋"/>
                <w:sz w:val="24"/>
                <w:szCs w:val="24"/>
                <w:shd w:val="clear" w:color="auto" w:fill="FFFFFF"/>
                <w:lang w:eastAsia="zh-CN"/>
              </w:rPr>
              <w:t>NSF/H1与食品接触的认证，可用于食品加工厂的设备润滑。公司内多数用于</w:t>
            </w:r>
            <w:r>
              <w:rPr>
                <w:rFonts w:hint="eastAsia" w:ascii="仿宋" w:hAnsi="仿宋" w:eastAsia="仿宋" w:cs="仿宋"/>
                <w:sz w:val="24"/>
                <w:szCs w:val="24"/>
                <w:shd w:val="clear" w:color="auto" w:fill="FFFFFF"/>
                <w:lang w:eastAsia="zh-CN"/>
              </w:rPr>
              <w:t>煮糖分蜜</w:t>
            </w:r>
            <w:r>
              <w:rPr>
                <w:rFonts w:ascii="仿宋" w:hAnsi="仿宋" w:eastAsia="仿宋" w:cs="仿宋"/>
                <w:sz w:val="24"/>
                <w:szCs w:val="24"/>
                <w:shd w:val="clear" w:color="auto" w:fill="FFFFFF"/>
                <w:lang w:eastAsia="zh-CN"/>
              </w:rPr>
              <w:t>、装包设备</w:t>
            </w:r>
            <w:r>
              <w:rPr>
                <w:rFonts w:hint="eastAsia" w:ascii="仿宋" w:hAnsi="仿宋" w:eastAsia="仿宋" w:cs="仿宋"/>
                <w:sz w:val="24"/>
                <w:szCs w:val="24"/>
                <w:shd w:val="clear" w:color="auto" w:fill="FFFFFF"/>
                <w:lang w:eastAsia="zh-CN"/>
              </w:rPr>
              <w:t>轴承、齿轮、减速机等转动部位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食品级润滑脂固态</w:t>
            </w:r>
            <w:r>
              <w:rPr>
                <w:rFonts w:ascii="仿宋" w:hAnsi="仿宋" w:eastAsia="仿宋" w:cs="仿宋"/>
                <w:sz w:val="24"/>
                <w:szCs w:val="24"/>
                <w:shd w:val="clear" w:color="auto" w:fill="FFFFFF"/>
              </w:rPr>
              <w:t>NEVASTANE XMF 2</w:t>
            </w:r>
          </w:p>
        </w:tc>
        <w:tc>
          <w:tcPr>
            <w:tcW w:w="6760" w:type="dxa"/>
            <w:vAlign w:val="center"/>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是一种食品级复合铝基润滑脂，它通过了</w:t>
            </w:r>
            <w:r>
              <w:rPr>
                <w:rFonts w:ascii="仿宋" w:hAnsi="仿宋" w:eastAsia="仿宋" w:cs="仿宋"/>
                <w:sz w:val="24"/>
                <w:szCs w:val="24"/>
                <w:shd w:val="clear" w:color="auto" w:fill="FFFFFF"/>
                <w:lang w:eastAsia="zh-CN"/>
              </w:rPr>
              <w:t>NSF/H1与食品接触的认证，可用于食品加工厂的设备润滑。公司内多数用于</w:t>
            </w:r>
            <w:r>
              <w:rPr>
                <w:rFonts w:hint="eastAsia" w:ascii="仿宋" w:hAnsi="仿宋" w:eastAsia="仿宋" w:cs="仿宋"/>
                <w:sz w:val="24"/>
                <w:szCs w:val="24"/>
                <w:shd w:val="clear" w:color="auto" w:fill="FFFFFF"/>
                <w:lang w:eastAsia="zh-CN"/>
              </w:rPr>
              <w:t>煮糖分蜜、装包设备</w:t>
            </w:r>
            <w:r>
              <w:rPr>
                <w:rFonts w:ascii="仿宋" w:hAnsi="仿宋" w:eastAsia="仿宋" w:cs="仿宋"/>
                <w:sz w:val="24"/>
                <w:szCs w:val="24"/>
                <w:shd w:val="clear" w:color="auto" w:fill="FFFFFF"/>
                <w:lang w:eastAsia="zh-CN"/>
              </w:rPr>
              <w:t>等转动部位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食品级空压机食品级空压机</w:t>
            </w:r>
            <w:r>
              <w:rPr>
                <w:rFonts w:ascii="仿宋" w:hAnsi="仿宋" w:eastAsia="仿宋" w:cs="仿宋"/>
                <w:sz w:val="24"/>
                <w:szCs w:val="24"/>
                <w:shd w:val="clear" w:color="auto" w:fill="FFFFFF"/>
                <w:lang w:eastAsia="zh-CN"/>
              </w:rPr>
              <w:t>UH311-46#</w:t>
            </w:r>
          </w:p>
        </w:tc>
        <w:tc>
          <w:tcPr>
            <w:tcW w:w="6760" w:type="dxa"/>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是一种食品级复合空压机油，它通过了</w:t>
            </w:r>
            <w:r>
              <w:rPr>
                <w:rFonts w:ascii="仿宋" w:hAnsi="仿宋" w:eastAsia="仿宋" w:cs="仿宋"/>
                <w:sz w:val="24"/>
                <w:szCs w:val="24"/>
                <w:shd w:val="clear" w:color="auto" w:fill="FFFFFF"/>
                <w:lang w:eastAsia="zh-CN"/>
              </w:rPr>
              <w:t>NSF/ H2与食品间接接触的认证，可用于食品加工厂的空压机润滑。公司内用于原糖车间空压机系统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其它</w:t>
            </w:r>
          </w:p>
        </w:tc>
        <w:tc>
          <w:tcPr>
            <w:tcW w:w="6760" w:type="dxa"/>
            <w:vAlign w:val="center"/>
          </w:tcPr>
          <w:p>
            <w:pPr>
              <w:jc w:val="center"/>
              <w:rPr>
                <w:rFonts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未列入的规格，应符合</w:t>
            </w:r>
            <w:r>
              <w:rPr>
                <w:rFonts w:ascii="仿宋" w:hAnsi="仿宋" w:eastAsia="仿宋" w:cs="仿宋"/>
                <w:sz w:val="24"/>
                <w:szCs w:val="24"/>
                <w:shd w:val="clear" w:color="auto" w:fill="FFFFFF"/>
                <w:lang w:eastAsia="zh-CN"/>
              </w:rPr>
              <w:t>GB 4853-94(食品级白油)、GB 12494-90(食品机械专用白油)、GB 15179-94(食品机械润滑脂)、GB 23820(偶然与产品接触的润滑剂卫生要求)标准</w:t>
            </w:r>
          </w:p>
        </w:tc>
      </w:tr>
    </w:tbl>
    <w:p>
      <w:pPr>
        <w:spacing w:line="560" w:lineRule="exact"/>
        <w:ind w:firstLine="480" w:firstLineChars="200"/>
        <w:rPr>
          <w:rFonts w:ascii="仿宋" w:hAnsi="仿宋" w:eastAsia="仿宋" w:cs="仿宋"/>
          <w:sz w:val="24"/>
          <w:szCs w:val="24"/>
          <w:lang w:eastAsia="zh-CN"/>
        </w:rPr>
      </w:pPr>
    </w:p>
    <w:p>
      <w:pPr>
        <w:ind w:firstLine="482" w:firstLineChars="200"/>
        <w:rPr>
          <w:rFonts w:ascii="仿宋" w:hAnsi="仿宋" w:eastAsia="仿宋" w:cs="仿宋"/>
          <w:b/>
          <w:bCs/>
          <w:sz w:val="24"/>
          <w:szCs w:val="24"/>
          <w:lang w:eastAsia="zh-CN"/>
        </w:rPr>
      </w:pPr>
      <w:r>
        <w:rPr>
          <w:rFonts w:hint="eastAsia" w:ascii="仿宋" w:hAnsi="仿宋" w:eastAsia="仿宋" w:cs="仿宋"/>
          <w:b/>
          <w:bCs/>
          <w:sz w:val="24"/>
          <w:szCs w:val="24"/>
          <w:lang w:eastAsia="zh-CN"/>
        </w:rPr>
        <w:t>（二）设备设施使用要求（包括运输、搬运、存储、加工制造、切割下料、打磨、清洁、连接等）</w:t>
      </w:r>
    </w:p>
    <w:tbl>
      <w:tblPr>
        <w:tblStyle w:val="31"/>
        <w:tblW w:w="10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9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136" w:type="dxa"/>
            <w:gridSpan w:val="2"/>
            <w:vAlign w:val="center"/>
          </w:tcPr>
          <w:p>
            <w:pPr>
              <w:jc w:val="center"/>
              <w:rPr>
                <w:rFonts w:ascii="仿宋" w:hAnsi="仿宋" w:eastAsia="仿宋" w:cs="仿宋"/>
                <w:b/>
                <w:bCs/>
                <w:sz w:val="24"/>
                <w:szCs w:val="24"/>
              </w:rPr>
            </w:pPr>
            <w:r>
              <w:rPr>
                <w:rFonts w:hint="eastAsia" w:ascii="仿宋" w:hAnsi="仿宋" w:eastAsia="仿宋" w:cs="仿宋"/>
                <w:b/>
                <w:bCs/>
                <w:sz w:val="24"/>
                <w:szCs w:val="24"/>
              </w:rPr>
              <w:t>项目1：运输要求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要求</w:t>
            </w:r>
          </w:p>
        </w:tc>
        <w:tc>
          <w:tcPr>
            <w:tcW w:w="9035" w:type="dxa"/>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1.车厢干净整洁，无积水、粉尘、异味。</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2.装卸车轻装轻放，严禁暴力装放。</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3.材料需密封，管道组成件使用应在管口处设置封盖密闭，防止灰尘和杂物混入，且在运输和储存期间不应与碳素钢、低合金钢直接接触，并做好防护，表面贴膜或用塑料薄膜全包裹，圆形口可采取管帽密封，塑料或钢制材料铺垫，禁止使用木质材料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图例</w:t>
            </w:r>
          </w:p>
        </w:tc>
        <w:tc>
          <w:tcPr>
            <w:tcW w:w="9035" w:type="dxa"/>
            <w:vAlign w:val="center"/>
          </w:tcPr>
          <w:p>
            <w:pPr>
              <w:ind w:firstLine="360" w:firstLineChars="150"/>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079500" cy="1439545"/>
                  <wp:effectExtent l="0" t="0" r="635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1079500" cy="143954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731645" cy="1439545"/>
                  <wp:effectExtent l="0" t="0" r="1905" b="8255"/>
                  <wp:docPr id="2" name="图片 2" descr="说明: C:\Users\yang\AppData\Local\Temp\企业微信截图_16558105292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Users\yang\AppData\Local\Temp\企业微信截图_16558105292277.png"/>
                          <pic:cNvPicPr>
                            <a:picLocks noChangeAspect="1"/>
                          </pic:cNvPicPr>
                        </pic:nvPicPr>
                        <pic:blipFill>
                          <a:blip r:embed="rId9"/>
                          <a:stretch>
                            <a:fillRect/>
                          </a:stretch>
                        </pic:blipFill>
                        <pic:spPr>
                          <a:xfrm>
                            <a:off x="0" y="0"/>
                            <a:ext cx="1731645"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136" w:type="dxa"/>
            <w:gridSpan w:val="2"/>
            <w:vAlign w:val="center"/>
          </w:tcPr>
          <w:p>
            <w:pPr>
              <w:jc w:val="center"/>
              <w:rPr>
                <w:rFonts w:ascii="仿宋" w:hAnsi="仿宋" w:eastAsia="仿宋" w:cs="仿宋"/>
                <w:bCs/>
                <w:sz w:val="24"/>
                <w:szCs w:val="24"/>
              </w:rPr>
            </w:pPr>
            <w:r>
              <w:rPr>
                <w:rFonts w:hint="eastAsia" w:ascii="仿宋" w:hAnsi="仿宋" w:eastAsia="仿宋" w:cs="仿宋"/>
                <w:b/>
                <w:bCs/>
                <w:sz w:val="24"/>
                <w:szCs w:val="24"/>
              </w:rPr>
              <w:t>项目2：搬运要求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要求</w:t>
            </w:r>
          </w:p>
        </w:tc>
        <w:tc>
          <w:tcPr>
            <w:tcW w:w="9035" w:type="dxa"/>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1.材料搬运时轻装轻放，严禁暴力装放。</w:t>
            </w:r>
          </w:p>
          <w:p>
            <w:pPr>
              <w:spacing w:line="400" w:lineRule="exact"/>
              <w:rPr>
                <w:rFonts w:ascii="仿宋" w:hAnsi="仿宋" w:eastAsia="仿宋" w:cs="仿宋"/>
                <w:sz w:val="24"/>
                <w:szCs w:val="24"/>
                <w:lang w:eastAsia="zh-CN"/>
              </w:rPr>
            </w:pPr>
            <w:r>
              <w:rPr>
                <w:rFonts w:hint="eastAsia" w:ascii="仿宋" w:hAnsi="仿宋" w:eastAsia="仿宋" w:cs="仿宋"/>
                <w:bCs/>
                <w:sz w:val="24"/>
                <w:szCs w:val="24"/>
                <w:lang w:eastAsia="zh-CN"/>
              </w:rPr>
              <w:t>2.吊装时，钢丝绳、卡扣等不应与管道直接接触，应采用对管道无害的橡胶或者棉质等软材料进行隔离。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图例</w:t>
            </w:r>
          </w:p>
        </w:tc>
        <w:tc>
          <w:tcPr>
            <w:tcW w:w="9035" w:type="dxa"/>
            <w:vAlign w:val="center"/>
          </w:tcPr>
          <w:p>
            <w:pPr>
              <w:ind w:firstLine="360" w:firstLineChars="150"/>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2440940" cy="1685925"/>
                  <wp:effectExtent l="0" t="0" r="16510" b="9525"/>
                  <wp:docPr id="4" name="图片 3" descr="说明: C:\Users\yang\Desktop\200781495137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说明: C:\Users\yang\Desktop\2007814951373553.jpg"/>
                          <pic:cNvPicPr>
                            <a:picLocks noChangeAspect="1"/>
                          </pic:cNvPicPr>
                        </pic:nvPicPr>
                        <pic:blipFill>
                          <a:blip r:embed="rId10"/>
                          <a:stretch>
                            <a:fillRect/>
                          </a:stretch>
                        </pic:blipFill>
                        <pic:spPr>
                          <a:xfrm>
                            <a:off x="0" y="0"/>
                            <a:ext cx="2440940" cy="1685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136" w:type="dxa"/>
            <w:gridSpan w:val="2"/>
            <w:vAlign w:val="center"/>
          </w:tcPr>
          <w:p>
            <w:pPr>
              <w:spacing w:line="400" w:lineRule="exact"/>
              <w:jc w:val="center"/>
              <w:rPr>
                <w:rFonts w:ascii="仿宋" w:hAnsi="仿宋" w:eastAsia="仿宋" w:cs="仿宋"/>
                <w:bCs/>
                <w:sz w:val="24"/>
                <w:szCs w:val="24"/>
              </w:rPr>
            </w:pPr>
            <w:r>
              <w:rPr>
                <w:rFonts w:hint="eastAsia" w:ascii="仿宋" w:hAnsi="仿宋" w:eastAsia="仿宋" w:cs="仿宋"/>
                <w:b/>
                <w:bCs/>
                <w:sz w:val="24"/>
                <w:szCs w:val="24"/>
              </w:rPr>
              <w:t>项目3：存储要求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要求</w:t>
            </w:r>
          </w:p>
        </w:tc>
        <w:tc>
          <w:tcPr>
            <w:tcW w:w="9035" w:type="dxa"/>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1.场地干净整洁，无积水、粉尘、异味。</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2.材料需密封，表面贴膜或用塑料薄膜全包裹，塑料或钢制材料铺垫（使用钢制材料时，要注意不能有菱角等锋利部位对材料造成伤害），禁止使用木质材料铺垫。</w:t>
            </w:r>
          </w:p>
          <w:p>
            <w:pPr>
              <w:spacing w:line="400" w:lineRule="exact"/>
              <w:rPr>
                <w:rFonts w:ascii="仿宋" w:hAnsi="仿宋" w:eastAsia="仿宋" w:cs="仿宋"/>
                <w:b/>
                <w:bCs/>
                <w:sz w:val="24"/>
                <w:szCs w:val="24"/>
                <w:lang w:eastAsia="zh-CN"/>
              </w:rPr>
            </w:pPr>
            <w:r>
              <w:rPr>
                <w:rFonts w:hint="eastAsia" w:ascii="仿宋" w:hAnsi="仿宋" w:eastAsia="仿宋" w:cs="仿宋"/>
                <w:bCs/>
                <w:sz w:val="24"/>
                <w:szCs w:val="24"/>
                <w:lang w:eastAsia="zh-CN"/>
              </w:rPr>
              <w:t>3.存储位置应避免日光直射、雨淋、显著的温湿度变化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图例</w:t>
            </w:r>
          </w:p>
        </w:tc>
        <w:tc>
          <w:tcPr>
            <w:tcW w:w="9035" w:type="dxa"/>
            <w:vAlign w:val="center"/>
          </w:tcPr>
          <w:p>
            <w:pPr>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801495" cy="1801495"/>
                  <wp:effectExtent l="0" t="0" r="8255" b="8255"/>
                  <wp:docPr id="15" name="图片 4" descr="说明: C:\Users\yang\AppData\Local\Temp\企业微信截图_1655810439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说明: C:\Users\yang\AppData\Local\Temp\企业微信截图_16558104393139.png"/>
                          <pic:cNvPicPr>
                            <a:picLocks noChangeAspect="1"/>
                          </pic:cNvPicPr>
                        </pic:nvPicPr>
                        <pic:blipFill>
                          <a:blip r:embed="rId11"/>
                          <a:stretch>
                            <a:fillRect/>
                          </a:stretch>
                        </pic:blipFill>
                        <pic:spPr>
                          <a:xfrm>
                            <a:off x="0" y="0"/>
                            <a:ext cx="1801495" cy="180149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535555" cy="1801495"/>
                  <wp:effectExtent l="0" t="0" r="17145" b="8255"/>
                  <wp:docPr id="23" name="图片 5" descr="说明: C:\Users\yang\AppData\Local\Temp\企业微信截图_16558103303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说明: C:\Users\yang\AppData\Local\Temp\企业微信截图_16558103303960.png"/>
                          <pic:cNvPicPr>
                            <a:picLocks noChangeAspect="1"/>
                          </pic:cNvPicPr>
                        </pic:nvPicPr>
                        <pic:blipFill>
                          <a:blip r:embed="rId12"/>
                          <a:stretch>
                            <a:fillRect/>
                          </a:stretch>
                        </pic:blipFill>
                        <pic:spPr>
                          <a:xfrm>
                            <a:off x="0" y="0"/>
                            <a:ext cx="2535555" cy="18014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0136" w:type="dxa"/>
            <w:gridSpan w:val="2"/>
            <w:vAlign w:val="center"/>
          </w:tcPr>
          <w:p>
            <w:pPr>
              <w:jc w:val="center"/>
              <w:rPr>
                <w:rFonts w:ascii="仿宋" w:hAnsi="仿宋" w:eastAsia="仿宋" w:cs="仿宋"/>
                <w:sz w:val="24"/>
                <w:szCs w:val="24"/>
              </w:rPr>
            </w:pPr>
            <w:r>
              <w:rPr>
                <w:rFonts w:hint="eastAsia" w:ascii="仿宋" w:hAnsi="仿宋" w:eastAsia="仿宋" w:cs="仿宋"/>
                <w:b/>
                <w:sz w:val="24"/>
                <w:szCs w:val="24"/>
              </w:rPr>
              <w:t>项目4：</w:t>
            </w:r>
            <w:bookmarkStart w:id="284" w:name="_Hlk135830279"/>
            <w:r>
              <w:rPr>
                <w:rFonts w:hint="eastAsia" w:ascii="仿宋" w:hAnsi="仿宋" w:eastAsia="仿宋" w:cs="仿宋"/>
                <w:b/>
                <w:sz w:val="24"/>
                <w:szCs w:val="24"/>
              </w:rPr>
              <w:t>加工制造</w:t>
            </w:r>
            <w:bookmarkEnd w:id="284"/>
            <w:r>
              <w:rPr>
                <w:rFonts w:hint="eastAsia" w:ascii="仿宋" w:hAnsi="仿宋" w:eastAsia="仿宋" w:cs="仿宋"/>
                <w:b/>
                <w:sz w:val="24"/>
                <w:szCs w:val="24"/>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要求</w:t>
            </w:r>
          </w:p>
        </w:tc>
        <w:tc>
          <w:tcPr>
            <w:tcW w:w="9035" w:type="dxa"/>
            <w:vAlign w:val="center"/>
          </w:tcPr>
          <w:p>
            <w:pPr>
              <w:spacing w:line="38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1.加工现场保持干净、整洁，地面不允许有扬尘情况，放置的物品要摆放整齐；</w:t>
            </w:r>
          </w:p>
          <w:p>
            <w:pPr>
              <w:spacing w:line="380" w:lineRule="exact"/>
              <w:rPr>
                <w:rFonts w:ascii="仿宋" w:hAnsi="仿宋" w:eastAsia="仿宋" w:cs="仿宋"/>
                <w:bCs/>
                <w:sz w:val="24"/>
                <w:szCs w:val="24"/>
                <w:lang w:eastAsia="zh-CN"/>
              </w:rPr>
            </w:pPr>
            <w:r>
              <w:rPr>
                <w:rFonts w:hint="eastAsia" w:ascii="仿宋" w:hAnsi="仿宋" w:eastAsia="仿宋" w:cs="仿宋"/>
                <w:bCs/>
                <w:sz w:val="24"/>
                <w:szCs w:val="24"/>
                <w:lang w:eastAsia="zh-CN"/>
              </w:rPr>
              <w:t>2.焊接的环境温度应符合焊接所需的温度，并不得影响焊工的操作技能；焊接电弧1m范围内的相对湿度符合：铝和铝合金的焊接不得大于80%，其它材料焊接不得大于90%，在雨雪天气施焊时，应采取防护措施。</w:t>
            </w:r>
          </w:p>
          <w:p>
            <w:pPr>
              <w:spacing w:line="380" w:lineRule="exact"/>
              <w:rPr>
                <w:rFonts w:ascii="仿宋" w:hAnsi="仿宋" w:eastAsia="仿宋" w:cs="仿宋"/>
                <w:bCs/>
                <w:sz w:val="24"/>
                <w:szCs w:val="24"/>
                <w:lang w:eastAsia="zh-CN"/>
              </w:rPr>
            </w:pPr>
            <w:r>
              <w:rPr>
                <w:rFonts w:hint="eastAsia" w:ascii="仿宋" w:hAnsi="仿宋" w:eastAsia="仿宋" w:cs="仿宋"/>
                <w:bCs/>
                <w:sz w:val="24"/>
                <w:szCs w:val="24"/>
                <w:lang w:eastAsia="zh-CN"/>
              </w:rPr>
              <w:t>3.加工场所工作面照明最低照度不应低于200lx；</w:t>
            </w:r>
          </w:p>
          <w:p>
            <w:pPr>
              <w:spacing w:line="380" w:lineRule="exact"/>
              <w:rPr>
                <w:rFonts w:ascii="仿宋" w:hAnsi="仿宋" w:eastAsia="仿宋" w:cs="仿宋"/>
                <w:bCs/>
                <w:sz w:val="24"/>
                <w:szCs w:val="24"/>
                <w:lang w:eastAsia="zh-CN"/>
              </w:rPr>
            </w:pPr>
            <w:r>
              <w:rPr>
                <w:rFonts w:hint="eastAsia" w:ascii="仿宋" w:hAnsi="仿宋" w:eastAsia="仿宋" w:cs="仿宋"/>
                <w:bCs/>
                <w:sz w:val="24"/>
                <w:szCs w:val="24"/>
                <w:lang w:eastAsia="zh-CN"/>
              </w:rPr>
              <w:t>4.加工场所至于封闭或半封闭状态时，净化空调系统不应使用循环风，并应设置单独的排查有害物的排风装置。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136" w:type="dxa"/>
            <w:gridSpan w:val="2"/>
            <w:vAlign w:val="center"/>
          </w:tcPr>
          <w:p>
            <w:pPr>
              <w:spacing w:line="380" w:lineRule="exact"/>
              <w:jc w:val="center"/>
              <w:rPr>
                <w:rFonts w:ascii="仿宋" w:hAnsi="仿宋" w:eastAsia="仿宋" w:cs="仿宋"/>
                <w:sz w:val="24"/>
                <w:szCs w:val="24"/>
              </w:rPr>
            </w:pPr>
            <w:r>
              <w:rPr>
                <w:rFonts w:hint="eastAsia" w:ascii="仿宋" w:hAnsi="仿宋" w:eastAsia="仿宋" w:cs="仿宋"/>
                <w:b/>
                <w:sz w:val="24"/>
                <w:szCs w:val="24"/>
              </w:rPr>
              <w:t>项目5：切割下料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vAlign w:val="center"/>
          </w:tcPr>
          <w:p>
            <w:pPr>
              <w:jc w:val="center"/>
              <w:rPr>
                <w:rFonts w:ascii="仿宋" w:hAnsi="仿宋" w:eastAsia="仿宋" w:cs="仿宋"/>
                <w:sz w:val="24"/>
                <w:szCs w:val="24"/>
              </w:rPr>
            </w:pPr>
            <w:r>
              <w:rPr>
                <w:rFonts w:hint="eastAsia" w:ascii="仿宋" w:hAnsi="仿宋" w:eastAsia="仿宋" w:cs="仿宋"/>
                <w:sz w:val="24"/>
                <w:szCs w:val="24"/>
              </w:rPr>
              <w:t>要求</w:t>
            </w:r>
          </w:p>
        </w:tc>
        <w:tc>
          <w:tcPr>
            <w:tcW w:w="9035" w:type="dxa"/>
            <w:vAlign w:val="center"/>
          </w:tcPr>
          <w:p>
            <w:pPr>
              <w:spacing w:line="380" w:lineRule="exact"/>
              <w:rPr>
                <w:rFonts w:ascii="仿宋" w:hAnsi="仿宋" w:eastAsia="仿宋" w:cs="仿宋"/>
                <w:sz w:val="24"/>
                <w:szCs w:val="24"/>
                <w:lang w:eastAsia="zh-CN"/>
              </w:rPr>
            </w:pPr>
            <w:r>
              <w:rPr>
                <w:rFonts w:hint="eastAsia" w:ascii="仿宋" w:hAnsi="仿宋" w:eastAsia="仿宋" w:cs="仿宋"/>
                <w:sz w:val="24"/>
                <w:szCs w:val="24"/>
                <w:lang w:eastAsia="zh-CN"/>
              </w:rPr>
              <w:t>1.采用物理切割方式，砂轮机、切割机、激光切割、高压水割、坡口机，严禁使用电焊割、等离子割。</w:t>
            </w:r>
          </w:p>
          <w:p>
            <w:pPr>
              <w:spacing w:line="380" w:lineRule="exact"/>
              <w:rPr>
                <w:rFonts w:ascii="仿宋" w:hAnsi="仿宋" w:eastAsia="仿宋" w:cs="仿宋"/>
                <w:sz w:val="24"/>
                <w:szCs w:val="24"/>
                <w:lang w:eastAsia="zh-CN"/>
              </w:rPr>
            </w:pPr>
            <w:r>
              <w:rPr>
                <w:rFonts w:hint="eastAsia" w:ascii="仿宋" w:hAnsi="仿宋" w:eastAsia="仿宋" w:cs="仿宋"/>
                <w:sz w:val="24"/>
                <w:szCs w:val="24"/>
                <w:lang w:eastAsia="zh-CN"/>
              </w:rPr>
              <w:t>2.切割过后如有毛刺或表面不光滑，需打磨光滑</w:t>
            </w:r>
          </w:p>
          <w:p>
            <w:pPr>
              <w:spacing w:line="380" w:lineRule="exact"/>
              <w:rPr>
                <w:rFonts w:ascii="仿宋" w:hAnsi="仿宋" w:eastAsia="仿宋" w:cs="仿宋"/>
                <w:sz w:val="24"/>
                <w:szCs w:val="24"/>
                <w:lang w:eastAsia="zh-CN"/>
              </w:rPr>
            </w:pPr>
            <w:r>
              <w:rPr>
                <w:rFonts w:hint="eastAsia" w:ascii="仿宋" w:hAnsi="仿宋" w:eastAsia="仿宋" w:cs="仿宋"/>
                <w:sz w:val="24"/>
                <w:szCs w:val="24"/>
                <w:lang w:eastAsia="zh-CN"/>
              </w:rPr>
              <w:t>3.切口应修整平整，切口端面倾斜偏差不大于管子外径的1%，且不应超过3mm，切口端面不应有裂纹、重皮、毛刺、凸凹、缩口、熔渣、氧化物、铁屑等现象。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图例</w:t>
            </w:r>
          </w:p>
        </w:tc>
        <w:tc>
          <w:tcPr>
            <w:tcW w:w="9035" w:type="dxa"/>
            <w:vAlign w:val="center"/>
          </w:tcPr>
          <w:p>
            <w:pPr>
              <w:jc w:val="center"/>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36650" cy="1529080"/>
                  <wp:effectExtent l="0" t="0" r="6350" b="13970"/>
                  <wp:docPr id="6" name="图片 6" descr="说明: E:\WXWork\1688851996294512\Cache\Image\2021-08\6b5f7592d99b4d104d7cda802e2a8f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E:\WXWork\1688851996294512\Cache\Image\2021-08\6b5f7592d99b4d104d7cda802e2a8f68(1).jpg"/>
                          <pic:cNvPicPr>
                            <a:picLocks noChangeAspect="1"/>
                          </pic:cNvPicPr>
                        </pic:nvPicPr>
                        <pic:blipFill>
                          <a:blip r:embed="rId13"/>
                          <a:stretch>
                            <a:fillRect/>
                          </a:stretch>
                        </pic:blipFill>
                        <pic:spPr>
                          <a:xfrm>
                            <a:off x="0" y="0"/>
                            <a:ext cx="1136650" cy="152908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171700" cy="1532890"/>
                  <wp:effectExtent l="0" t="0" r="0" b="10160"/>
                  <wp:docPr id="30" name="图片 7" descr="说明: IMG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说明: IMG_2800.JPG"/>
                          <pic:cNvPicPr>
                            <a:picLocks noChangeAspect="1"/>
                          </pic:cNvPicPr>
                        </pic:nvPicPr>
                        <pic:blipFill>
                          <a:blip r:embed="rId14"/>
                          <a:stretch>
                            <a:fillRect/>
                          </a:stretch>
                        </pic:blipFill>
                        <pic:spPr>
                          <a:xfrm>
                            <a:off x="0" y="0"/>
                            <a:ext cx="2171700" cy="1532890"/>
                          </a:xfrm>
                          <a:prstGeom prst="rect">
                            <a:avLst/>
                          </a:prstGeom>
                          <a:noFill/>
                          <a:ln>
                            <a:noFill/>
                          </a:ln>
                        </pic:spPr>
                      </pic:pic>
                    </a:graphicData>
                  </a:graphic>
                </wp:inline>
              </w:drawing>
            </w:r>
          </w:p>
          <w:p>
            <w:pPr>
              <w:ind w:firstLine="1920" w:firstLineChars="800"/>
              <w:rPr>
                <w:rFonts w:ascii="仿宋" w:hAnsi="仿宋" w:eastAsia="仿宋" w:cs="仿宋"/>
                <w:bCs/>
                <w:sz w:val="24"/>
                <w:szCs w:val="24"/>
              </w:rPr>
            </w:pPr>
            <w:r>
              <w:rPr>
                <w:rFonts w:hint="eastAsia" w:ascii="仿宋" w:hAnsi="仿宋" w:eastAsia="仿宋" w:cs="仿宋"/>
                <w:bCs/>
                <w:sz w:val="24"/>
                <w:szCs w:val="24"/>
              </w:rPr>
              <w:t>正确案例</w:t>
            </w:r>
            <w:r>
              <w:rPr>
                <w:rFonts w:hint="eastAsia" w:ascii="仿宋" w:hAnsi="仿宋" w:eastAsia="仿宋" w:cs="仿宋"/>
                <w:bCs/>
                <w:sz w:val="24"/>
                <w:szCs w:val="24"/>
                <w:lang w:eastAsia="zh-CN"/>
              </w:rPr>
              <w:t xml:space="preserve"> </w:t>
            </w:r>
            <w:r>
              <w:rPr>
                <w:rFonts w:ascii="仿宋" w:hAnsi="仿宋" w:eastAsia="仿宋" w:cs="仿宋"/>
                <w:bCs/>
                <w:sz w:val="24"/>
                <w:szCs w:val="24"/>
                <w:lang w:eastAsia="zh-CN"/>
              </w:rPr>
              <w:t xml:space="preserve">               </w:t>
            </w:r>
            <w:r>
              <w:rPr>
                <w:rFonts w:hint="eastAsia" w:ascii="仿宋" w:hAnsi="仿宋" w:eastAsia="仿宋" w:cs="仿宋"/>
                <w:bCs/>
                <w:sz w:val="24"/>
                <w:szCs w:val="24"/>
              </w:rPr>
              <w:t>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0136" w:type="dxa"/>
            <w:gridSpan w:val="2"/>
            <w:vAlign w:val="center"/>
          </w:tcPr>
          <w:p>
            <w:pPr>
              <w:jc w:val="center"/>
              <w:rPr>
                <w:rFonts w:ascii="仿宋" w:hAnsi="仿宋" w:eastAsia="仿宋" w:cs="仿宋"/>
                <w:sz w:val="24"/>
                <w:szCs w:val="24"/>
              </w:rPr>
            </w:pPr>
            <w:r>
              <w:rPr>
                <w:rFonts w:hint="eastAsia" w:ascii="仿宋" w:hAnsi="仿宋" w:eastAsia="仿宋" w:cs="仿宋"/>
                <w:b/>
                <w:bCs/>
                <w:sz w:val="24"/>
                <w:szCs w:val="24"/>
              </w:rPr>
              <w:t>项目6：</w:t>
            </w:r>
            <w:r>
              <w:rPr>
                <w:rFonts w:hint="eastAsia" w:ascii="仿宋" w:hAnsi="仿宋" w:eastAsia="仿宋" w:cs="仿宋"/>
                <w:bCs/>
                <w:sz w:val="24"/>
                <w:szCs w:val="24"/>
              </w:rPr>
              <w:t>打磨抛光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要求</w:t>
            </w:r>
          </w:p>
        </w:tc>
        <w:tc>
          <w:tcPr>
            <w:tcW w:w="9035" w:type="dxa"/>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1.焊接后焊路及周边达不到表面光滑的需进行打磨抛光。</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2.抛光磨砂可选用机械抛光方法，可先进行粗磨，再到粗抛（粒度可选用2～50目抛光片），最后为细磨（粒度大于180目砂粒），也可选用电解抛光磨砂（粒度大于180目砂粒）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正确图例</w:t>
            </w:r>
          </w:p>
        </w:tc>
        <w:tc>
          <w:tcPr>
            <w:tcW w:w="9035" w:type="dxa"/>
            <w:vAlign w:val="center"/>
          </w:tcPr>
          <w:p>
            <w:pPr>
              <w:jc w:val="center"/>
              <w:rPr>
                <w:rFonts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1897380" cy="1432560"/>
                  <wp:effectExtent l="0" t="0" r="7620" b="15240"/>
                  <wp:docPr id="19" name="图片 8" descr="说明: C:\Users\DELL\AppData\Local\Temp\企业微信截图_1524292810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说明: C:\Users\DELL\AppData\Local\Temp\企业微信截图_15242928104203.png"/>
                          <pic:cNvPicPr>
                            <a:picLocks noChangeAspect="1"/>
                          </pic:cNvPicPr>
                        </pic:nvPicPr>
                        <pic:blipFill>
                          <a:blip r:embed="rId15"/>
                          <a:stretch>
                            <a:fillRect/>
                          </a:stretch>
                        </pic:blipFill>
                        <pic:spPr>
                          <a:xfrm>
                            <a:off x="0" y="0"/>
                            <a:ext cx="1897380" cy="143256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562100" cy="1428750"/>
                  <wp:effectExtent l="0" t="0" r="0" b="0"/>
                  <wp:docPr id="22" name="图片 9" descr="说明: C:\Users\DELL\AppData\Local\Temp\企业微信截图_1524292784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说明: C:\Users\DELL\AppData\Local\Temp\企业微信截图_15242927848214.png"/>
                          <pic:cNvPicPr>
                            <a:picLocks noChangeAspect="1"/>
                          </pic:cNvPicPr>
                        </pic:nvPicPr>
                        <pic:blipFill>
                          <a:blip r:embed="rId16"/>
                          <a:stretch>
                            <a:fillRect/>
                          </a:stretch>
                        </pic:blipFill>
                        <pic:spPr>
                          <a:xfrm>
                            <a:off x="0" y="0"/>
                            <a:ext cx="1562100" cy="14287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927225" cy="1431925"/>
                  <wp:effectExtent l="0" t="0" r="15875" b="15875"/>
                  <wp:docPr id="24" name="图片 10" descr="说明: I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说明: IMG_2787.JPG"/>
                          <pic:cNvPicPr>
                            <a:picLocks noChangeAspect="1"/>
                          </pic:cNvPicPr>
                        </pic:nvPicPr>
                        <pic:blipFill>
                          <a:blip r:embed="rId17"/>
                          <a:stretch>
                            <a:fillRect/>
                          </a:stretch>
                        </pic:blipFill>
                        <pic:spPr>
                          <a:xfrm>
                            <a:off x="0" y="0"/>
                            <a:ext cx="1927225" cy="1431925"/>
                          </a:xfrm>
                          <a:prstGeom prst="rect">
                            <a:avLst/>
                          </a:prstGeom>
                          <a:noFill/>
                          <a:ln>
                            <a:noFill/>
                          </a:ln>
                        </pic:spPr>
                      </pic:pic>
                    </a:graphicData>
                  </a:graphic>
                </wp:inline>
              </w:drawing>
            </w:r>
          </w:p>
          <w:p>
            <w:pPr>
              <w:ind w:firstLine="840" w:firstLineChars="350"/>
              <w:rPr>
                <w:rFonts w:ascii="仿宋" w:hAnsi="仿宋" w:eastAsia="仿宋" w:cs="仿宋"/>
                <w:sz w:val="24"/>
                <w:szCs w:val="24"/>
                <w:lang w:eastAsia="zh-CN"/>
              </w:rPr>
            </w:pPr>
            <w:r>
              <w:rPr>
                <w:rFonts w:hint="eastAsia" w:ascii="仿宋" w:hAnsi="仿宋" w:eastAsia="仿宋" w:cs="仿宋"/>
                <w:sz w:val="24"/>
                <w:szCs w:val="24"/>
                <w:lang w:eastAsia="zh-CN"/>
              </w:rPr>
              <w:t xml:space="preserve">正确案例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 xml:space="preserve">错误案例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136" w:type="dxa"/>
            <w:gridSpan w:val="2"/>
            <w:vAlign w:val="center"/>
          </w:tcPr>
          <w:p>
            <w:pPr>
              <w:jc w:val="center"/>
              <w:rPr>
                <w:rFonts w:ascii="仿宋" w:hAnsi="仿宋" w:eastAsia="仿宋" w:cs="仿宋"/>
                <w:sz w:val="24"/>
                <w:szCs w:val="24"/>
                <w:lang w:eastAsia="zh-CN"/>
              </w:rPr>
            </w:pPr>
            <w:r>
              <w:rPr>
                <w:rFonts w:hint="eastAsia" w:ascii="仿宋" w:hAnsi="仿宋" w:eastAsia="仿宋" w:cs="仿宋"/>
                <w:b/>
                <w:bCs/>
                <w:sz w:val="24"/>
                <w:szCs w:val="24"/>
                <w:lang w:eastAsia="zh-CN"/>
              </w:rPr>
              <w:t>项目7：清洁（连接前）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要求</w:t>
            </w:r>
          </w:p>
        </w:tc>
        <w:tc>
          <w:tcPr>
            <w:tcW w:w="9035" w:type="dxa"/>
            <w:vAlign w:val="center"/>
          </w:tcPr>
          <w:p>
            <w:pPr>
              <w:jc w:val="center"/>
              <w:rPr>
                <w:rFonts w:ascii="仿宋" w:hAnsi="仿宋" w:eastAsia="仿宋" w:cs="仿宋"/>
                <w:sz w:val="24"/>
                <w:szCs w:val="24"/>
                <w:lang w:eastAsia="zh-CN"/>
              </w:rPr>
            </w:pPr>
            <w:r>
              <w:rPr>
                <w:rFonts w:hint="eastAsia" w:ascii="仿宋" w:hAnsi="仿宋" w:eastAsia="仿宋" w:cs="仿宋"/>
                <w:bCs/>
                <w:sz w:val="24"/>
                <w:szCs w:val="24"/>
                <w:lang w:eastAsia="zh-CN"/>
              </w:rPr>
              <w:t>1.使用软化水对设备设施进行清洗，要求无污迹、无黑点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0136" w:type="dxa"/>
            <w:gridSpan w:val="2"/>
            <w:vAlign w:val="center"/>
          </w:tcPr>
          <w:p>
            <w:pPr>
              <w:jc w:val="center"/>
              <w:rPr>
                <w:rFonts w:ascii="仿宋" w:hAnsi="仿宋" w:eastAsia="仿宋" w:cs="仿宋"/>
                <w:b/>
                <w:bCs/>
                <w:sz w:val="24"/>
                <w:szCs w:val="24"/>
                <w:lang w:eastAsia="zh-CN"/>
              </w:rPr>
            </w:pPr>
            <w:r>
              <w:rPr>
                <w:rFonts w:hint="eastAsia" w:ascii="仿宋" w:hAnsi="仿宋" w:eastAsia="仿宋" w:cs="仿宋"/>
                <w:b/>
                <w:bCs/>
                <w:sz w:val="24"/>
                <w:szCs w:val="24"/>
                <w:lang w:eastAsia="zh-CN"/>
              </w:rPr>
              <w:t>项目8：连接（分直接和间接连接）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要求</w:t>
            </w:r>
          </w:p>
        </w:tc>
        <w:tc>
          <w:tcPr>
            <w:tcW w:w="9035" w:type="dxa"/>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1.直接连接：采用冷焊、氩弧焊、激光焊、氩气保护焊方法进行焊接一起的连接方法，焊接时优先选用自动焊接设备，严禁使用电焊、二氧化碳保护焊。以下为焊接的要求：</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（1）焊接用氩气应符合国家标准《氩》GB/T4842的规定，且氩气纯度不应低于99.97%，当瓶装氩气的压力低于0.5MPa时，应停止使用。</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（2）焊接要求满焊、无裂缝或孔隙无错位、无变色、无凹陷、无凸起、无欠熔合、无可见电弧烧伤、无烧穿，外观焊缝应呈光滑，焊缝与母材之间应平滑过渡，无尖锐棱角，表面平滑光洁。</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（3）所有焊缝焊接后及时在每一个管段上用记号笔按管道安装序号标明所在的管段位置。</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（4）异径管路间连接不能出现清洗不到位的死角、积物料，如果出现异径连接的端口内径不一致，需进行打磨到圆滑过渡。</w:t>
            </w:r>
          </w:p>
          <w:p>
            <w:pPr>
              <w:spacing w:line="400" w:lineRule="exact"/>
              <w:rPr>
                <w:rFonts w:ascii="仿宋" w:hAnsi="仿宋" w:eastAsia="仿宋" w:cs="仿宋"/>
                <w:sz w:val="24"/>
                <w:szCs w:val="24"/>
                <w:lang w:eastAsia="zh-CN"/>
              </w:rPr>
            </w:pPr>
            <w:r>
              <w:rPr>
                <w:rFonts w:hint="eastAsia" w:ascii="仿宋" w:hAnsi="仿宋" w:eastAsia="仿宋" w:cs="仿宋"/>
                <w:bCs/>
                <w:sz w:val="24"/>
                <w:szCs w:val="24"/>
                <w:lang w:eastAsia="zh-CN"/>
              </w:rPr>
              <w:t>（5）直接连接时设备内部空间大的采用双面焊接双面成型，内部空间小的采用单面焊接双面成型。如出现焊缝评估不合格的，需采用间接连接方式。</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2.间接连接：采用</w:t>
            </w:r>
            <w:r>
              <w:rPr>
                <w:rFonts w:hint="eastAsia" w:ascii="仿宋" w:hAnsi="仿宋" w:eastAsia="仿宋" w:cs="仿宋"/>
                <w:bCs/>
                <w:sz w:val="24"/>
                <w:szCs w:val="24"/>
                <w:lang w:eastAsia="zh-CN"/>
              </w:rPr>
              <w:t>榫槽面法兰、扎箍等方式连接的方法。</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（1）间接连接时采用成型食品级垫片配套连接或食品级不锈钢快速接头连接。</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（2）端口（人孔、观察孔、管道末端等）密封采用榫槽面结构、成型食品级垫片或胶条配套密封。</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（3）三通、四通、异径接头、弯头采用成品，禁止直接在管上开料焊接拼装。</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（4）仪器仪表连接，在本体上的接口的大小与仪器仪表接口内径一致，不可插入本体焊接。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正确图例</w:t>
            </w:r>
          </w:p>
        </w:tc>
        <w:tc>
          <w:tcPr>
            <w:tcW w:w="9035" w:type="dxa"/>
            <w:vAlign w:val="center"/>
          </w:tcPr>
          <w:p>
            <w:pPr>
              <w:jc w:val="center"/>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70940" cy="958850"/>
                  <wp:effectExtent l="0" t="0" r="10160" b="12700"/>
                  <wp:docPr id="7" name="图片 11" descr="说明: C:\Users\wei\AppData\Local\Temp\企业微信截图_16303996744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说明: C:\Users\wei\AppData\Local\Temp\企业微信截图_16303996744642.png"/>
                          <pic:cNvPicPr>
                            <a:picLocks noChangeAspect="1"/>
                          </pic:cNvPicPr>
                        </pic:nvPicPr>
                        <pic:blipFill>
                          <a:blip r:embed="rId18"/>
                          <a:stretch>
                            <a:fillRect/>
                          </a:stretch>
                        </pic:blipFill>
                        <pic:spPr>
                          <a:xfrm>
                            <a:off x="0" y="0"/>
                            <a:ext cx="1170940" cy="9588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743075" cy="1312545"/>
                  <wp:effectExtent l="0" t="0" r="9525" b="190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9"/>
                          <a:stretch>
                            <a:fillRect/>
                          </a:stretch>
                        </pic:blipFill>
                        <pic:spPr>
                          <a:xfrm>
                            <a:off x="0" y="0"/>
                            <a:ext cx="1743075" cy="131254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39545" cy="1343025"/>
                  <wp:effectExtent l="0" t="0" r="8255" b="952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0"/>
                          <a:stretch>
                            <a:fillRect/>
                          </a:stretch>
                        </pic:blipFill>
                        <pic:spPr>
                          <a:xfrm>
                            <a:off x="0" y="0"/>
                            <a:ext cx="1439545" cy="1343025"/>
                          </a:xfrm>
                          <a:prstGeom prst="rect">
                            <a:avLst/>
                          </a:prstGeom>
                          <a:noFill/>
                          <a:ln>
                            <a:noFill/>
                          </a:ln>
                        </pic:spPr>
                      </pic:pic>
                    </a:graphicData>
                  </a:graphic>
                </wp:inline>
              </w:drawing>
            </w:r>
          </w:p>
          <w:p>
            <w:pPr>
              <w:jc w:val="center"/>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562100" cy="1168400"/>
                  <wp:effectExtent l="0" t="0" r="0" b="1270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1"/>
                          <a:stretch>
                            <a:fillRect/>
                          </a:stretch>
                        </pic:blipFill>
                        <pic:spPr>
                          <a:xfrm>
                            <a:off x="0" y="0"/>
                            <a:ext cx="1562100" cy="116840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990725" cy="1561465"/>
                  <wp:effectExtent l="0" t="0" r="9525" b="635"/>
                  <wp:docPr id="13" name="图片 15" descr="说明: C:\Users\wei\AppData\Local\Temp\企业微信截图_16303806947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说明: C:\Users\wei\AppData\Local\Temp\企业微信截图_16303806947523.png"/>
                          <pic:cNvPicPr>
                            <a:picLocks noChangeAspect="1"/>
                          </pic:cNvPicPr>
                        </pic:nvPicPr>
                        <pic:blipFill>
                          <a:blip r:embed="rId22"/>
                          <a:stretch>
                            <a:fillRect/>
                          </a:stretch>
                        </pic:blipFill>
                        <pic:spPr>
                          <a:xfrm>
                            <a:off x="0" y="0"/>
                            <a:ext cx="1990725" cy="156146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77645" cy="1680210"/>
                  <wp:effectExtent l="0" t="0" r="8255" b="1524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3"/>
                          <a:stretch>
                            <a:fillRect/>
                          </a:stretch>
                        </pic:blipFill>
                        <pic:spPr>
                          <a:xfrm>
                            <a:off x="0" y="0"/>
                            <a:ext cx="1477645" cy="1680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错误图例</w:t>
            </w:r>
          </w:p>
        </w:tc>
        <w:tc>
          <w:tcPr>
            <w:tcW w:w="9035" w:type="dxa"/>
            <w:vAlign w:val="center"/>
          </w:tcPr>
          <w:p>
            <w:pPr>
              <w:rPr>
                <w:rFonts w:ascii="仿宋" w:hAnsi="仿宋" w:eastAsia="仿宋" w:cs="仿宋"/>
                <w:bCs/>
                <w:sz w:val="24"/>
                <w:szCs w:val="24"/>
              </w:rPr>
            </w:pPr>
            <w:r>
              <w:rPr>
                <w:rFonts w:hint="eastAsia" w:ascii="仿宋" w:hAnsi="仿宋" w:eastAsia="仿宋" w:cs="仿宋"/>
                <w:bCs/>
                <w:sz w:val="24"/>
                <w:szCs w:val="24"/>
                <w:lang w:eastAsia="zh-CN"/>
              </w:rPr>
              <mc:AlternateContent>
                <mc:Choice Requires="wps">
                  <w:drawing>
                    <wp:inline distT="0" distB="0" distL="114300" distR="114300">
                      <wp:extent cx="1353820" cy="1175385"/>
                      <wp:effectExtent l="13970" t="13970" r="22860" b="29845"/>
                      <wp:docPr id="16" name="矩形 16" descr="PICT61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wps:cNvSpPr>
                            <wps:spPr>
                              <a:xfrm>
                                <a:off x="0" y="0"/>
                                <a:ext cx="1353820" cy="1175385"/>
                              </a:xfrm>
                              <a:prstGeom prst="rect">
                                <a:avLst/>
                              </a:prstGeom>
                              <a:blipFill rotWithShape="1">
                                <a:blip r:embed="rId24">
                                  <a:lum bright="10001"/>
                                </a:blip>
                                <a:stretch>
                                  <a:fillRect/>
                                </a:stretch>
                              </a:blipFill>
                              <a:ln w="28575" cap="flat" cmpd="sng">
                                <a:solidFill>
                                  <a:srgbClr val="990033"/>
                                </a:solidFill>
                                <a:prstDash val="solid"/>
                                <a:miter/>
                                <a:headEnd type="none" w="med" len="med"/>
                                <a:tailEnd type="none" w="med" len="med"/>
                              </a:ln>
                            </wps:spPr>
                            <wps:bodyPr upright="1"/>
                          </wps:wsp>
                        </a:graphicData>
                      </a:graphic>
                    </wp:inline>
                  </w:drawing>
                </mc:Choice>
                <mc:Fallback>
                  <w:pict>
                    <v:rect id="_x0000_s1026" o:spid="_x0000_s1026" o:spt="1" alt="PICT6149" style="height:92.55pt;width:106.6pt;" filled="t" stroked="t" coordsize="21600,21600" o:gfxdata="UEsDBAoAAAAAAIdO4kAAAAAAAAAAAAAAAAAEAAAAZHJzL1BLAwQUAAAACACHTuJARRCO/NQAAAAF&#10;AQAADwAAAGRycy9kb3ducmV2LnhtbE2PzU7DMBCE75V4B2uRemvtpAKVEKcHpEoVF+jPA7jxNomw&#10;1yF20/D2LFzgMtJqRjPflpvJOzHiELtAGrKlAoFUB9tRo+F03C7WIGIyZI0LhBq+MMKmupuVprDh&#10;RnscD6kRXEKxMBralPpCyli36E1chh6JvUsYvEl8Do20g7lxuXcyV+pRetMRL7Smx5cW64/D1Wtw&#10;/en4PtLn62U3hfppr9zbbuu0nt9n6hlEwin9heEHn9GhYqZzuJKNwmngR9KvspdnqxzEmUPrhwxk&#10;Vcr/9NU3UEsDBBQAAAAIAIdO4kBmtwmtZwIAABIFAAAOAAAAZHJzL2Uyb0RvYy54bWytVEtu2zAQ&#10;3RfoHQjuG0l2nY8QOSjsJggQtEGSomuapCSi/IFD/05ToLscoscpeo0OKTtt0o0X2RBDzvDNvDdD&#10;nl9sjCYrGUA529DqqKREWu6Esl1DvzxcvjulBCKzgmlnZUO3EujF9O2b87Wv5cj1TgsZCIJYqNe+&#10;oX2Mvi4K4L00DI6clxadrQuGRdyGrhCBrRHd6GJUlsfF2gXhg+MSAE/ng5PuEMMhgK5tFZdzx5dG&#10;2jigBqlZRErQKw90mqttW8nj57YFGYluKDKNecUkaC/SWkzPWd0F5nvFdyWwQ0p4wckwZTHpE9Sc&#10;RUaWQf0HZRQPDlwbj7gzxUAkK4IsqvKFNvc98zJzQanBP4kOrwfLP61uA1ECJ+GYEssMdvz398df&#10;P3+QdCAkcFTr9nr2cFy9P0tyrT3UeOve34ZEGPyN49+AWHcVcBoqBHF3DnXO1qxntpMfwGMj0hHe&#10;L54BpA3soDZtMAkSVSGb3KLtU4vkJhKOh9V4Mj4dYfc4+qrqBHeTjMrq/XUfIF5JZ0gyGhowdW4N&#10;W91ATAWweh+Ssi208pdKaxJc/Kpin0VPte6drzuZJNTSLCQKHq7FkEQvDVkE1fVJorIsB5mGyrLE&#10;McjI+2S2WOgdEhpowN6BlPY0UpS2ZN3Q0enkZIJCMWxLi48DTeMxL9gucwOnlUjMc47QLWY6kBXD&#10;h3J2Vpbj8U7WZ2FJuDmDfojLrhTGaqOiDNnqJRMfrSBx63GWLP4hNFVjpKBES/xykpUjI1P6kEhk&#10;p+1ucIZZSVOzcGKLo7v0e+VyvcmDTyV3efes01v8d5+R/n5l0z9QSwMECgAAAAAAh07iQAAAAAAA&#10;AAAAAAAAAAoAAABkcnMvbWVkaWEvUEsDBBQAAAAIAIdO4kAcJ+jUWkQAAFVEAAAVAAAAZHJzL21l&#10;ZGlhL2ltYWdlMS5qcGVnAVVEqrv/2P/gABBKRklGAAEBAAABAAEAAP/gAAhOWFBMAHH/2wBDAAgG&#10;BgcGBQgHBwcJCQgKDBQNDAsLDBkSEw8UHRofHh0aHBwgJC4nICIsIxwcKDcpLDAxNDQ0Hyc5PTgy&#10;PC4zNDL/2wBDAQkJCQwLDBgNDRgyIRwhMjIyMjIyMjIyMjIyMjIyMjIyMjIyMjIyMjIyMjIyMjIy&#10;MjIyMjIyMjIyMjIyMjIyMjL/wAARCAEiAa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7FSxzyRDAJI9DTcYpCaQiZnjlAyMNUe54+hyKZQG&#10;NADi4c88GnhT2qLAbp1qRCyHkcUDFAIPNTKjEAgcVYggFynBGafAfs9wqSjK55pXAfC6mPZjBqSc&#10;fuVFdfrNpoqeGbeazKfaWIzjr1rlJ0HlqKhO5UVcqQR5cYFX7yLEa49KLGHdIPWtG/gwijHNWaqD&#10;Od8k88VPb2bzMFVdxY4AFaljpc99cJDBE0kjnAUDNe6eAvhrbaREl/qMay3RAKoVyE/+vVJdyJK2&#10;5zHgT4QytNBqeuIFhGHW2PVvrXtMcENpAsNvGkMajhUXAFTgY4HSoZs5yfuiiUuhG5TudzDAznPW&#10;qE8hJHPyjr71fkLKcjnPrWddHeFJXDDPTvWTNorUr3TCLoAuRk4NZsz+YW2534+8a0mgEiHaPnPB&#10;JqjNEysY0jJbuRSszRWRiXsSs5aUgEDBPrVGSF4N64C7wMHFblxAZ0ICbZIx09ahS3kKFXJxkE55&#10;6VaJkznVhafKhACp79KkOkNJgkHPqK3GaKJjkBjwdoqOWaV02quxc9fSmZlKPTwqYZhz3NDpAvyg&#10;E4HYVYWKVhhQXGOat2+lXjD/AFePUsKaEzJaPPAUIB3PWqiBfM4LHGfpXVtoqOf3sqrk5YjmmSW+&#10;g2A3TXCAjuXC/pRsI5tYiV+RcnPp0qWzjuDcFFIxJmMll4GeK1pfFfhW0QDzoGYccZbj8KoyfEXw&#10;5Cf3akkdCsP+NHMhFG4s7q1VzsLsrFXO08Y7UiKZgGCHGMY9DVpviro67tsMx3HJJjHNVl+I/h0t&#10;k28qk8k+UKXMgsI9oxkHQVVmt9uflB/CtAeOvDFxgM7If9qM/wBKsprPhy+JEV9AGPTc23+dVzIV&#10;mcu8C+W6CNTkg571SkijxjJBrtZNEtr1WMN1G2e6kEVk3PhSZNzxsW56Ub7BY5GddnQ5FU2OWJKn&#10;INdBLo9zECssbFs9MVnzwFMq0dFguZE4WRCCMEHNZ8i85G4NWu9pvfcoI9qo3Sz+aTKuc1Nh3K8b&#10;uhAx9SOKsBlkbhM+tQfKevJpAxH3TjHap6jFlUZPYjnNMjnWLzPMjWRXXADDIpZCWTlue3eqqsfu&#10;k9PUcYpkkGpeHw0S3VgQ6sCxiB5X1xXOkEEjpXY2d0LacNglc+tGs6HDfqbzT8eZjLxjpTv3Cxx1&#10;FOZCrFWBBHUGgYFMQ2lxRRQAUYpaTFABRS4ooA3rqK0UHYeayWABNdfq+kWVxvvLR9iHkJjiuScg&#10;EipixIjxmlA96OM0uBVDFWplOeD0qIDtUijHGaAL8Fs+3zIZMH0pVieabD8NVeGR42+RsVZVnZ9+&#10;eakuMblsLIihGJIB4pzIznvUyAyRqT1qzHCSQBQjupUQ063YTKcGtoabNqN3HBChd2OAAKt6Fpxn&#10;mCshJPAA9a9i8IeEYdOi+1XEIM7crntVoKrUEQ+CvA1vocKzTxq9yeSxHI9h7V3NHSim3c89ybd2&#10;FRyLuIFSUhGQRUsRTmHmKQEOapXCKATj5gOM1pTAqAwUkioJYWdMbQW9TU2NIysZjII9vO7PTb2q&#10;s2UnaSNM8Y56GthoSUAwB+FULqSFF2IMsT1HajYpPm0Mq58oO0z4VhxjPWs+4lZpNqYCnpjnIrVW&#10;zkunYIvA6lhUjWVrYKZZyDJ12+39KV7lWSMFbOWeUKICPcdTWkumwRRkXUyqByUXk/nWBrfju0tS&#10;0Vp+9fptjOFH1bvXnur+L7q8yLi82Rf88ouB/wDXoIcj1W98aaHokflxNG0gHRQGb8a47UviZfXT&#10;MLK12g/xOcn8q86bWbcEiOBnPqe9V21y6LlUSNF7HrT1JudRda1r+o5828kVT/Cp2j9KoNYXEp3S&#10;zEn3JNYa6jfMxDXDBj2A4FAu9Q7XE3qMrRYVza/ss9S+Pwpv9kkn/WfpWN5l1IxD30iBufmBFSJc&#10;6inC3JYZwM4Jphc0zo7EZD/pUTaTKvoaW01S8gkKOVmHcY5rVi1OCXIkjZG64x2oAxPsDK3zLUqW&#10;J7V0CRxTk7CGA9DUE1njlaQWKdutxAwMUsiH/ZYit6x8RaxaEf6U0i+kg3Vi+bJAcMu5atQXlvKQ&#10;N2w+jU9AOxtvFcVxhb21AJ4LJz+laEenaPqw3QypvP8AD0P5Vxqxjrwfep48ocoxBHcU7tCsb0vg&#10;0Rs7gBjzgAVx+v2q20hRkwRwTiuvsNevbYKsredGOzdR+NXb230rxDHhoikmPof/AK9NO+42eOSw&#10;jduBxUKnZxz9a7DXPCV1YIZ4MTQf3l5x7GuYZFX5WUg49aTQkynIm85QUjxIuN2N3oDT3zERgYzU&#10;u1ZgAyjcKke5VcHCsq4HcVZs7t7e5HzfK3Bz2FRSF4RtyMetMLiSMhgAexPahoCTV9IXVB9oslXz&#10;lX5lHV8e3rXIEFWKkYI7Guzt5vsc0ZXcNoyG68+o9qg17SkvoX1GxhAZFDTIvcf3gP500+gmjkjS&#10;Upo6UxBQaCaPegAooz9KKANNbW6dMIrkfWq8kTo211INWodTnhGFII9xUc07Tne2M+1Sr3EVtmac&#10;FpeaeEytUMEAxk1Iqgn2pu0+nFW4o1JGaTGhiKM9Kuwxg44pFhU9quQw45FI6KUbsswRnArY0+0a&#10;WRQFyc1Us03EcV6p8PfDAupxe3EZ8mPlQRwTTSueg5qnG7Oi8EeFVs7WO9uk/etyqntXc0gAUAAY&#10;A6UtUeTUqObuwooooICiiigBCoNNI2pycU+msAykUgKFy7H7p4z09agWxVsyzELHnJq7cPDZwtLK&#10;Rgdq8j8a/ExomktNMYNJnBccqn09TUNGkZO2h1XibxrpugQsnmhWx8qjl2/wFeL+IfH2oavI6JmO&#10;A9FB6/X1rGaG+1a5MsjPLI5yzPzW9p3gqecB5lJ/Cmo9w1OSaa6u26ux9B0q5a+Hb+7YEREV6ppn&#10;gyGAqPLBOOfauw0/QraCMfuxnFNWDlPHbD4fXM+DIGNdNY/DS3AXzkz65r0yK0RVIC4z+lSpEE7c&#10;evei4rI5C28B6fCQDGvtwK1YPCtlGB+6UcelbI6ggEgCnYwu3BK9fpRzMGZjeGdLlI8y1jfb0yoN&#10;VJ/Anh+YMH06H5jklRg/pXQFiBnHfgil3nPJ/OncRz83gjQZrcQvYRBAMAqMEfj1rmtT+GSgH+yr&#10;to1xzHL82fx616HvJB4xSFxn60cwzyyH4da3FbNL59tFOvAjVs5HucViXzXOl3AttQiMcuMnvxXt&#10;rkYPNY+qaVY6jGy3MEcpIxvZBlfoe1JspHjc9xA6BgdwPcVRdA5O3kVsa7pSaVfvF9nlMbD5X2sR&#10;9c1jB/Ln2IrspHRhhh/jSBqxNbajPaNjl0HVTXR2OoWt4AA21/7p61z6QpKzLghlOGBHINMktZIn&#10;3xkgjkEUIk7ZIwO5qxGpBG04+lcrp/iGSFhFeDK9N/f8a6iCaK4iV4XVlPQqaEx6GtYXqwSf6Spd&#10;DwcHrVPXvBNlq0ZvNKKxy4yY88H2+tIqgjB5qzbTy2sgkjY8c4PSndoLHmV9pFxauYLhCrqeRWNc&#10;FbeQhWO4dSK9z1XTbLxNYEEBbr+Fu4P+FeOa1olzpd5LbzoVkU9T0Yeop6PYlox/PLZJJxjFJkkY&#10;PI9qVoTGTu+9SIQRtPrSEhImIJUjK+npV+zuWgYPHjb/ABKw6+oqkHdWZDz2pEkKbl4x1GaQzJ1e&#10;yS3uPNgyYH5HHQ+lZ6qW6V1Zt1ntW3n5DkEf4VgXFo1lcGOT6g+o7GqJKzRlRk0irmpZ2UgBaYvA&#10;zQAhUZ6UUpJz0ooAeKcDxij8aABQIcOlSg4FR46VIvWhjLtqiOuH4rRhs4mkwHrNg+7U0W5ZMg81&#10;DKNNbCTPyrkU8RNE2GUg+9RwajPGRgjAq4lw15KqbQXY4GKWtzaErG94T0iXV9SihjUlS3JxX0Xp&#10;thHpthFbRgAIoBx3Ncj8O/DKaTpi3Eqjzm6H+tdzWuyFWquTsFFFFBgFFFFABRRRQAVWvb2Gwtnm&#10;mdVVQTycVJcTx20LSyMFVRkk15N4q1i68Q3X2e2LLag4OP4//rVMn2KjG5leMfGt5rtw1lp5ZLcZ&#10;BYcbv/rVz2meFpLuTdIN3qSOK63RfDmZUDQ5BNdvbaNDbplUC1KNLJHI6V4WggAZkzj1FdKlrb28&#10;GXwqdOnWtCa0BQKhx6mp0gUxFWUEe9Go7pGC6k5SIlYsfNtGWb/61bNonl2sfBHGcHmq9zc2dkS7&#10;SKrY5rkdX+J2k6ZuRJhLIONqfNUpWCTudvvfcNuMd6gdyr5ZxgepxXi2pfFy+nytrGY19Sf6Cucu&#10;fHms3J+a6dR6IoFVqyLpH0O95bR8Ndx8ejU7+19OA2m4Tj0r5oPiW8c5lublv+2hpya2r43TTj1J&#10;c0aiumfS66rYt92dPxpy3MUuNk6HnOA1fO1tqe9P3d9MG7fvDV+LVtUji3JfynHTcc/zo1HY99bE&#10;mG3d+mKidgXx2HrXilr461myK73DqPTg102nfEi1nwt4jRue5HH5ii4zvZJNg+8R7VSnuuDzx0qr&#10;b6vZ3yb4plIIwDkEVDcnnK9KYEE8a3LgzzbowDgFeQfY1ha5pN3fC3FksEjxrhg/ykg+9bSP82Sc&#10;j+VWbQRrcBidtK1tS07qzPM9R0vUdOu/Mu4GiaQZ8xeUJ9M9BU0MizBUZNrkZwe/0r14w211A0cq&#10;JIrDBDDINefeIvBN1ZXAn03dNbkEhQeY/wDGq3IOcudPVhlRVe2ubrS5t8RO3+JT0NasD+YfKfKz&#10;KOQabPaiRTkc0hWNrSdZg1AELhJR1jJ6/StgEMPTNebTW8lvIHiJVh3Fb+keJvuw32eOBIB/OlsC&#10;dzsIpmhcOhwRVjUNJtfEtiUdFEqr8rDqD/hVGKaOeMOjB1PcGrdpO1pIGDY9xTT7DPI9c0afS72S&#10;GaMjae3Q1iiM78D/APXXu3iHSbfxDYs4ULdKuUbHU15BqenSWUhR1IbOD9at6q5GxnYDg560yVFH&#10;8XPtQmS3XkVHICGLYqAY+OUoQM/KD0zSaham/iVhgyRjgeo9KhQnnPWrNpcGOdT6HvQBzk8ZRwpU&#10;qfQiraWG5AQcE+1dT4n1S1uL3S5p7FQsQAlKjHmYNdDDrnh3V4lRLQR+WOrKB/KpcmlexPU8va1d&#10;WIz09qK7C6XTTcyFE+XPFFLmYHGZoBy3tTQMLSA4PWtREwqRetRg09OaBl2JwEqRJMk1AhG2nRkZ&#10;NSCRbjbNej/DLwy2saqLmWPMEfcivPrC3e7uooI1JaRgoxX1H4O0FPDnh6GEj94Rl+OauK6lXOiR&#10;EhjWNAAqjAAp9VgzSMMZz64pyeYI8nk5paiJ6KijkJ+8MHvUm4cUXELRRRTAKRmCKWJwBS1mXsrX&#10;DfZ4icd2FJsaVzE1qaTV5zaRkrAOp9TTLPwzDGR8oI61vw6bEqDAwfXFWlhVBtAwBSsXzW0RmW2m&#10;pb8gCpzHk7QO9Xypxx2rl/Ffiyw8N2rPLKvm44Wk9BXbNC8ubawiM08iqOuDXl/iv4qQW7vb6cBK&#10;44JXoPqf8K8/8UeN9Q1+dwZWjgPRAeT9a5JpTnOKSTYXNjVvEuq607faLhvLP/LNThaxW2A4ZsfT&#10;rTS5znPNNOGzmqsS2WYjajl0dvXBxWha6hocThZtNkl9zNg5/KsWkxjOKLAnY7qz1TwUSGu9HuBg&#10;YwkoP49K2om+HF665Se2z0WRMj8SDXlW49zkU4ugxtUrjvmlZ9ylI9cHgLwhqUe6w1ZVlbkKknI/&#10;A81SvfhprWnKGsruO4jPRHOCa84W7kjby4SSpIIPQ11mj+ONWstsUuoT+WowiyfOo9uecfQ0tRpp&#10;kF7b3dlIYtQtJLeTp8w4P41A8GVBXnPpXoln4s07XIvI1iOLDfx4Jjz9OoqHVPAIeB73Q5N6n5vs&#10;+4MCP9k0XTHY4K3uLmzkDwSvG3setdLpvjKVCsd4ox/fA4/EVivblC8UyGOZTgqwxiqjwYbp0p2u&#10;TdnqNpe296geNlOaur8pHevJ9P1C50+ffC525+ZD0Neg6PrUOpRAbtsoHzKeooGmdDbzmPGDlR0U&#10;1t2s5YnOCPQ1z4TOGH86u2svl7Rk7V460rFXK2v+GIpw1/aJiTq4Hf3FcdcW7RgFh1PUV6xbuJFG&#10;Oa5PxDoqxSPMiHyJTyP7jf4VQjiJ7dZFxjmsS6tmiYsoNdO8TRvtcgtjIPqKq3Nujxk45pCaMfTd&#10;UuNOkLxkFW+8h6Guz03WrXUE2q+yQDmNuD+HrXC3EBjc4qEBgQykqR3BpWA9es59jgZ6dKy/GOiR&#10;X9mb21QbxzIo9fWuf0PxGzOltetz0WU/1rvNOuUIMb4aKQY55BzVReoPU8IuLdobg8Y5wagfBruP&#10;Guh/2fe5jH7qQlkYCuJKkk9yKGrElQqQ/ofehD5cme2eTUkqE/N0qB1fA560gL944vtLaHG50OVP&#10;pjNZNnKIlO3INaNjKISdy5B61TvkitHI2kbxuU+ooeomhhnYnOaKpecKKdhEIZcU09aauDS45piJ&#10;VbipI35qBeDUqDNAErTlTgU6OQ+YPeq7Z3V0nh/RPtMyTTj5D91fWk7IpHoXwf8ADI1LWW1CePMN&#10;qu5Q3Qt2r32bJj/u7fQ1zPgXS00nwqpVFDyZkPH5Vd+2+bLt8p48csc5Gau99ANyN1MYOckCoxOv&#10;TnLHAFU4Lgbg69MZwTUf2ktMz5wUBx6ZNIRcnl2ygIwG3rzUouAOnNYkkrmbawK553VPbTMJArgH&#10;HQ5qWXbQ2wcgGlpiOrAYIolkEUTOT0FMggu5yg8tOXI/Ki2t9kYyxJ61VgVpZS79SeTWkowBQPYc&#10;OlJjmlrl/Gfi228M6XI7v+/K/Ko65pN2BK5T8c+OLbw1YskbhrlgQADzmvm/W9du9avXuLqQsSeB&#10;ngfSn65rlxrN/JdXDksxOB2ArEdwaSV9Sn2QhY0wnNIT603NUQO6cUZ603PHWkPSgB/400mkzRQA&#10;ppCKUU4D2oAj5AyDUsc205Izx0oKZGRTdmTnHNAGha3MqYliXK/xLnpXb+FvGd1pU2+2fKf8tLeQ&#10;/K3+B9685ineBiFzgnmtb7bEYFEflhyMggYZfY+oqWikz229tNH8d2b3Nkq2+oIMFON30PqPevON&#10;Q0640+7a1uYikinuOG9we4qHw9rs9ndRz28xgnXjI7j/AAr1b7PYeONDBKJFfW68kdVJ7/7pp3Ge&#10;QNAVJJ//AF0+2mltpllhYo69CK0b+xms7qW0uFxNEcH39xVAoQ1IR6H4f1mPUIgr4WZfvL/Ue1bp&#10;Ow7jjmvKbS5ktLhJYWwynNelaRqCanZK6YD4ww9D6UikzdsbjBABwAK1ZokuYGSQblcYI9a5+3bZ&#10;L6c9u9b1u4kj+9nFNMHoeZajprWF/LazSBnRt8Z77TVeWIqSMD8a67xL4eWS5GqxkkqMTJ6r6iuc&#10;mUMpzyVOD9KOpTRzt5AsgIxgisdgY3IPSunu4gCHHIPBrBv4djnjigl6alMEK/1re0bxFPZMIpSX&#10;jHQHqK54nIOM5pu9ty8H/GlYLnqtxJD4u0CaNBmaA5TjnI7fjXkd1bNDO2VKgHHIxXZeDdZOma1C&#10;smfJmOxvr2pvj/SPseqNPEMRTjzFHoe4qou6sxM4aRQH5Ocjn2qAx44Bz6VMwOSeuOtROe69RSBj&#10;I2ZXB6cYqtrkOYoJsMpA2lSOnpVtcZz0p9+UurNohncIwwB/vD/61Ajl8e9FLj2oqrkkQPNSA1HT&#10;lNADw3NTRtzioKkQ80AXrS38+4GR8o5Ndz4Rtnv/ABBaWoJKbwT9BXD2Vy0UjKBkMK9j+EOnh55d&#10;Qdc4YIh/U0orUD1XVtQexWO0t8LEFAO2o9Nv44lZrh9wc5I6/nUV8bK4laSQsAGySDisqbUrS0hc&#10;R2+/LY3MetSnbc1autDf+y+ckktm7bSMH69aFd44PLlUrjqao6brPktHFG6vGwBY4xj2rW1LUbJr&#10;fna7n3xT59BcrTKEFwzZEhBUcAVcEixWjEAZ659KwtvnENHuRgOfQ1dtkmlPlytlWHT1pX0K5dTf&#10;02XzIMj8BSX8rNKkSngcsPeo4ZEtYpNo4RetU7NZnaSeVsl2yM9qcSGtTUgI6Y9KuBqowkhhwOas&#10;eYFO9uBiquJoh1jVIdI06S7mYAKOMmvlzxh4qn8R6xLM7nyVJEan09a7b4veMGuJhpVtL8mMvj0z&#10;/WvHWk565qVqPZDnfNRM3NIzZNMZuOtUQAal3Co6UH1oAdmgCjrilA7UAGKcBQBTh1oAPalApQM0&#10;4CgAVacVzQBTwKAImiDKcdRUtm0CXKb0J9SO1GMEGoWmEFwH27lP3hSA20ji2M/mKjDkLzk10vhz&#10;xFc6TeQzowyp5HZh3BrlIdYhWMKQJjjChlzVizlLhlIwMfKfeixSZ7B4p0tfEXh+HXdOAeSJdzKD&#10;yU7g+4rzZ8uu7H1rrvhj4ha2nfS7t8wXJKKGPCvjj8/8KpeLNF/sbWnSIf6NMN8Z/mPwNC1Gc7Gu&#10;BmtzQdSbT75WP+qfAcf1rGRcNg1aiHakB6mAGxKvKtg5rSsJctt756dq5jwpfC5tDbSHLRYHPp2r&#10;pk+VyVzkdqRV7mkwXaVIBVhg15xqVhNZapMd5MasRsPdOxHrx/KvREYmP5uv864fx6TayWN8sbuq&#10;FkfB/LP60wMaeLejD2yKxryAvHnqRWxaypJbq8ZLKeRzyAar3EON4A47Ug6HJsm0n2NRMpc/yq7d&#10;KVkIxUPBXO3qKbJEidlPoQcjHrXpGpqfEngKG7XBuLflvXI4P+NebKSDmu38A3W+5n09n+SRS+09&#10;/WktHcd76HmskTJKykfdODVdlIyp49q6DX7Q2GsXEOPuuR9RWHM2WPaqasxLYgB4OQT9KMhZkcnI&#10;HUZ7U08MRzSE5bJpCMW5iMN1LGvRWIH0orffTkuG80sAWAoqrk2OVzQDzSClFAEg9amjiZgDxzUK&#10;DcQPWtJkVY12/eFAC28W1s19F+ArX+y/C1qcfO6GQjHrXgGmQm71GCEDOWAIFfRHm/ZtMWCPjZEq&#10;4/CjaI4rUfc3azbxjDL1xWfII3iDBW391B45qgZ3KyKN24ntUsF2sMDibBkPTJ5FZmuxYt3FqCFc&#10;+aeqVaEy3ToZDyvUA1kRTKjEgFiSSfpUvE0nmAnJHA6Cgq50tlIxk2lRtPQjmtUMBKuCBt46Vz+n&#10;EtKo3YwvStuxVZJCSfm3cVViL9S5esfs0cAUb5WGcegq5DGFRR2HaqZPnarhfuxLt/GrucLjHNPY&#10;hj8quSM1i+J9Xi0jQ5p5WxhD/wDXrWYnqOB6V458Ztd8q0j06J+ZW+bn+Ecn9cUmNHkOq6lLqWoT&#10;Xcp+aRicZ6e1Z5Y54pC3PWmk1RDHFu1NzmkzQOaAFoFLj1pdp4oAcvan9qYM1IDntQAgOOlSDpTD&#10;Uq/d6UAAAp4AzSA+1OGKAFAp4HFIMZ61IvPFACFeMVGbdZDtarIHHagKQ2aQ0Rx2iJZzYUFgM571&#10;e0q5gaGKKVmVWOGcclfpSQLmUDPBHI9ahk01I7nZDKVB7Hse1IHpsdBprhLhJ4m+dWwe2CO9en6r&#10;HF4i8HR3CANcwLv46jHUV5PZW0tuXinOJN3zA/oa9K8CXhkgktXO45GQemDwc/pSbtqXHscM42t9&#10;akXmrWs2f2PUZ4B0jkKr9O36VWTqKYrWNjQLw2epxMWIVjsY+xr06Iqw355PXFePKSrhga9T0S6N&#10;3p0cnGSgOf50hmtHIxTaw4PvWV4ltEvNCuN0YkZBvX2I71euJTFCGAHPXIrNgvkuTNbu2dyfd7EU&#10;nKzLUb6nHxwpbwqi9NgwM9BUUyKzjA5IzU0qNE0kR2g27lSB6dqcsfmhT0xQgaOW1BSJiu38azyD&#10;jHp0rptQsQX3msKaHY5wKoz0KxHyDjGK2PDl0bHW7WYEgbtp+hrLI4IzU0GVYOCcqcik9gRufEW0&#10;X7ZDfRrhJ0ySPUV5+VwDkZJr1zxvZxz+ELG6iXIwG/OvK9gIIqm7pMaRSYDcc1Gec4OKlmXAzUYG&#10;eg/OkJkisQoGT+dFPWFdo+YD2zRQByVAoFLVGZLD/rM+lW/M5zVWMgc1KGB49aAOy8C2fn6/aFhw&#10;Xz+QzXtF4m23YnIUnH1ryf4bR+Z4hiQ8hY2Neka3qLraeSHbh9yqelEtEXEpag29h5X3VHPas5pF&#10;J2yqwx0xUbXUhaTdhS3UetTKnmxoCASe6nk1BoOMhKf6wg5wDjHFTW0hEqAuRz3qoZY1nSEIODyf&#10;SpopFmkDAD5W5o6hfQ6u2lXauTjI6iuj04BFU/xAEmuR06RAw39Ca6QTbLaaWNuAm0g+9WQzT0ob&#10;4ZJW5Z2Jq2wKk85U84NV7GMRW0fGML19amMiscE5IHJpMQ2Z9kbOemK+YfiTqZv/ABZOu7KwgIPr&#10;1P8AOvpLU7hYtOnY8fIcGvknWbo3esXdwed8rH9aXUHsUSeaTPak70CqJHClApAM04CgB3anqOKY&#10;BkgVLjigAAxSr1oFKg+agB5HtTkHFLilUUAOC5607ZxQoqQDgUAIq08Lj0oC8VIqj0oGhFU+lOZa&#10;f5YPQU8qNvbikwCPOEbuDioVvPs2pOZYy6Zz9Pep4h8jelT31pHLbJL91wjYbPfigdgvdQW7mikh&#10;Qo5Xa5HAYdq7rwbO0WqQBmG2YEHHuP8A61cHZWruqNPNGynjHcd+ldhoBMes2gx8nmKFH40pbFLc&#10;1PGUKx65Iw5EsSydMe39K5pG9MV2fjiLbd2cmB80LKfwP/164rO2hA1qXEXPNegeDZQ2mNH3jYj8&#10;DzXnsDdK7XwZJta4Q9MA4z9aAOov4/Nsn9QMjHeuPikitrkyyhgDnAX1967NnWRCpwAa5TULDbqB&#10;2cgH8Kia6m1J9DJvJxB4ga2IXEi7s984/wAKsxjYu3PPbNLrNqtnfvfHlpIV2r6N0qtbXJnhyxUu&#10;jYO3pVRIk9SS6jDJ61z15Dyxx0rpXGYMmsW8jGCc1SM2YTrg0+IhVINSSJ8tRxkhvrQwR3cpa++H&#10;HBy0a4x9DXlxG0ngYHWvTvD7NJ4SvYf4fm715rJ/r5V6YJFJfCPqZ12MHjp71XCkY96s3A3FtxPX&#10;ioQvz5HTFAMnV9qgen40VADx96ikK5ygApaaKXrVkEyHAqRBudR71CnAqWI/vB9aBHpnw1jKa1PL&#10;j/VxY/Ouv1Zy8wVu3GSeDXK/DTcZL05HIA5rW1WeX7ZKvmY29KU+hpHYa0QgkdpTuG35VI/Ko4ZF&#10;yE6cc0iTGVFMpBI7g0TOkaq6gD6dTU2HclyPNYLlc9M1YiJRl7nuR3rPM+UyvUetWELyKuHOc/Sq&#10;6hr1Ois5GM8ecgZ9e9dJGSNIcMeWkA/CuTtJBlHzwOW57119jmaxtt/IaUcetAdDphgQqB6VBI+w&#10;EkjrUkxxgY6H0qCRuOlDEYviq58jw5dODyI2PJ9ATXyi53MT619Q+MEebw9eRqR80ThfrtNfLpHN&#10;JbikIKXFGKcBVEgo4p9IBgU8dhQAKOakFIBxTgvNAABmnquKQCpAMdqAHAGnDpQo4pyj3oAcoyak&#10;A9qRRUgAz7UDADmpAtCqcZqRRQCFVRTScAipQozmq0hIf1pDJ4ztgY+nNS3y/aba32E/LgcHGSag&#10;GRAeepqWWN44YEDhSTuBI7/5FIotfIYYEeELOj7Dx94e/vXVaMgOq2a9cSrxn3FYdkUligmZi0sh&#10;IY9sjvXReGkL+IrdRyd/H17UmBs+NRiSzVvvlXPJ7cflXEsvJrrvGspOtLDu3GCABuOAxJ/+tXJj&#10;J4pobJrcYxjr612Hg/IurnnH7v8ArXKwRnArrvB4/f3bHoEAoJRuNchATv5UZxVZ5o554jE/zA8/&#10;5/Cm3NqcyOmQzDrUdjZ+TMzntjBNTLc0WhzPjnVl8+OziwXVMMMdPTFZPhx5VM6TMM4GAO1P8eWs&#10;Mev+YQy+ZEpPoT0z+lZuhJHbXaHcCznbjOeDzmqaI6nZFS0XXArKvI8xkDke1a3P2fsB3rPmACHa&#10;cj1poDBlDKnzDkYqJCd1WblsLk881DHjgmk2CWh3HhLa+h30ZBPX+Qrzq5iAu7jIHDnFek+ElI8N&#10;ahIOMsQT+Arzi9I+1Tv/ANNCKa+EEZVwig4HaqjAjI5wDmr8jD5mCg84HtVORiW5xnNIGIoJHT8h&#10;RUy42jBIooEcf5LAUeWR2qYxOO9N2NnrVGYzB705CVYGlKNzmmjigZ6j8NJC0t0o/iKitnWVSSef&#10;fwQTgiua+GVyI7yVCfvYrY1e5P2yWMAncx/nSl0KjsVEcAYXIX1q2ixs2Xlz+FZzyp5eACB6Z70+&#10;GY7flHQ0ikXjIDNj5SuOCOKsRMzsyenQ1RATKbTU6YDruP45oBmxpu15QrD5j1Feg2aBILFFOdrd&#10;a8905o1uVYABz+td9p77obYt/e4qkJ7HQTHkDvVR3yc96luD8mcmqBfgnPFIEY3iGd9giC71ZTuJ&#10;HFfMUgxIR719T6gBJZyj2r5n1qzax1m7tnXBjlYfrxSS1CWqM8AU7FGKeBxVECAEinqoBpRjtTgK&#10;ADFOApVX1pwWgAAp4HOKAtPA6UAL2FPUUIueTUoQHtQMFWpAppEXb61Mo5oAAOKlVfakA9KkGEA7&#10;UDDoORVQjLnHWppZM5A6U2JMnJ+tSBLFHvmii7Hk1NdyA3i2i44A245Jb0qWxiJL3WM7c7c1Stpk&#10;TVY5pSGTzN5YLnHPpQPobGn2klvdHcHVfL3bT0UntXZ+BEEmsm7YDbErNk9uwrmIJ2kglm24DsSo&#10;x26Cuw0VjonhC4v3QrNMn7on8h+tJjRz+r3bXmr3twDkNKQPoOP6VQC81Kse2JRnJxSRqTJk0wZa&#10;iXC59q7HwlGFsLqYjqwXn6f/AF65ADC57V32hQNbeHYARgykufxPH6YoBErDPXp1NOC4UgdCakOF&#10;jYjHTHJpTIrRoSQNq8+3vQM83+ILJJqmA7ZSNVwPXrWDoNrv1GNzCwC5bdnjpj+dS+Irj7fq1xKk&#10;h2s5+7+Qqz4WVhcPuPygbR68nP8ASm9iTqmXMQToOprNueFIFaNwAr7WYdMCsu7barH06UDZj3XA&#10;VME+9RRjPXtTpJd8mcdO1KgIB4qeo72R2+hDyvB9yxz87E/5/KvOLxAZmPIBJPIr0oA2ngYFjyy8&#10;f5/GvN7zkNzyf0ql8IkZMrKc7dpHf1qrIxJJ6mlMZEuDRJjOAeKQ2OQrsGSc0UA4A/xooCxhzJ+8&#10;bZwvaofLerOaMg0zEr7GA71CwKtyKvA5FRTIHUkdRRcDrPhvIP7eCE4yAevpXQa+GXVZwvHzH+dc&#10;d4El8rxRACRlgR+ldh4lJTV5cnGRmiXQuOxlrIOdy5/HrThKFYAcGqglBcpuwMZzTBKS2M5I75pD&#10;SNhLjjk5561MWJ2uCSKxY5tuDj5s1dhlZmG849qAsdDp8oV0JIJ7V6HpcobT4H3Zw2a8otrkrMD6&#10;HBr0jRZS+l4BGBzVIHsdZMQVDK+Vxknrmsx3KtjHy9jViNxBp6gsSdpIqmsyzAgMGYfexU9RrUZK&#10;SylT3rxz4naKYby11aNTtuU8uXA6OnH6jFeyyJjnGfasTVdGXXtMv9OZSJXXzYPQMPf36fjQ+4Wu&#10;j51HWnAVZvrNrO7kgYFShxzUAXHWqMxQM08CmqKfjPfBoAevWnjrTFPY9akUUAOA5qQJmkUZPvUo&#10;FACBecDtUirSogBqUKeuKBiKtSAYoAyKcVwMsfpQMdgLyTioncls54pkshbAH3aaPmwq0rgPALnp&#10;xVhYmciJB8x6+wpqDYBx8x6e9WmK2NsZHI8x+M/WkVsSzyrb2DosnlKBtVgOWPOce3FQ6bbfarpA&#10;csi4bgYyaqiKW5Tz3I2A4VSpxjv/ADH510+kWgtrSMBCJJMEgjmgLlrTbBtS1OLTrcBI4yGlfsoH&#10;atvxddAvZ6XDgJCodlHYdFB/U1Y0CJdG0mXUL5UEsyl/mHO3J/nxXOyyyXMst5PnzJ2zz2HYVK1Z&#10;VrIru/ybR9BxT7ePYoHU9zUR3GTaBxVuJMDNUS0WbWBri5iiUZLsFA+teizBYhHCn3I1CjFcz4Us&#10;t9xLeMPkhXjPdjXRMxZzuHPvSHYY+BncTtIxVC/uxaaRdtkBljIGehJ6YrS2jA8wkAfNx3rjfHd4&#10;ILKOzRhmT9427gEVSWoHn90UecsITnP8JzXYeHLEQ2SPgZk+fI9O1cfYWjX13FAqr87AE7ugr0iC&#10;CO0gRFBCINo70MkZdAKd2Ocdaw71gY2zWrdyhi2Dx2rGvX2pgDOaAM3gyY7VKiM7KByWOBUJOW/W&#10;tfw/bm81q1ixkBtx49OakbOn8Wutj4etbUHB2jI/z9K8xupC0R7tXc+PL0SX4twciMYxXCSsACeo&#10;6GqfYCg4BUHHX2qscbyKmdwePT9KiQZbPftSGydYmZQdp5oqwikIAXGcUUXC5zXyHvRtT1oW3OOT&#10;zS/Zz6mgxE2qe9J5YP8AFS/Zz60jQtng0AWNMb7DrFpc7sKsgJx6V3/i0J9qgn35DpxXnAicGu4k&#10;mN/4WtJ5OWg+RmHWh6oqJhs44PXmmGQ5LL0zz60+QxbTtO7HQEYqJJUJYGEHI6g9KRROsxHzdSDU&#10;63GWT09arW5gYtlnUDoMZo+7IQjEpnqeKaDY2raYMWGCWNeheErrfZNETk4rzG3k2uSDlfauv8JX&#10;vl3ITdyaaA9Qg2zaWC24NHlCQegrnrAmLU5yQjW7kYbPPXir9nqUUF49jM6oLhcoX6bvSszYlu7+&#10;btJ5Py9MZrObs7m1JXTRvkqwODyP0rKluXiv0Yhdo+6v971FWLCRZrMGMkFR8ynnFUwuHkkicEFs&#10;kHkHHWquTa25xnxP8HyAxeIbJB5M6gTAdm7N+NeWtEythhj619MadNBdxtpd2FaCX7ofoR3FeR+N&#10;PBV1o1208Su1mSQhI+5/smhOzsyJR6nBhacBUrRFTyCKbgdaszAIDT167e9CnHWngKee/rQA9Qe9&#10;TKOahSQdDwaV50QE9T6UAWRgc5prXIQYHNUWnZuT0pVO7kUDuWVlbeDn6inTzkY4+X2qADnjtUyR&#10;lzzSuCEHzAEcircSBFBP4U2OIKpA6Dv6U/zo0BP+sIHQUDJMiGPz5Bk9FFREHUZ1ilYIB1fd3Pen&#10;tJ5jbZVyMZwg+6K0Ire1VluFP7tsKiOMFj+FAy3p1sssMbTAmOE/uieM++K6fQ7CW/ujI3ywR/fb&#10;+lQ6fpUuoTKoGE6k5rq5LiysbD7FbBdy8YBzk9y1J66IpK2pi+IHFwyW+cBSCwHQgdAawJyQ2Mc9&#10;Bir17L5bEucljnPqaoxqZW3MfpRZLQG76sdFEepq1DCzuqIpLMcAUiKDzXT+H7FVf7bNHlE4jB7n&#10;1pMEjYS2XSdPis15k25kIHc1A07AgYPNTTMzMS33mPWqrEknPHv607DZYjdpdsY+YZ6V5T4m1EX2&#10;rz7nJjL7VJHAA45711fijXWsLVrS2dTPKD5jA/NGv+J6Vw+nabcatf7IBIFHLNv4ANPZEs3/AApp&#10;u2J7t1UhuIzjp6n+VdFcPtTaT71PDax2cEcUfyqgAFUL2dS7AKPTIpAZ87gk+1Zdw+9uKtXEvJ9+&#10;tUHYA5xTJIyvf1rsfAtusJu9UlUlYl2p9ep/pXID5uF6niu0vAdC8LR2ZwJXG5/cn/P6UvIa3OH1&#10;y6ku9WlZjwe9c/PIImA/hJya0rh9zMx6k9azZkRnZjye1DNCu4IJYZAJ6UsK5mUd6CM9evvTjIII&#10;ZJyBlVJBpEMyNS1BxqMyxkbVbaMewxRWSzFmJOSSc0VdzO7NjzF9aXeB3qvjmgCpEWMj1oqAj0o5&#10;9aAJ8/Sul0CbzdGvrXuo3iuTyfWtnw5dG31IK2SkqlCPWiw1uRttZjlsAHGaruyKxzubn6VoapD5&#10;E0kYGBnIrKbnk0IrYmEpZsLwMc4qVcsPlyBVROueuPWrcZ2EEZNAFmGSUBRghffvW/okzxX6crjr&#10;wawDPJK4B55wBirglWFlkTKEH8RTBHp2qBZktbk52KyliOuM1va3YSSvbXNqqMrIcj1PWuX0a6TU&#10;tFMJOSBjOa2PD2qLJZ/2dcSgToxEW8+3SlKN0VCTixsc0SXaIsjRoUw/pz0NSCzNorKkuUI4y3Of&#10;/r1V8u4huGDruIY9R0+lXgXKRh168g+1ZxN5LqMMZntz1jbqpHUH60+21WHUIH0fWQC7cLIwyJR/&#10;jTzlQQQQo4GOlZ2oWaXcOcYfGeOx+taepj1ON8W+CZNKmlmsy09mSCeMtGPf/GuJlgCqGHTOPxr1&#10;q21qWxPl6mHmgHyh1OWHpn1FZ2peGdN1ci6sJEhYjdxypP8ASpu0NxueYFV6E4poVQfvn6V0mraH&#10;eWbk3NtnHAZANpH4VhSWmPmA/MYqlIzcWiIIhH3qcRExA9KBauP4f1pyQk8BCTTuJIaQCNoFOSBu&#10;3Splik3cJj/eqRljjG6Vy2Odq96QWGIgBwBk+1W4oOplYKBziqQu5DKogj2qeg7mp40dVcFRIZfv&#10;Fj3/AKUxoh1G6U7YYV+Qj5j3NTQyxqjQui8L8rd6VbHayHAlL87E/wAa6jTfC810oDKlvCwyWK7S&#10;R6ZPJ/Ci4WMKC0a7vMxQsIsgKrHJx6Eiu60fwrJMRf321Qq/LuGFUew7VsW9loegWinKyzADG4dT&#10;7LWbealPfsA8pgtxyUB+Z/r7e1BSRdub9fLFvp6xowXZJcx9Mf7Oe/vWNcXsNnH5aZZvrzn3qG81&#10;NY18qDt6VmAPPJ5j8k0tguTl3uH3uatRDA/CokToMYFaNlZvdyBVwqjqx6CgZoaFpf8AaN4okOyB&#10;OZH9B6fWuxdoh8sQ2wrxGvoKyIDHZ26wx8L1OD94+tSrOX4BzntS8xll/wB5nngVUkDKDJj5F5JP&#10;YVajXjAcD1ya5zUtfLXAs0jzAr43Kf8AWN2H0zTQzh9SmGsa5MYFLSs+Md+Pau/0TSItLsljUL5r&#10;AF2xjJpNH0aC18y4mhQXEjFmYck5Na0jLFC0jnj19KCbGZey+WrZPNc9czHJPerV7cmeZgrcDqaz&#10;HbfKc5x/DQIqyksfc8mocevarbqoO7PH86h25IyME9BRcRo+G9O/tDVowwHkwfvZCfboPzpPGeqN&#10;PeCGM5B4FdFbW48P+GTcSLtubsZx3x/n+deeTNLeXT3BOADhRS6XLSKk3X/ZHoapSkBuPrV6UbSd&#10;2OO9UX+ZunJ60Ib2ICQWAHU1U1qfyrJIFPMhBPrgVdCB23H5QK53Urj7ReMRnYvyrTREnoUaKeIy&#10;R0oqjM08UYp+PSgL3qRDNvFGKfjPNAGDQAwCpIXaGZZB1U5pMUuPagDodTdbmGK6ThHX9a59zhiB&#10;yPetaxuDNps1k2ML86cciseQFXKnH1oLuKHCrkjOelWI23IGI6VUZcIBu6dBT45GLYJ+WgC3LIEH&#10;XntTYppDwc7fSonKnAGS3aoxIyNg8UAdn4S1drG/W3kPyucHmu0vrJkv47iHIDENx2NeSwXLxzpO&#10;Cd6HNeqaHq0epaYhZwXUYIqh3OmstRttUDKABdRjDo3B+o9qmljw3yEgema563b7PciaL5G6EjuP&#10;St5biK7iyjc9xnmoaLTIZJIoIiJX2hecsar+cjKGRgykcEVl+ILOS4ljVJcogyV/iBP9Kxnle1uI&#10;TbzlioCvnofwqefoXyXVzdvLdbnsA/YiuduLaeznZoXMR9M8NXQWWqw3zGNl8qQdM9DUk9oHDK6g&#10;g1Vrkaow4fE0qttuoxzwdqjB/Claz0TVnJCrCSOsbYyfpS3elkA+WodfQ9RWVLpwJxETv9D2qUrF&#10;3uTy+EIsl7W+STqArhgePpms7/hFL+KXMKI5HJCsD+lPH223BMcsgHs1RjU79H3eaxI7kUyLJkL+&#10;H9UV932aTJJJ2rmlXR7+Q+U1hMAwOSUOKmOs3e0jzQPwNINavgTsuNuRjIU0XDlQy38P3iTrm1ZR&#10;njJAFaceg2yHfPJErN94KS2B75wKzH1C8lxuuJWPsMUw4b5pgzt3LNmmKyN/7TpdkALRFkdcDI+Y&#10;n+gpkup3Uq/K5hXGOTk4/lWL52xMKQBjrTGmZh1J+tKxV7G2L2KP53cvJjG5jk1SuNQkm4jyq5ql&#10;HE8hG41fhhRB0z9asi9xsEJY5PWryKFAx1p0FvJOwSNCx9q2INKjiCtOdzDnYOn40gK1hYPdHeci&#10;EdW9fpW8HihiEUKbI1H1JqANgcYA7AdqcMkjGaCh6sxOST9anWTyY93GcdSelRMfKUsR19K57XvE&#10;629jJp9qD9olO2ST0T0H1otcNirr/imYXH2a1kx2Zhzz6Vq+HUl+wia6ALk7lGPu1zOh6M00yz3c&#10;Y2A7l9T9RXYNKqoEXgelLqLY1Y7kH5icL/OsnVNU8wGJPxqle6jsQohrEe7bnBwT1qibl7zPlIU8&#10;nqaREUqCW4B5HrWb5y4Hdie5q010LeIJ95yOfb6VLGSTLlyW46gYra8IaUuoa0JJVJtLc7pGxwO4&#10;FYVq1xc3SW9shlmfCIO5Jr0K5RNA0SHRYGUSMPNvH6kse1J9gRi+L9QOqagwhP7kHbH9O5rj5rYw&#10;qVA5HBx2rpZWG5n/AI8ZAx92sy9j8uAvyT1xSbuzZQ0OYuQFVUPU1SDFXfGOQQeM/lWldxsxPr1/&#10;+tUNtJb2yyS3AHyLlQRnmqM2YuoXaW8TQRZ3nqc9KwCnOTVm5n8+d5P7zE1FxVmT1GgcdKKXNFAi&#10;1g+tGDWb9pbON1L9qYd6mwjR5zRlqofa29aX7YfWmBeBNMaRh0FVvtZoF364oAvWd00VyjleAefc&#10;d6uXlsqSllwVblSPSsgXeOwFadlN9stmiz88fKkntQNMqyR4HekQDPzdPerMhB+oqAxnO7IxSKJk&#10;TcvHT3pm3eSDwRQrsFwBkU7OSMUCuLDlX6ZArc0DUmsL0HOIXOCPSsU0qPs4z1oHc9bEiugYH5GG&#10;QR2rE1K7uo5GNs5inUYOD94VV8NautzCLSd/mUfKT1q5q+wIjsMOpwG9RRIuOg/T9am1PCSkieMY&#10;PrU50p73LQjLjrn1rJWIOyyQEx3C9HH9a2tN1YwFxOixyn7xJ4b3rLku7mqnYoSQXOksGlQ7s9hk&#10;D8a6SyvBqFmGXhwPmU9jUiTwXQ3uFbcO/NJbW8UcrlI1Q9iDwapJomUkyuwkiChiGPPA7VBLDHMo&#10;aWMjPAYcGtOUGQZAGRVKaNV28j3BqiDKn0t8fuJQw9G61lXMF1FkNb4X125/lXSkhck1FdO6RF0b&#10;G3tjrRoPU5CSaQ8BEUegWq7NMf42A6cV1w8mZgk0MbOV5+UfzqubSxaRk+zHcoyduaSsJ3OXCyZH&#10;ztn608Qb2ywJP1rbCaZvKm3nV/7p6mraWljtU/ZpRn1bmncTTOcNqOABT0tnBAUE59OtdMYLWMDZ&#10;bpn1PNO81VHyoq46YFMDLttMuHIzGVHqxxWvb6dbRFTNJvP90VCbhmOMkjpxU8Oc/N9aAsaCyLGo&#10;WJBGvoO9ODlhjoTxk1X3xxx7pZAPSj7XGQu3PXOaLlWLirjg4zUikRjJOQO1ZdxqHlruLjGegHNV&#10;BqX2yTylJG3qB/WgZcvbmW6cR274QHLEf0rMi0aBL3znBZ+pLHIFXUIi+6OT1p27DFm70rEtkoba&#10;cKAB0qndXojUrnmo7m8VFIB5rCubsvkkmqJbJZ7nc/Xmqhl+YnNQNIfWmeZz1z7UMRbEpB3DrTmu&#10;PMAXH/66pmQgY/Wur0DQhHbf2rqBCRrzGjDkn1xSBam14bhTw5af2lcrm9cERof4ARTUupL24MjO&#10;JCW3OfU1garrj392Qr4QcDHpUUeplIwicIvLH1NS0axsjqZAHcybRkcBayLhlkkzuzt4IFU5tXIi&#10;IMnLcelMEg8lVQ4GOcetSauStZFa5jj35LfN/d6VzeuMIEYA8v8AL/jXS3s6wRGSTB77gO1cJq12&#10;1/dtKP8AVjhB6CnC71MptJWKGRRxTCMUozWpgGPeijpRQBR8tvSjy3/umrUZzyRUyTKX24yaBGdt&#10;I7GkNbEscSplhUP2QSLuUYFK4GbmjNW/s4ZiqgnFMaDacEYpgV8n1NT2t3Ja3CyoenUeoqN1C0zt&#10;QB0rqHQTI6lGXPHY+lIuHjKjnFZNjcmMmNidp6fWtONmDHjilYdyIkKSD07UqsQQFHFOm2FhtUhu&#10;9Q5OeSPekBMSFYhjzS7gwxUSjOQTnFOKgH3FAFi2uXtpllQ4Yeld7pupW2uWPluB5wGCDxXnPU8G&#10;pra7e0lEsbFWHvTGmdusktjL5EvQ/dap3CzqQ/OahsL621y0KNxKByp4P4VCTLaP5U2ducK570iy&#10;QS3+ntmCTzIv7hNaVj4jWZtjbo5R1VqzvM29DxUMkdvOcsoDeooA6pdT4OGpj6grclcse9cnO1zA&#10;n7hyy+hqqmr3sJ/fQswHfGKB3sdfJdF/utt4xxVeWfzGG3d71zy6/HgGSNlz7ZqdNZt2PDgH3qbX&#10;Kui28rwXRkycdfrUV5qIO14nZXAxkdMUz+1rZs/vV5681D5ticsJBnr97pSs0PmTITfztMrhju9f&#10;WtOHUZ2wHZFA/v8ABrK3WTniZTirAubIcvIhGMdaSTByRvCZ9o8woc9NtNfLkHHGKzE1q0jAUSLj&#10;0qw2qqybkYsP9kVaI3LLsyxkrgHPGRVS51iSKMRpgv3Ygfyqs919tRh8yY9ah+x8E+YwyOdvek7l&#10;K3UtJemeZWnxjGNoyf5VfSXClYlx/tHv9Kx4bdoZMRgle/rWlDbsjbjIcY+7QkNyJR5m9ud2Rxjq&#10;frUtvHskaZv9awAOOgFMR0iXB2j1xTJb6NAdpqkiGy80gXk1QutQABGazLnVM5ANZct2zk8mqsTc&#10;uXF4XJ5qm8uRkmq5kyepppakJE3mdM0of+GoRudgiAkk9BXT6ToKWsX2/UyEiTkKe5/rQCLfhzQY&#10;jjUtTwtvH8yo38X1qv4k8TNqEpgtiRCvAAqhr/iaS/Jig+WBOFUccVzguC+cce9GxRoC6CocZHdj&#10;60jag3VTgevc1RkbKY/Oq6zZB5Jx0pWC5px3RMjZbhsE5rXtLkZVckse2e1curZOQMk9adc6kLKB&#10;nUfvnBVfb3pONxqVtSbxHqxkAs4T8v8AGf6Vz0UxTg8iq/nuWyTkn1p3mBh71SSRm3d3Lm0SDcuK&#10;IITNL5YIB7ZqpHKY2yDVyJ4pecbXoESPZTIxUgZHvRUbJLuPzn86KWoFNSSOuKEba+F5OaEU9x1p&#10;rAhuPzqhFyT5gGc8DtTluC8ZVRiqpPyYJ6URZBz2pWA17KJYojnBY+tV71FVdxogm556Cqd/dec+&#10;0H5RSS1Aps25valCg96b1oHFUA5Rhq2bG8DBYpOq9/UVjJ97mnbiJMqcEUAbEr7pmYjjtiom+gFO&#10;gmW5hCnh16io5FO4AnipGODcdTxT1bFQ9OSeKAT2OaAJSec03gjg0gbjBHNG7imBLb3U1pMskTlW&#10;B6g12ena3barD5FxhZsYwf4q4Qtk+lOR2RgVYgg8EUDTsd5PDLbMcAtF29RVV3IOc1S0zxKUAgvM&#10;sOgk/wAa1JooZYzNA42HoQeP/rUiyqt0y5HUehqVbhGwDx7VSdSpwwOahZiOlAGpJDHMm0hWHbiq&#10;kumxlAAoXHUiq4nZBnJ/OpBdsV4b9aQWIW0tcH5mB/OoJNNfnbISPcYq79qJXB6017n5wOcUBZFH&#10;+zZc4Dip00lj96X8hU32xVPLfhT1v1HvQrjsgh0mFR+8LMa0YIkhj2RqVBqkNQUc046kpH3se9Ow&#10;r2L6WyrIZMHcRjJNWkUdSQBWONRz/FQb/wD2v1oC5u+dHFzVaW/9Kxnvs9Wqu95xgdfWnYTZpzXp&#10;5y1Z8t27dDgVUeUk9aj35HrTJuTtKT6mm5NRjNPjR5GCopZie1K4xcY5NW7KwudSmEVvEzk9cDit&#10;PTNBDTxSaidtuXAb5tuB61bvfElpok7waKVYxthZu34etLVjSJorfT/D0PnXLLJcgcLXNarr0+pS&#10;ZZtsY+6g6Csy7v5ruZpZpGZ3JYkn1qsWz3p7ATNMSCP1pgfb369aiLY70nvn9aQiyzgD5jyeQBTA&#10;wzwKhzz6mh2ESb26UwJ3nW3Qs34D1NY08rTOWY80XEzTSbieOw9KiyaES2AWl20mTSgmmADNPU4O&#10;VPOaRfelxjntQBZW6IUAjmiq+DRQBN3pB1oooEN7Gm+tFFAEq/6tqpN940UUkAg70o60UUwJO4oX&#10;75oooAltSReJg960pwMjiiikxlY9qUfdoopANH+sNSt0P0oooAgPT8ak7UUUwBetb/hp2+0FNx2H&#10;queKKKRaNNRl5lP3R0FZ8v8ArKKKQLYgfqaYnU0UUFDQTu6mpm5PNFFMCpJ980A9PrRRQSGTg896&#10;VScnmiigB2eKB0oooE9hx6VG33hRRVCYU9ev40UUmJE7/drqNCij8uM+WuSeeKKKksyvE8shumXe&#10;20dBngVzD/eooqnsDGH7/wCNGaKKQhjdqO340UUAO/jFV9QJ3RjtjpRRTQin6UelFFMQUetFFAD+&#10;wqTtRRQAw9aKKKAP/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cSgAAW0NvbnRlbnRfVHlwZXNdLnhtbFBLAQIU&#10;AAoAAAAAAIdO4kAAAAAAAAAAAAAAAAAGAAAAAAAAAAAAEAAAAGtIAABfcmVscy9QSwECFAAUAAAA&#10;CACHTuJAihRmPNEAAACUAQAACwAAAAAAAAABACAAAACPSAAAX3JlbHMvLnJlbHNQSwECFAAKAAAA&#10;AACHTuJAAAAAAAAAAAAAAAAABAAAAAAAAAAAABAAAAAAAAAAZHJzL1BLAQIUAAoAAAAAAIdO4kAA&#10;AAAAAAAAAAAAAAAKAAAAAAAAAAAAEAAAAIlJAABkcnMvX3JlbHMvUEsBAhQAFAAAAAgAh07iQFhg&#10;sxu0AAAAIgEAABkAAAAAAAAAAQAgAAAAsUkAAGRycy9fcmVscy9lMm9Eb2MueG1sLnJlbHNQSwEC&#10;FAAUAAAACACHTuJARRCO/NQAAAAFAQAADwAAAAAAAAABACAAAAAiAAAAZHJzL2Rvd25yZXYueG1s&#10;UEsBAhQAFAAAAAgAh07iQGa3Ca1nAgAAEgUAAA4AAAAAAAAAAQAgAAAAIwEAAGRycy9lMm9Eb2Mu&#10;eG1sUEsBAhQACgAAAAAAh07iQAAAAAAAAAAAAAAAAAoAAAAAAAAAAAAQAAAAtgMAAGRycy9tZWRp&#10;YS9QSwECFAAUAAAACACHTuJAHCfo1FpEAABVRAAAFQAAAAAAAAABACAAAADeAwAAZHJzL21lZGlh&#10;L2ltYWdlMS5qcGVnUEsFBgAAAAAKAAoAUwIAAOBLAAAAAA==&#10;">
                      <v:fill type="frame" on="t" o:title="PICT6149" focussize="0,0" recolor="t" rotate="t" r:id="rId24"/>
                      <v:stroke weight="2.25pt" color="#990033" joinstyle="miter"/>
                      <v:imagedata blacklevel="3277f" o:title=""/>
                      <o:lock v:ext="edit" grouping="t" rotation="t" aspectratio="t"/>
                      <w10:wrap type="none"/>
                      <w10:anchorlock/>
                    </v:rect>
                  </w:pict>
                </mc:Fallback>
              </mc:AlternateContent>
            </w:r>
            <w:r>
              <w:rPr>
                <w:rFonts w:hint="eastAsia" w:ascii="仿宋" w:hAnsi="仿宋" w:eastAsia="仿宋" w:cs="仿宋"/>
                <w:sz w:val="24"/>
                <w:szCs w:val="24"/>
                <w:lang w:eastAsia="zh-CN"/>
              </w:rPr>
              <w:drawing>
                <wp:inline distT="0" distB="0" distL="114300" distR="114300">
                  <wp:extent cx="1619885" cy="1200150"/>
                  <wp:effectExtent l="0" t="0" r="18415" b="0"/>
                  <wp:docPr id="10" name="图片 17" descr="说明: C:\Users\wei\AppData\Local\Temp\企业微信截图_16303995805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说明: C:\Users\wei\AppData\Local\Temp\企业微信截图_16303995805876.png"/>
                          <pic:cNvPicPr>
                            <a:picLocks noChangeAspect="1"/>
                          </pic:cNvPicPr>
                        </pic:nvPicPr>
                        <pic:blipFill>
                          <a:blip r:embed="rId25"/>
                          <a:stretch>
                            <a:fillRect/>
                          </a:stretch>
                        </pic:blipFill>
                        <pic:spPr>
                          <a:xfrm>
                            <a:off x="0" y="0"/>
                            <a:ext cx="1619885" cy="12001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75105" cy="1273175"/>
                  <wp:effectExtent l="0" t="0" r="10795" b="317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26"/>
                          <a:stretch>
                            <a:fillRect/>
                          </a:stretch>
                        </pic:blipFill>
                        <pic:spPr>
                          <a:xfrm>
                            <a:off x="0" y="0"/>
                            <a:ext cx="1475105" cy="12731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066800" cy="1273175"/>
                  <wp:effectExtent l="0" t="0" r="0" b="3175"/>
                  <wp:docPr id="25" name="图片 19" descr="说明: C:\Users\wei\AppData\Local\Temp\企业微信截图_1630380892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说明: C:\Users\wei\AppData\Local\Temp\企业微信截图_16303808924681.png"/>
                          <pic:cNvPicPr>
                            <a:picLocks noChangeAspect="1"/>
                          </pic:cNvPicPr>
                        </pic:nvPicPr>
                        <pic:blipFill>
                          <a:blip r:embed="rId27"/>
                          <a:stretch>
                            <a:fillRect/>
                          </a:stretch>
                        </pic:blipFill>
                        <pic:spPr>
                          <a:xfrm>
                            <a:off x="0" y="0"/>
                            <a:ext cx="1066800" cy="12731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999490" cy="1586230"/>
                  <wp:effectExtent l="0" t="0" r="10160" b="1397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28"/>
                          <a:srcRect r="63689"/>
                          <a:stretch>
                            <a:fillRect/>
                          </a:stretch>
                        </pic:blipFill>
                        <pic:spPr>
                          <a:xfrm>
                            <a:off x="0" y="0"/>
                            <a:ext cx="999490" cy="1586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正确图例</w:t>
            </w:r>
          </w:p>
        </w:tc>
        <w:tc>
          <w:tcPr>
            <w:tcW w:w="9035" w:type="dxa"/>
            <w:vAlign w:val="center"/>
          </w:tcPr>
          <w:p>
            <w:pPr>
              <w:jc w:val="center"/>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343660" cy="1054100"/>
                  <wp:effectExtent l="0" t="0" r="8890" b="12700"/>
                  <wp:docPr id="20" name="图片 21" descr="说明: C:\Users\wei\AppData\Local\Temp\企业微信截图_1630390254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说明: C:\Users\wei\AppData\Local\Temp\企业微信截图_16303902541612.png"/>
                          <pic:cNvPicPr>
                            <a:picLocks noChangeAspect="1"/>
                          </pic:cNvPicPr>
                        </pic:nvPicPr>
                        <pic:blipFill>
                          <a:blip r:embed="rId29"/>
                          <a:stretch>
                            <a:fillRect/>
                          </a:stretch>
                        </pic:blipFill>
                        <pic:spPr>
                          <a:xfrm>
                            <a:off x="0" y="0"/>
                            <a:ext cx="1343660" cy="105410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143635" cy="1009015"/>
                  <wp:effectExtent l="0" t="0" r="18415" b="635"/>
                  <wp:docPr id="34" name="图片 22" descr="说明: C:\Users\wei\AppData\Local\Temp\企业微信截图_1630389481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说明: C:\Users\wei\AppData\Local\Temp\企业微信截图_16303894813530.png"/>
                          <pic:cNvPicPr>
                            <a:picLocks noChangeAspect="1"/>
                          </pic:cNvPicPr>
                        </pic:nvPicPr>
                        <pic:blipFill>
                          <a:blip r:embed="rId30"/>
                          <a:stretch>
                            <a:fillRect/>
                          </a:stretch>
                        </pic:blipFill>
                        <pic:spPr>
                          <a:xfrm>
                            <a:off x="0" y="0"/>
                            <a:ext cx="1143635" cy="100901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27480" cy="1096010"/>
                  <wp:effectExtent l="0" t="0" r="1270" b="8890"/>
                  <wp:docPr id="27" name="图片 23" descr="说明: C:\Users\wei\AppData\Local\Temp\企业微信截图_16303893256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说明: C:\Users\wei\AppData\Local\Temp\企业微信截图_16303893256553.png"/>
                          <pic:cNvPicPr>
                            <a:picLocks noChangeAspect="1"/>
                          </pic:cNvPicPr>
                        </pic:nvPicPr>
                        <pic:blipFill>
                          <a:blip r:embed="rId31"/>
                          <a:stretch>
                            <a:fillRect/>
                          </a:stretch>
                        </pic:blipFill>
                        <pic:spPr>
                          <a:xfrm>
                            <a:off x="0" y="0"/>
                            <a:ext cx="1427480" cy="109601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520190" cy="1134110"/>
                  <wp:effectExtent l="0" t="0" r="3810" b="8890"/>
                  <wp:docPr id="11" name="图片 24" descr="说明: C:\Users\wei\AppData\Local\Temp\企业微信截图_16303887805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说明: C:\Users\wei\AppData\Local\Temp\企业微信截图_16303887805208.png"/>
                          <pic:cNvPicPr>
                            <a:picLocks noChangeAspect="1"/>
                          </pic:cNvPicPr>
                        </pic:nvPicPr>
                        <pic:blipFill>
                          <a:blip r:embed="rId32"/>
                          <a:stretch>
                            <a:fillRect/>
                          </a:stretch>
                        </pic:blipFill>
                        <pic:spPr>
                          <a:xfrm>
                            <a:off x="0" y="0"/>
                            <a:ext cx="1520190" cy="1134110"/>
                          </a:xfrm>
                          <a:prstGeom prst="rect">
                            <a:avLst/>
                          </a:prstGeom>
                          <a:noFill/>
                          <a:ln>
                            <a:noFill/>
                          </a:ln>
                        </pic:spPr>
                      </pic:pic>
                    </a:graphicData>
                  </a:graphic>
                </wp:inline>
              </w:drawing>
            </w:r>
          </w:p>
          <w:p>
            <w:pPr>
              <w:jc w:val="center"/>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828800" cy="1271270"/>
                  <wp:effectExtent l="0" t="0" r="0" b="5080"/>
                  <wp:docPr id="5" name="图片 25" descr="说明: C:\Users\yang\AppData\Local\Temp\企业微信截图_1655808480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说明: C:\Users\yang\AppData\Local\Temp\企业微信截图_16558084803311.png"/>
                          <pic:cNvPicPr>
                            <a:picLocks noChangeAspect="1"/>
                          </pic:cNvPicPr>
                        </pic:nvPicPr>
                        <pic:blipFill>
                          <a:blip r:embed="rId33"/>
                          <a:stretch>
                            <a:fillRect/>
                          </a:stretch>
                        </pic:blipFill>
                        <pic:spPr>
                          <a:xfrm>
                            <a:off x="0" y="0"/>
                            <a:ext cx="1828800" cy="1271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错误图例</w:t>
            </w:r>
          </w:p>
        </w:tc>
        <w:tc>
          <w:tcPr>
            <w:tcW w:w="9035" w:type="dxa"/>
            <w:vAlign w:val="center"/>
          </w:tcPr>
          <w:p>
            <w:pPr>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70940" cy="955675"/>
                  <wp:effectExtent l="0" t="0" r="10160" b="15875"/>
                  <wp:docPr id="17" name="图片 26" descr="说明: C:\Users\wei\AppData\Local\Temp\企业微信截图_163039022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descr="说明: C:\Users\wei\AppData\Local\Temp\企业微信截图_1630390220612.png"/>
                          <pic:cNvPicPr>
                            <a:picLocks noChangeAspect="1"/>
                          </pic:cNvPicPr>
                        </pic:nvPicPr>
                        <pic:blipFill>
                          <a:blip r:embed="rId34"/>
                          <a:stretch>
                            <a:fillRect/>
                          </a:stretch>
                        </pic:blipFill>
                        <pic:spPr>
                          <a:xfrm>
                            <a:off x="0" y="0"/>
                            <a:ext cx="1170940" cy="9556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343025" cy="1152525"/>
                  <wp:effectExtent l="0" t="0" r="9525" b="9525"/>
                  <wp:docPr id="9" name="图片 27" descr="说明: C:\Users\wei\AppData\Local\Temp\企业微信截图_1630391081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说明: C:\Users\wei\AppData\Local\Temp\企业微信截图_16303910818113.png"/>
                          <pic:cNvPicPr>
                            <a:picLocks noChangeAspect="1"/>
                          </pic:cNvPicPr>
                        </pic:nvPicPr>
                        <pic:blipFill>
                          <a:blip r:embed="rId35"/>
                          <a:stretch>
                            <a:fillRect/>
                          </a:stretch>
                        </pic:blipFill>
                        <pic:spPr>
                          <a:xfrm>
                            <a:off x="0" y="0"/>
                            <a:ext cx="1343025" cy="115252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899285" cy="1282700"/>
                  <wp:effectExtent l="0" t="0" r="5715" b="12700"/>
                  <wp:docPr id="21" name="图片 28" descr="说明: C:\Users\yang\AppData\Local\Temp\企业微信截图_16558087942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说明: C:\Users\yang\AppData\Local\Temp\企业微信截图_16558087942716.png"/>
                          <pic:cNvPicPr>
                            <a:picLocks noChangeAspect="1"/>
                          </pic:cNvPicPr>
                        </pic:nvPicPr>
                        <pic:blipFill>
                          <a:blip r:embed="rId36"/>
                          <a:stretch>
                            <a:fillRect/>
                          </a:stretch>
                        </pic:blipFill>
                        <pic:spPr>
                          <a:xfrm>
                            <a:off x="0" y="0"/>
                            <a:ext cx="1899285" cy="1282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136" w:type="dxa"/>
            <w:gridSpan w:val="2"/>
            <w:vAlign w:val="center"/>
          </w:tcPr>
          <w:p>
            <w:pPr>
              <w:jc w:val="center"/>
              <w:rPr>
                <w:rFonts w:ascii="仿宋" w:hAnsi="仿宋" w:eastAsia="仿宋" w:cs="仿宋"/>
                <w:bCs/>
                <w:sz w:val="24"/>
                <w:szCs w:val="24"/>
                <w:lang w:eastAsia="zh-CN"/>
              </w:rPr>
            </w:pPr>
            <w:r>
              <w:rPr>
                <w:rFonts w:hint="eastAsia" w:ascii="仿宋" w:hAnsi="仿宋" w:eastAsia="仿宋" w:cs="仿宋"/>
                <w:b/>
                <w:bCs/>
                <w:sz w:val="24"/>
                <w:szCs w:val="24"/>
                <w:lang w:eastAsia="zh-CN"/>
              </w:rPr>
              <w:t>项目9：清洁（连接后）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要求</w:t>
            </w:r>
          </w:p>
        </w:tc>
        <w:tc>
          <w:tcPr>
            <w:tcW w:w="9035" w:type="dxa"/>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1.可接触到的焊接：生产前酸洗（食品级硝酸和氢氟酸混合物）。</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2.无法接触到的焊接：使用酸性钝化膏酸洗去油脂→水洗→食品级硝酸洗→酸性钝化膏酸洗外表面→冷水冲洗→ 吹干。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101" w:type="dxa"/>
            <w:vAlign w:val="center"/>
          </w:tcPr>
          <w:p>
            <w:pPr>
              <w:jc w:val="center"/>
              <w:rPr>
                <w:rFonts w:ascii="仿宋" w:hAnsi="仿宋" w:eastAsia="仿宋" w:cs="仿宋"/>
                <w:bCs/>
                <w:sz w:val="24"/>
                <w:szCs w:val="24"/>
              </w:rPr>
            </w:pPr>
            <w:r>
              <w:rPr>
                <w:rFonts w:hint="eastAsia" w:ascii="仿宋" w:hAnsi="仿宋" w:eastAsia="仿宋" w:cs="仿宋"/>
                <w:bCs/>
                <w:sz w:val="24"/>
                <w:szCs w:val="24"/>
              </w:rPr>
              <w:t>图例</w:t>
            </w:r>
          </w:p>
        </w:tc>
        <w:tc>
          <w:tcPr>
            <w:tcW w:w="9035" w:type="dxa"/>
            <w:vAlign w:val="center"/>
          </w:tcPr>
          <w:p>
            <w:pPr>
              <w:jc w:val="center"/>
              <w:rPr>
                <w:rFonts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2739390" cy="1439545"/>
                  <wp:effectExtent l="0" t="0" r="3810" b="8255"/>
                  <wp:docPr id="28" name="图片 29" descr="说明: C:\Users\yang\AppData\Local\Temp\企业微信截图_16581324468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说明: C:\Users\yang\AppData\Local\Temp\企业微信截图_16581324468762.png"/>
                          <pic:cNvPicPr>
                            <a:picLocks noChangeAspect="1"/>
                          </pic:cNvPicPr>
                        </pic:nvPicPr>
                        <pic:blipFill>
                          <a:blip r:embed="rId37"/>
                          <a:stretch>
                            <a:fillRect/>
                          </a:stretch>
                        </pic:blipFill>
                        <pic:spPr>
                          <a:xfrm>
                            <a:off x="0" y="0"/>
                            <a:ext cx="2739390"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0136" w:type="dxa"/>
            <w:gridSpan w:val="2"/>
            <w:vAlign w:val="center"/>
          </w:tcPr>
          <w:p>
            <w:pPr>
              <w:jc w:val="center"/>
              <w:rPr>
                <w:rFonts w:ascii="仿宋" w:hAnsi="仿宋" w:eastAsia="仿宋" w:cs="仿宋"/>
                <w:bCs/>
                <w:sz w:val="24"/>
                <w:szCs w:val="24"/>
              </w:rPr>
            </w:pPr>
            <w:r>
              <w:rPr>
                <w:rFonts w:hint="eastAsia" w:ascii="仿宋" w:hAnsi="仿宋" w:eastAsia="仿宋" w:cs="仿宋"/>
                <w:b/>
                <w:bCs/>
                <w:sz w:val="24"/>
                <w:szCs w:val="24"/>
              </w:rPr>
              <w:t>项目10：</w:t>
            </w:r>
            <w:r>
              <w:rPr>
                <w:rFonts w:hint="eastAsia" w:ascii="仿宋" w:hAnsi="仿宋" w:eastAsia="仿宋" w:cs="仿宋"/>
                <w:bCs/>
                <w:sz w:val="24"/>
                <w:szCs w:val="24"/>
              </w:rPr>
              <w:t>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要求</w:t>
            </w:r>
          </w:p>
        </w:tc>
        <w:tc>
          <w:tcPr>
            <w:tcW w:w="9035" w:type="dxa"/>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1.箱罐距地面&gt;50cm，距墙壁及箱罐间&gt;70cm，距屋顶&gt;1500cm，以上含保温层。</w:t>
            </w:r>
          </w:p>
          <w:p>
            <w:pPr>
              <w:rPr>
                <w:rFonts w:ascii="仿宋" w:hAnsi="仿宋" w:eastAsia="仿宋" w:cs="仿宋"/>
                <w:bCs/>
                <w:sz w:val="24"/>
                <w:szCs w:val="24"/>
                <w:lang w:eastAsia="zh-CN"/>
              </w:rPr>
            </w:pPr>
            <w:r>
              <w:rPr>
                <w:rFonts w:hint="eastAsia" w:ascii="仿宋" w:hAnsi="仿宋" w:eastAsia="仿宋" w:cs="仿宋"/>
                <w:bCs/>
                <w:sz w:val="24"/>
                <w:szCs w:val="24"/>
                <w:lang w:eastAsia="zh-CN"/>
              </w:rPr>
              <w:t>2. 室内给水管安装高度一般是在1.8M～2.1M之间。</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3.需贴合地面及墙壁的设备，不允许有间隙，采用密封胶等材质密封好。</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4.所有管路安装时，同一条管路的最低点均需设置排污阀，便于定期排污清理和管道清洗消毒。</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5.三通管、异径管等管件的安装必须保证不造成物料流动存在死角。</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6.所有管道、设备，在安装前，必须经过清洁干净，无杂物，无油污，验收合格后，方可进行安装。</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7.当管道穿越道路、墙体、楼板或构筑物时，应加设套管或砌筑涵洞进行保护，且应符合下列规定</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（1）管道任何焊缝不应设置在套管内</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（2）穿过墙体的套管长度为两端伸出墙各100mm</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（3）穿过楼板的套管应高出楼面50mm</w:t>
            </w:r>
          </w:p>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（4）管道与套管之间应用无害的矿棉不燃性材料填塞</w:t>
            </w:r>
          </w:p>
          <w:p>
            <w:pPr>
              <w:spacing w:line="400" w:lineRule="exact"/>
              <w:rPr>
                <w:rFonts w:ascii="仿宋" w:hAnsi="仿宋" w:eastAsia="仿宋" w:cs="仿宋"/>
                <w:b/>
                <w:bCs/>
                <w:sz w:val="24"/>
                <w:szCs w:val="24"/>
                <w:lang w:eastAsia="zh-CN"/>
              </w:rPr>
            </w:pPr>
            <w:r>
              <w:rPr>
                <w:rFonts w:hint="eastAsia" w:ascii="仿宋" w:hAnsi="仿宋" w:eastAsia="仿宋" w:cs="仿宋"/>
                <w:bCs/>
                <w:sz w:val="24"/>
                <w:szCs w:val="24"/>
                <w:lang w:eastAsia="zh-CN"/>
              </w:rPr>
              <w:t>8.管道安装有一定的坡度，气体及清汁管道坡度应在0.3%～0.5%，糖浆、糖蜜及糖膏的物料坡度不低于1%，便于物料流动，防止物料残留。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正确图例</w:t>
            </w:r>
          </w:p>
        </w:tc>
        <w:tc>
          <w:tcPr>
            <w:tcW w:w="9035" w:type="dxa"/>
            <w:vAlign w:val="center"/>
          </w:tcPr>
          <w:p>
            <w:pPr>
              <w:rPr>
                <w:rFonts w:ascii="仿宋" w:hAnsi="仿宋" w:eastAsia="仿宋" w:cs="仿宋"/>
                <w:b/>
                <w:bCs/>
                <w:sz w:val="24"/>
                <w:szCs w:val="24"/>
              </w:rPr>
            </w:pPr>
            <w:r>
              <w:rPr>
                <w:rFonts w:hint="eastAsia" w:ascii="仿宋" w:hAnsi="仿宋" w:eastAsia="仿宋" w:cs="仿宋"/>
                <w:b/>
                <w:sz w:val="24"/>
                <w:szCs w:val="24"/>
                <w:lang w:eastAsia="zh-CN"/>
              </w:rPr>
              <w:drawing>
                <wp:inline distT="0" distB="0" distL="114300" distR="114300">
                  <wp:extent cx="829310" cy="1991360"/>
                  <wp:effectExtent l="0" t="0" r="8890" b="889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38"/>
                          <a:stretch>
                            <a:fillRect/>
                          </a:stretch>
                        </pic:blipFill>
                        <pic:spPr>
                          <a:xfrm>
                            <a:off x="0" y="0"/>
                            <a:ext cx="829310" cy="199136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428875" cy="1732915"/>
                  <wp:effectExtent l="0" t="0" r="9525" b="635"/>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39"/>
                          <a:stretch>
                            <a:fillRect/>
                          </a:stretch>
                        </pic:blipFill>
                        <pic:spPr>
                          <a:xfrm>
                            <a:off x="0" y="0"/>
                            <a:ext cx="2428875" cy="1732915"/>
                          </a:xfrm>
                          <a:prstGeom prst="rect">
                            <a:avLst/>
                          </a:prstGeom>
                          <a:noFill/>
                          <a:ln>
                            <a:noFill/>
                          </a:ln>
                        </pic:spPr>
                      </pic:pic>
                    </a:graphicData>
                  </a:graphic>
                </wp:inline>
              </w:drawing>
            </w:r>
            <w:r>
              <w:rPr>
                <w:rFonts w:hint="eastAsia" w:ascii="仿宋" w:hAnsi="仿宋" w:eastAsia="仿宋" w:cs="仿宋"/>
                <w:b/>
                <w:sz w:val="24"/>
                <w:szCs w:val="24"/>
                <w:lang w:eastAsia="zh-CN"/>
              </w:rPr>
              <w:drawing>
                <wp:inline distT="0" distB="0" distL="114300" distR="114300">
                  <wp:extent cx="2047875" cy="2351405"/>
                  <wp:effectExtent l="0" t="0" r="9525" b="10795"/>
                  <wp:docPr id="18" name="图片 32" descr="说明: 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说明: R-C.jpg"/>
                          <pic:cNvPicPr>
                            <a:picLocks noChangeAspect="1"/>
                          </pic:cNvPicPr>
                        </pic:nvPicPr>
                        <pic:blipFill>
                          <a:blip r:embed="rId40"/>
                          <a:stretch>
                            <a:fillRect/>
                          </a:stretch>
                        </pic:blipFill>
                        <pic:spPr>
                          <a:xfrm>
                            <a:off x="0" y="0"/>
                            <a:ext cx="2047875" cy="2351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错误图例</w:t>
            </w:r>
          </w:p>
        </w:tc>
        <w:tc>
          <w:tcPr>
            <w:tcW w:w="9035" w:type="dxa"/>
            <w:vAlign w:val="center"/>
          </w:tcPr>
          <w:p>
            <w:pPr>
              <w:rPr>
                <w:rFonts w:ascii="仿宋" w:hAnsi="仿宋" w:eastAsia="仿宋" w:cs="仿宋"/>
                <w:b/>
                <w:bCs/>
                <w:sz w:val="24"/>
                <w:szCs w:val="24"/>
              </w:rPr>
            </w:pPr>
            <w:r>
              <w:rPr>
                <w:rFonts w:hint="eastAsia" w:ascii="仿宋" w:hAnsi="仿宋" w:eastAsia="仿宋" w:cs="仿宋"/>
                <w:b/>
                <w:sz w:val="24"/>
                <w:szCs w:val="24"/>
                <w:lang w:eastAsia="zh-CN"/>
              </w:rPr>
              <w:drawing>
                <wp:inline distT="0" distB="0" distL="114300" distR="114300">
                  <wp:extent cx="1124585" cy="2113915"/>
                  <wp:effectExtent l="0" t="0" r="18415" b="63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1"/>
                          <a:stretch>
                            <a:fillRect/>
                          </a:stretch>
                        </pic:blipFill>
                        <pic:spPr>
                          <a:xfrm>
                            <a:off x="0" y="0"/>
                            <a:ext cx="1124585" cy="2113915"/>
                          </a:xfrm>
                          <a:prstGeom prst="rect">
                            <a:avLst/>
                          </a:prstGeom>
                          <a:noFill/>
                          <a:ln>
                            <a:noFill/>
                          </a:ln>
                        </pic:spPr>
                      </pic:pic>
                    </a:graphicData>
                  </a:graphic>
                </wp:inline>
              </w:drawing>
            </w:r>
            <w:r>
              <w:rPr>
                <w:rFonts w:hint="eastAsia" w:ascii="仿宋" w:hAnsi="仿宋" w:eastAsia="仿宋" w:cs="仿宋"/>
                <w:sz w:val="24"/>
                <w:szCs w:val="24"/>
              </w:rPr>
              <w:t>4</w:t>
            </w:r>
            <w:r>
              <w:rPr>
                <w:rFonts w:hint="eastAsia" w:ascii="仿宋" w:hAnsi="仿宋" w:eastAsia="仿宋" w:cs="仿宋"/>
                <w:sz w:val="24"/>
                <w:szCs w:val="24"/>
                <w:lang w:eastAsia="zh-CN"/>
              </w:rPr>
              <w:drawing>
                <wp:inline distT="0" distB="0" distL="114300" distR="114300">
                  <wp:extent cx="4039870" cy="1439545"/>
                  <wp:effectExtent l="0" t="0" r="17780" b="8255"/>
                  <wp:docPr id="40" name="图片 34" descr="说明: C:\Users\yang\AppData\Local\Temp\企业微信截图_1658111839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descr="说明: C:\Users\yang\AppData\Local\Temp\企业微信截图_1658111839847.png"/>
                          <pic:cNvPicPr>
                            <a:picLocks noChangeAspect="1"/>
                          </pic:cNvPicPr>
                        </pic:nvPicPr>
                        <pic:blipFill>
                          <a:blip r:embed="rId42"/>
                          <a:stretch>
                            <a:fillRect/>
                          </a:stretch>
                        </pic:blipFill>
                        <pic:spPr>
                          <a:xfrm>
                            <a:off x="0" y="0"/>
                            <a:ext cx="4039870"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图例</w:t>
            </w:r>
          </w:p>
        </w:tc>
        <w:tc>
          <w:tcPr>
            <w:tcW w:w="9035" w:type="dxa"/>
            <w:vAlign w:val="center"/>
          </w:tcPr>
          <w:p>
            <w:pPr>
              <w:jc w:val="center"/>
              <w:rPr>
                <w:rFonts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1849755" cy="1162050"/>
                  <wp:effectExtent l="0" t="0" r="17145" b="0"/>
                  <wp:docPr id="42" name="图片 35" descr="说明: C:\Users\wei\AppData\Local\Temp\企业微信截图_1630382688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descr="说明: C:\Users\wei\AppData\Local\Temp\企业微信截图_16303826881261.png"/>
                          <pic:cNvPicPr>
                            <a:picLocks noChangeAspect="1"/>
                          </pic:cNvPicPr>
                        </pic:nvPicPr>
                        <pic:blipFill>
                          <a:blip r:embed="rId43"/>
                          <a:stretch>
                            <a:fillRect/>
                          </a:stretch>
                        </pic:blipFill>
                        <pic:spPr>
                          <a:xfrm>
                            <a:off x="0" y="0"/>
                            <a:ext cx="1849755" cy="1162050"/>
                          </a:xfrm>
                          <a:prstGeom prst="rect">
                            <a:avLst/>
                          </a:prstGeom>
                          <a:noFill/>
                          <a:ln>
                            <a:noFill/>
                          </a:ln>
                        </pic:spPr>
                      </pic:pic>
                    </a:graphicData>
                  </a:graphic>
                </wp:inline>
              </w:drawing>
            </w:r>
            <w:r>
              <w:rPr>
                <w:rFonts w:hint="eastAsia" w:ascii="仿宋" w:hAnsi="仿宋" w:eastAsia="仿宋" w:cs="仿宋"/>
                <w:b/>
                <w:sz w:val="24"/>
                <w:szCs w:val="24"/>
                <w:lang w:eastAsia="zh-CN"/>
              </w:rPr>
              <w:drawing>
                <wp:inline distT="0" distB="0" distL="114300" distR="114300">
                  <wp:extent cx="2171700" cy="1495425"/>
                  <wp:effectExtent l="0" t="0" r="0" b="9525"/>
                  <wp:docPr id="39" name="图片 36" descr="说明: C:\Users\wei\AppData\Local\Temp\企业微信截图_16303827466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说明: C:\Users\wei\AppData\Local\Temp\企业微信截图_16303827466710.png"/>
                          <pic:cNvPicPr>
                            <a:picLocks noChangeAspect="1"/>
                          </pic:cNvPicPr>
                        </pic:nvPicPr>
                        <pic:blipFill>
                          <a:blip r:embed="rId44"/>
                          <a:stretch>
                            <a:fillRect/>
                          </a:stretch>
                        </pic:blipFill>
                        <pic:spPr>
                          <a:xfrm>
                            <a:off x="0" y="0"/>
                            <a:ext cx="2171700" cy="1495425"/>
                          </a:xfrm>
                          <a:prstGeom prst="rect">
                            <a:avLst/>
                          </a:prstGeom>
                          <a:noFill/>
                          <a:ln>
                            <a:noFill/>
                          </a:ln>
                        </pic:spPr>
                      </pic:pic>
                    </a:graphicData>
                  </a:graphic>
                </wp:inline>
              </w:drawing>
            </w:r>
          </w:p>
          <w:p>
            <w:pPr>
              <w:jc w:val="center"/>
              <w:rPr>
                <w:rFonts w:ascii="仿宋" w:hAnsi="仿宋" w:eastAsia="仿宋" w:cs="仿宋"/>
                <w:b/>
                <w:bCs/>
                <w:sz w:val="24"/>
                <w:szCs w:val="24"/>
              </w:rPr>
            </w:pPr>
            <w:r>
              <w:rPr>
                <w:rFonts w:hint="eastAsia" w:ascii="仿宋" w:hAnsi="仿宋" w:eastAsia="仿宋" w:cs="仿宋"/>
                <w:b/>
                <w:bCs/>
                <w:sz w:val="24"/>
                <w:szCs w:val="24"/>
              </w:rPr>
              <w:t>正确案例            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图例</w:t>
            </w:r>
          </w:p>
        </w:tc>
        <w:tc>
          <w:tcPr>
            <w:tcW w:w="9035" w:type="dxa"/>
            <w:vAlign w:val="center"/>
          </w:tcPr>
          <w:p>
            <w:pPr>
              <w:jc w:val="center"/>
              <w:rPr>
                <w:rFonts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2298700" cy="1932940"/>
                  <wp:effectExtent l="0" t="0" r="6350" b="10160"/>
                  <wp:docPr id="37" name="图片 37" descr="说明: C:\Users\yang\AppData\Local\Temp\企业微信截图_163118310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说明: C:\Users\yang\AppData\Local\Temp\企业微信截图_1631183101350.png"/>
                          <pic:cNvPicPr>
                            <a:picLocks noChangeAspect="1"/>
                          </pic:cNvPicPr>
                        </pic:nvPicPr>
                        <pic:blipFill>
                          <a:blip r:embed="rId45"/>
                          <a:stretch>
                            <a:fillRect/>
                          </a:stretch>
                        </pic:blipFill>
                        <pic:spPr>
                          <a:xfrm>
                            <a:off x="0" y="0"/>
                            <a:ext cx="2298700" cy="193294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637790" cy="1678305"/>
                  <wp:effectExtent l="0" t="0" r="10160" b="17145"/>
                  <wp:docPr id="38" name="图片 38" descr="说明: C:\Users\yang\AppData\Local\Temp\企业微信截图_16311830952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C:\Users\yang\AppData\Local\Temp\企业微信截图_16311830952585.png"/>
                          <pic:cNvPicPr>
                            <a:picLocks noChangeAspect="1"/>
                          </pic:cNvPicPr>
                        </pic:nvPicPr>
                        <pic:blipFill>
                          <a:blip r:embed="rId46"/>
                          <a:stretch>
                            <a:fillRect/>
                          </a:stretch>
                        </pic:blipFill>
                        <pic:spPr>
                          <a:xfrm>
                            <a:off x="0" y="0"/>
                            <a:ext cx="2637790" cy="1678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图例</w:t>
            </w:r>
          </w:p>
        </w:tc>
        <w:tc>
          <w:tcPr>
            <w:tcW w:w="9035" w:type="dxa"/>
            <w:vAlign w:val="center"/>
          </w:tcPr>
          <w:p>
            <w:pPr>
              <w:jc w:val="center"/>
              <w:rPr>
                <w:rFonts w:ascii="仿宋" w:hAnsi="仿宋" w:eastAsia="仿宋" w:cs="仿宋"/>
                <w:sz w:val="24"/>
                <w:szCs w:val="24"/>
              </w:rPr>
            </w:pPr>
            <w:r>
              <w:rPr>
                <w:rFonts w:hint="eastAsia" w:ascii="仿宋" w:hAnsi="仿宋" w:eastAsia="仿宋" w:cs="仿宋"/>
                <w:b/>
                <w:sz w:val="24"/>
                <w:szCs w:val="24"/>
                <w:lang w:eastAsia="zh-CN"/>
              </w:rPr>
              <w:drawing>
                <wp:inline distT="0" distB="0" distL="114300" distR="114300">
                  <wp:extent cx="1183640" cy="1357630"/>
                  <wp:effectExtent l="0" t="0" r="16510" b="13970"/>
                  <wp:docPr id="41" name="图片 39" descr="说明: C:\Users\wei\AppData\Local\Temp\企业微信截图_16303973439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说明: C:\Users\wei\AppData\Local\Temp\企业微信截图_16303973439482.png"/>
                          <pic:cNvPicPr>
                            <a:picLocks noChangeAspect="1"/>
                          </pic:cNvPicPr>
                        </pic:nvPicPr>
                        <pic:blipFill>
                          <a:blip r:embed="rId47"/>
                          <a:stretch>
                            <a:fillRect/>
                          </a:stretch>
                        </pic:blipFill>
                        <pic:spPr>
                          <a:xfrm>
                            <a:off x="0" y="0"/>
                            <a:ext cx="1183640" cy="135763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304290" cy="1799590"/>
                  <wp:effectExtent l="0" t="0" r="10160" b="10160"/>
                  <wp:docPr id="36" name="图片 40" descr="说明: C:\Users\yang\AppData\Local\Temp\企业微信截图_16558092279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说明: C:\Users\yang\AppData\Local\Temp\企业微信截图_16558092279602.png"/>
                          <pic:cNvPicPr>
                            <a:picLocks noChangeAspect="1"/>
                          </pic:cNvPicPr>
                        </pic:nvPicPr>
                        <pic:blipFill>
                          <a:blip r:embed="rId48"/>
                          <a:stretch>
                            <a:fillRect/>
                          </a:stretch>
                        </pic:blipFill>
                        <pic:spPr>
                          <a:xfrm>
                            <a:off x="0" y="0"/>
                            <a:ext cx="1304290" cy="1799590"/>
                          </a:xfrm>
                          <a:prstGeom prst="rect">
                            <a:avLst/>
                          </a:prstGeom>
                          <a:noFill/>
                          <a:ln>
                            <a:noFill/>
                          </a:ln>
                        </pic:spPr>
                      </pic:pic>
                    </a:graphicData>
                  </a:graphic>
                </wp:inline>
              </w:drawing>
            </w:r>
          </w:p>
          <w:p>
            <w:pPr>
              <w:ind w:firstLine="840" w:firstLineChars="350"/>
              <w:rPr>
                <w:rFonts w:ascii="仿宋" w:hAnsi="仿宋" w:eastAsia="仿宋" w:cs="仿宋"/>
                <w:sz w:val="24"/>
                <w:szCs w:val="24"/>
                <w:lang w:eastAsia="zh-CN"/>
              </w:rPr>
            </w:pPr>
            <w:r>
              <w:rPr>
                <w:rFonts w:hint="eastAsia" w:ascii="仿宋" w:hAnsi="仿宋" w:eastAsia="仿宋" w:cs="仿宋"/>
                <w:sz w:val="24"/>
                <w:szCs w:val="24"/>
                <w:lang w:eastAsia="zh-CN"/>
              </w:rPr>
              <w:t>穿墙和穿楼板时要做套管      CIP罐安装注意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101" w:type="dxa"/>
            <w:vAlign w:val="center"/>
          </w:tcPr>
          <w:p>
            <w:pPr>
              <w:jc w:val="center"/>
              <w:rPr>
                <w:rFonts w:ascii="仿宋" w:hAnsi="仿宋" w:eastAsia="仿宋" w:cs="仿宋"/>
                <w:b/>
                <w:bCs/>
                <w:sz w:val="24"/>
                <w:szCs w:val="24"/>
                <w:lang w:eastAsia="zh-CN"/>
              </w:rPr>
            </w:pPr>
          </w:p>
        </w:tc>
        <w:tc>
          <w:tcPr>
            <w:tcW w:w="9035"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项目11：其它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要求</w:t>
            </w:r>
          </w:p>
        </w:tc>
        <w:tc>
          <w:tcPr>
            <w:tcW w:w="9035" w:type="dxa"/>
            <w:vAlign w:val="center"/>
          </w:tcPr>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1.与产品接触的水、气、物料必须按食品安全或异物管控需求在流程中安装合适精度的过滤装置；直接或间接给产品带来异物风险的放排空装置必须安装过滤或止回装置，过滤装置精度以工艺需求为准。</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2.设备设施要做好本体密封、隔绝污染源进入，不产生污染源，结构应有利于排污和清洗的需要。</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 xml:space="preserve"> 3.转动装置的转动部位与设备本体交叉连接点要做好密封，可使用机械密封（例如泵类等），也可以用气密封（例如卸料器等）</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4.与产品接触的轴承都应该为自润滑型，产品区域的润滑型轴承都需要有可靠的密封以防异物污染，轴承尽可能（除非设计条件受限，原则上必须）设置在设备外部，避免磨损使产品受污染。</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5.支撑固定装置要求表面或内部没有水或污染物存留，应提供足够的清洗和检查空间，便于对支撑装置范围内进行有效清洗和检查。</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6.设备及附属设备禁止涂漆，避免使用粘贴材料，如必须使用，也应使用食品级。</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7容器的封头应采用折边结构，过渡圆弧不应小于15mm，采用冷旋压或冷模压方式加工。</w:t>
            </w:r>
          </w:p>
        </w:tc>
      </w:tr>
    </w:tbl>
    <w:p>
      <w:pPr>
        <w:spacing w:line="460" w:lineRule="exact"/>
        <w:ind w:firstLine="482" w:firstLineChars="200"/>
        <w:rPr>
          <w:rFonts w:ascii="仿宋" w:hAnsi="仿宋" w:eastAsia="仿宋" w:cs="仿宋"/>
          <w:b/>
          <w:sz w:val="24"/>
          <w:szCs w:val="24"/>
          <w:lang w:eastAsia="zh-CN"/>
        </w:rPr>
      </w:pPr>
      <w:r>
        <w:rPr>
          <w:rFonts w:hint="eastAsia" w:ascii="仿宋" w:hAnsi="仿宋" w:eastAsia="仿宋" w:cs="仿宋"/>
          <w:b/>
          <w:sz w:val="24"/>
          <w:szCs w:val="24"/>
          <w:lang w:eastAsia="zh-CN"/>
        </w:rPr>
        <w:t xml:space="preserve">第六条 验收 </w:t>
      </w:r>
    </w:p>
    <w:p>
      <w:pPr>
        <w:spacing w:line="460" w:lineRule="exact"/>
        <w:ind w:firstLine="640"/>
        <w:rPr>
          <w:rFonts w:ascii="仿宋" w:hAnsi="仿宋" w:eastAsia="仿宋" w:cs="仿宋"/>
          <w:sz w:val="24"/>
          <w:szCs w:val="24"/>
          <w:lang w:eastAsia="zh-CN"/>
        </w:rPr>
      </w:pPr>
      <w:r>
        <w:rPr>
          <w:rFonts w:hint="eastAsia" w:ascii="仿宋" w:hAnsi="仿宋" w:eastAsia="仿宋" w:cs="仿宋"/>
          <w:sz w:val="24"/>
          <w:szCs w:val="24"/>
          <w:lang w:eastAsia="zh-CN"/>
        </w:rPr>
        <w:t>验收由车间与品控安排人员，一起对每一个项目步骤进行验收。</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23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center"/>
              <w:rPr>
                <w:rFonts w:ascii="仿宋" w:hAnsi="仿宋" w:eastAsia="仿宋" w:cs="仿宋"/>
                <w:sz w:val="24"/>
                <w:szCs w:val="24"/>
              </w:rPr>
            </w:pPr>
            <w:r>
              <w:rPr>
                <w:rFonts w:hint="eastAsia" w:ascii="仿宋" w:hAnsi="仿宋" w:eastAsia="仿宋" w:cs="仿宋"/>
                <w:sz w:val="24"/>
                <w:szCs w:val="24"/>
              </w:rPr>
              <w:t>验收类别</w:t>
            </w:r>
          </w:p>
        </w:tc>
        <w:tc>
          <w:tcPr>
            <w:tcW w:w="6237" w:type="dxa"/>
            <w:vAlign w:val="center"/>
          </w:tcPr>
          <w:p>
            <w:pPr>
              <w:jc w:val="center"/>
              <w:rPr>
                <w:rFonts w:ascii="仿宋" w:hAnsi="仿宋" w:eastAsia="仿宋" w:cs="仿宋"/>
                <w:sz w:val="24"/>
                <w:szCs w:val="24"/>
              </w:rPr>
            </w:pPr>
            <w:r>
              <w:rPr>
                <w:rFonts w:hint="eastAsia" w:ascii="仿宋" w:hAnsi="仿宋" w:eastAsia="仿宋" w:cs="仿宋"/>
                <w:sz w:val="24"/>
                <w:szCs w:val="24"/>
              </w:rPr>
              <w:t>验收要求</w:t>
            </w:r>
          </w:p>
        </w:tc>
        <w:tc>
          <w:tcPr>
            <w:tcW w:w="1944" w:type="dxa"/>
            <w:vAlign w:val="center"/>
          </w:tcPr>
          <w:p>
            <w:pPr>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center"/>
              <w:rPr>
                <w:rFonts w:ascii="仿宋" w:hAnsi="仿宋" w:eastAsia="仿宋" w:cs="仿宋"/>
                <w:sz w:val="24"/>
                <w:szCs w:val="24"/>
              </w:rPr>
            </w:pPr>
            <w:r>
              <w:rPr>
                <w:rFonts w:hint="eastAsia" w:ascii="仿宋" w:hAnsi="仿宋" w:eastAsia="仿宋" w:cs="仿宋"/>
                <w:sz w:val="24"/>
                <w:szCs w:val="24"/>
              </w:rPr>
              <w:t>到货验收</w:t>
            </w:r>
          </w:p>
        </w:tc>
        <w:tc>
          <w:tcPr>
            <w:tcW w:w="6237"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按照以上项目1、2、3、11要求进行验收，同时对设施的焊缝、表面粗糙度进行验收。</w:t>
            </w:r>
          </w:p>
        </w:tc>
        <w:tc>
          <w:tcPr>
            <w:tcW w:w="1944" w:type="dxa"/>
            <w:vAlign w:val="center"/>
          </w:tcPr>
          <w:p>
            <w:pPr>
              <w:jc w:val="center"/>
              <w:rPr>
                <w:rFonts w:ascii="仿宋" w:hAnsi="仿宋" w:eastAsia="仿宋" w:cs="仿宋"/>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center"/>
              <w:rPr>
                <w:rFonts w:ascii="仿宋" w:hAnsi="仿宋" w:eastAsia="仿宋" w:cs="仿宋"/>
                <w:sz w:val="24"/>
                <w:szCs w:val="24"/>
              </w:rPr>
            </w:pPr>
            <w:r>
              <w:rPr>
                <w:rFonts w:hint="eastAsia" w:ascii="仿宋" w:hAnsi="仿宋" w:eastAsia="仿宋" w:cs="仿宋"/>
                <w:sz w:val="24"/>
                <w:szCs w:val="24"/>
              </w:rPr>
              <w:t>过程验收</w:t>
            </w:r>
          </w:p>
        </w:tc>
        <w:tc>
          <w:tcPr>
            <w:tcW w:w="6237"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按照以上项目4～11要求进行验收，同时要求焊缝验收时要求画图做好编号，逐一验收，并与照片一起形成“XX项目制造安装要求”验收电子记录表和纸质一起存档后存档。</w:t>
            </w:r>
          </w:p>
        </w:tc>
        <w:tc>
          <w:tcPr>
            <w:tcW w:w="1944" w:type="dxa"/>
            <w:vAlign w:val="center"/>
          </w:tcPr>
          <w:p>
            <w:pPr>
              <w:jc w:val="center"/>
              <w:rPr>
                <w:rFonts w:ascii="仿宋" w:hAnsi="仿宋" w:eastAsia="仿宋" w:cs="仿宋"/>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center"/>
              <w:rPr>
                <w:rFonts w:ascii="仿宋" w:hAnsi="仿宋" w:eastAsia="仿宋" w:cs="仿宋"/>
                <w:sz w:val="24"/>
                <w:szCs w:val="24"/>
              </w:rPr>
            </w:pPr>
            <w:r>
              <w:rPr>
                <w:rFonts w:hint="eastAsia" w:ascii="仿宋" w:hAnsi="仿宋" w:eastAsia="仿宋" w:cs="仿宋"/>
                <w:sz w:val="24"/>
                <w:szCs w:val="24"/>
              </w:rPr>
              <w:t>结果验收</w:t>
            </w:r>
          </w:p>
        </w:tc>
        <w:tc>
          <w:tcPr>
            <w:tcW w:w="6237"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双方对试机后的水样进行抽样化验验收</w:t>
            </w:r>
          </w:p>
        </w:tc>
        <w:tc>
          <w:tcPr>
            <w:tcW w:w="1944" w:type="dxa"/>
            <w:vAlign w:val="center"/>
          </w:tcPr>
          <w:p>
            <w:pPr>
              <w:jc w:val="center"/>
              <w:rPr>
                <w:rFonts w:ascii="仿宋" w:hAnsi="仿宋" w:eastAsia="仿宋" w:cs="仿宋"/>
                <w:sz w:val="24"/>
                <w:szCs w:val="24"/>
                <w:lang w:eastAsia="zh-CN"/>
              </w:rPr>
            </w:pPr>
          </w:p>
        </w:tc>
      </w:tr>
    </w:tbl>
    <w:p>
      <w:pPr>
        <w:spacing w:line="460" w:lineRule="exact"/>
        <w:ind w:firstLine="482" w:firstLineChars="200"/>
        <w:rPr>
          <w:rFonts w:ascii="仿宋" w:hAnsi="仿宋" w:eastAsia="仿宋" w:cs="仿宋"/>
          <w:b/>
          <w:bCs/>
          <w:sz w:val="24"/>
          <w:szCs w:val="24"/>
          <w:lang w:eastAsia="zh-CN"/>
        </w:rPr>
      </w:pPr>
      <w:r>
        <w:rPr>
          <w:rFonts w:hint="eastAsia" w:ascii="仿宋" w:hAnsi="仿宋" w:eastAsia="仿宋" w:cs="仿宋"/>
          <w:b/>
          <w:bCs/>
          <w:sz w:val="24"/>
          <w:szCs w:val="24"/>
          <w:lang w:eastAsia="zh-CN"/>
        </w:rPr>
        <w:t>七、 其它</w:t>
      </w:r>
    </w:p>
    <w:p>
      <w:pPr>
        <w:pStyle w:val="5"/>
        <w:spacing w:line="460" w:lineRule="exact"/>
        <w:rPr>
          <w:rFonts w:ascii="仿宋" w:hAnsi="仿宋" w:eastAsia="仿宋" w:cs="仿宋"/>
          <w:b/>
          <w:sz w:val="24"/>
          <w:szCs w:val="24"/>
          <w:lang w:eastAsia="zh-CN"/>
        </w:rPr>
      </w:pPr>
      <w:bookmarkStart w:id="285" w:name="_Toc20629"/>
      <w:bookmarkStart w:id="286" w:name="_Toc171584071"/>
      <w:r>
        <w:rPr>
          <w:rFonts w:hint="eastAsia" w:ascii="仿宋" w:hAnsi="仿宋" w:eastAsia="仿宋" w:cs="仿宋"/>
          <w:sz w:val="24"/>
          <w:szCs w:val="24"/>
          <w:lang w:eastAsia="zh-CN"/>
        </w:rPr>
        <w:t>本规范及要求作为项目标书及合同附件执行，中标方或施工方按照要求和相关规范来执行，采购方按照要求来进行验收</w:t>
      </w:r>
      <w:bookmarkEnd w:id="285"/>
      <w:bookmarkEnd w:id="286"/>
    </w:p>
    <w:p>
      <w:pPr>
        <w:pStyle w:val="5"/>
        <w:spacing w:line="460" w:lineRule="exact"/>
        <w:rPr>
          <w:rFonts w:ascii="仿宋" w:hAnsi="仿宋" w:eastAsia="仿宋" w:cs="仿宋"/>
          <w:b/>
          <w:sz w:val="24"/>
          <w:szCs w:val="24"/>
          <w:lang w:eastAsia="zh-CN"/>
        </w:rPr>
      </w:pPr>
    </w:p>
    <w:p>
      <w:pPr>
        <w:tabs>
          <w:tab w:val="left" w:pos="0"/>
        </w:tabs>
        <w:spacing w:line="540" w:lineRule="exact"/>
        <w:rPr>
          <w:rFonts w:ascii="仿宋" w:hAnsi="仿宋" w:eastAsia="仿宋" w:cs="仿宋"/>
          <w:sz w:val="24"/>
          <w:szCs w:val="24"/>
          <w:lang w:eastAsia="zh-CN"/>
        </w:rPr>
      </w:pPr>
      <w:r>
        <w:rPr>
          <w:rFonts w:hint="eastAsia" w:ascii="仿宋" w:hAnsi="仿宋" w:eastAsia="仿宋" w:cs="仿宋"/>
          <w:sz w:val="24"/>
          <w:szCs w:val="24"/>
          <w:lang w:eastAsia="zh-CN"/>
        </w:rPr>
        <w:t>甲方(盖章)：中粮北海糖业有限公司    乙方(盖章)：</w:t>
      </w:r>
    </w:p>
    <w:p>
      <w:pPr>
        <w:tabs>
          <w:tab w:val="left" w:pos="105"/>
          <w:tab w:val="left" w:pos="5220"/>
        </w:tabs>
        <w:spacing w:line="540" w:lineRule="exact"/>
        <w:rPr>
          <w:rFonts w:ascii="仿宋" w:hAnsi="仿宋" w:eastAsia="仿宋" w:cs="仿宋"/>
          <w:sz w:val="24"/>
          <w:szCs w:val="24"/>
          <w:lang w:eastAsia="zh-CN"/>
        </w:rPr>
      </w:pPr>
      <w:r>
        <w:rPr>
          <w:rFonts w:hint="eastAsia" w:ascii="仿宋" w:hAnsi="仿宋" w:eastAsia="仿宋" w:cs="仿宋"/>
          <w:sz w:val="24"/>
          <w:szCs w:val="24"/>
          <w:lang w:eastAsia="zh-CN"/>
        </w:rPr>
        <w:t>企业负责人(签字)：                      企业负责人(签字)：　</w:t>
      </w:r>
    </w:p>
    <w:p>
      <w:pPr>
        <w:tabs>
          <w:tab w:val="left" w:pos="105"/>
          <w:tab w:val="left" w:pos="5220"/>
        </w:tabs>
        <w:spacing w:line="540" w:lineRule="exact"/>
        <w:rPr>
          <w:rFonts w:ascii="仿宋" w:hAnsi="仿宋" w:eastAsia="仿宋" w:cs="仿宋"/>
          <w:sz w:val="24"/>
          <w:szCs w:val="24"/>
          <w:lang w:eastAsia="zh-CN"/>
        </w:rPr>
      </w:pPr>
      <w:r>
        <w:rPr>
          <w:rFonts w:hint="eastAsia" w:ascii="仿宋" w:hAnsi="仿宋" w:eastAsia="仿宋" w:cs="仿宋"/>
          <w:sz w:val="24"/>
          <w:szCs w:val="24"/>
          <w:lang w:eastAsia="zh-CN"/>
        </w:rPr>
        <w:t>或者委托代理人(签字) ：                 或者委托代理人(签字)：</w:t>
      </w:r>
    </w:p>
    <w:p>
      <w:pPr>
        <w:tabs>
          <w:tab w:val="left" w:pos="105"/>
          <w:tab w:val="left" w:pos="5220"/>
        </w:tabs>
        <w:spacing w:line="540" w:lineRule="exact"/>
        <w:rPr>
          <w:rFonts w:ascii="仿宋" w:hAnsi="仿宋" w:eastAsia="仿宋" w:cs="仿宋"/>
          <w:sz w:val="24"/>
          <w:szCs w:val="24"/>
          <w:lang w:eastAsia="zh-CN"/>
        </w:rPr>
      </w:pPr>
      <w:r>
        <w:rPr>
          <w:rFonts w:hint="eastAsia" w:ascii="仿宋" w:hAnsi="仿宋" w:eastAsia="仿宋" w:cs="仿宋"/>
          <w:sz w:val="24"/>
          <w:szCs w:val="24"/>
          <w:lang w:eastAsia="zh-CN"/>
        </w:rPr>
        <w:t xml:space="preserve">联系电话：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联系电话：</w:t>
      </w:r>
    </w:p>
    <w:p>
      <w:pPr>
        <w:tabs>
          <w:tab w:val="left" w:pos="105"/>
          <w:tab w:val="left" w:pos="5220"/>
        </w:tabs>
        <w:spacing w:line="540" w:lineRule="exact"/>
        <w:rPr>
          <w:rFonts w:eastAsia="仿宋"/>
          <w:snapToGrid w:val="0"/>
          <w:sz w:val="24"/>
          <w:szCs w:val="24"/>
          <w:lang w:eastAsia="zh-CN"/>
        </w:rPr>
      </w:pPr>
      <w:r>
        <w:rPr>
          <w:rFonts w:hint="eastAsia" w:ascii="仿宋" w:hAnsi="仿宋" w:eastAsia="仿宋" w:cs="仿宋"/>
          <w:sz w:val="24"/>
          <w:szCs w:val="24"/>
        </w:rPr>
        <w:t>日期：       年   月   日               日期：       年    月    日</w:t>
      </w:r>
      <w:bookmarkEnd w:id="283"/>
    </w:p>
    <w:p>
      <w:pPr>
        <w:rPr>
          <w:lang w:eastAsia="zh-CN"/>
        </w:rPr>
      </w:pPr>
    </w:p>
    <w:p>
      <w:pPr>
        <w:pStyle w:val="4"/>
      </w:pPr>
      <w:bookmarkStart w:id="287" w:name="扫描0045"/>
      <w:bookmarkEnd w:id="287"/>
      <w:bookmarkStart w:id="288" w:name="_Toc171584072"/>
      <w:r>
        <w:rPr>
          <w:rFonts w:hint="eastAsia"/>
        </w:rPr>
        <w:t>第</w:t>
      </w:r>
      <w:r>
        <w:t>五</w:t>
      </w:r>
      <w:r>
        <w:rPr>
          <w:rFonts w:hint="eastAsia"/>
        </w:rPr>
        <w:t>章 采购需</w:t>
      </w:r>
      <w:r>
        <w:t>求</w:t>
      </w:r>
      <w:bookmarkEnd w:id="288"/>
      <w:bookmarkStart w:id="289" w:name="扫描0046"/>
      <w:bookmarkEnd w:id="289"/>
      <w:bookmarkStart w:id="290" w:name="_Toc334529916"/>
      <w:bookmarkStart w:id="291" w:name="_Toc362534675"/>
      <w:bookmarkStart w:id="292" w:name="_Toc334433486"/>
    </w:p>
    <w:p>
      <w:pPr>
        <w:pStyle w:val="4"/>
      </w:pPr>
    </w:p>
    <w:p>
      <w:pPr>
        <w:pStyle w:val="4"/>
        <w:rPr>
          <w:rFonts w:eastAsia="仿宋" w:asciiTheme="minorEastAsia" w:hAnsiTheme="minorEastAsia"/>
          <w:sz w:val="24"/>
          <w:szCs w:val="24"/>
        </w:rPr>
      </w:pPr>
      <w:r>
        <w:rPr>
          <w:rFonts w:hint="eastAsia" w:eastAsia="仿宋" w:asciiTheme="minorEastAsia" w:hAnsiTheme="minorEastAsia"/>
          <w:sz w:val="24"/>
          <w:szCs w:val="24"/>
        </w:rPr>
        <w:t>项目名称：中粮糖业甘蔗糖部2024年北海糖业制炼车间丙糖螺旋输送槽大修项目。</w:t>
      </w:r>
    </w:p>
    <w:p>
      <w:pPr>
        <w:numPr>
          <w:ilvl w:val="0"/>
          <w:numId w:val="8"/>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项目编号：</w:t>
      </w:r>
    </w:p>
    <w:p>
      <w:pPr>
        <w:numPr>
          <w:ilvl w:val="0"/>
          <w:numId w:val="8"/>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采购预算：本项目采用固定总价包干的形式。供应商的报价应包括完成本项目工作所需的劳务费、交通费、评审费、通讯、保险、税费和利润等。  </w:t>
      </w:r>
    </w:p>
    <w:p>
      <w:pPr>
        <w:tabs>
          <w:tab w:val="left" w:pos="962"/>
        </w:tabs>
        <w:spacing w:line="500" w:lineRule="exact"/>
        <w:rPr>
          <w:rFonts w:eastAsia="仿宋" w:asciiTheme="minorEastAsia" w:hAnsiTheme="minorEastAsia"/>
          <w:snapToGrid w:val="0"/>
          <w:sz w:val="24"/>
          <w:szCs w:val="24"/>
          <w:u w:val="single"/>
          <w:lang w:eastAsia="zh-CN"/>
        </w:rPr>
      </w:pPr>
      <w:r>
        <w:rPr>
          <w:rFonts w:hint="eastAsia" w:eastAsia="仿宋" w:asciiTheme="minorEastAsia" w:hAnsiTheme="minorEastAsia"/>
          <w:snapToGrid w:val="0"/>
          <w:sz w:val="24"/>
          <w:szCs w:val="24"/>
          <w:lang w:eastAsia="zh-CN"/>
        </w:rPr>
        <w:t>采购范围：</w:t>
      </w:r>
      <w:r>
        <w:rPr>
          <w:rFonts w:hint="eastAsia" w:eastAsia="仿宋" w:asciiTheme="minorEastAsia" w:hAnsiTheme="minorEastAsia"/>
          <w:snapToGrid w:val="0"/>
          <w:sz w:val="24"/>
          <w:szCs w:val="24"/>
          <w:u w:val="single"/>
          <w:lang w:eastAsia="zh-CN"/>
        </w:rPr>
        <w:t xml:space="preserve"> 2</w:t>
      </w:r>
      <w:r>
        <w:rPr>
          <w:rFonts w:eastAsia="仿宋" w:asciiTheme="minorEastAsia" w:hAnsiTheme="minorEastAsia"/>
          <w:snapToGrid w:val="0"/>
          <w:sz w:val="24"/>
          <w:szCs w:val="24"/>
          <w:u w:val="single"/>
          <w:lang w:eastAsia="zh-CN"/>
        </w:rPr>
        <w:t>#</w:t>
      </w:r>
      <w:r>
        <w:rPr>
          <w:rFonts w:hint="eastAsia" w:eastAsia="仿宋" w:asciiTheme="minorEastAsia" w:hAnsiTheme="minorEastAsia"/>
          <w:snapToGrid w:val="0"/>
          <w:sz w:val="24"/>
          <w:szCs w:val="24"/>
          <w:u w:val="single"/>
          <w:lang w:eastAsia="zh-CN"/>
        </w:rPr>
        <w:t>丙糖螺旋输送槽大修等。</w:t>
      </w:r>
      <w:r>
        <w:rPr>
          <w:rFonts w:hint="eastAsia" w:eastAsia="仿宋" w:asciiTheme="minorEastAsia" w:hAnsiTheme="minorEastAsia"/>
          <w:snapToGrid w:val="0"/>
          <w:sz w:val="24"/>
          <w:szCs w:val="24"/>
          <w:lang w:eastAsia="zh-CN"/>
        </w:rPr>
        <w:t>具体见技术协议部分。</w:t>
      </w:r>
    </w:p>
    <w:p>
      <w:pPr>
        <w:numPr>
          <w:ilvl w:val="0"/>
          <w:numId w:val="8"/>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项目内容：具体见谈判采购公告和技术协议。  </w:t>
      </w:r>
    </w:p>
    <w:p>
      <w:pPr>
        <w:adjustRightInd w:val="0"/>
        <w:snapToGrid w:val="0"/>
        <w:spacing w:line="440" w:lineRule="exact"/>
        <w:ind w:firstLine="960" w:firstLineChars="4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项目建设地点：中粮北海糖业有限公司内。</w:t>
      </w:r>
    </w:p>
    <w:p>
      <w:pPr>
        <w:adjustRightInd w:val="0"/>
        <w:snapToGrid w:val="0"/>
        <w:spacing w:line="440" w:lineRule="exact"/>
        <w:ind w:firstLine="960" w:firstLineChars="4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项目建设规模和内容：具体见谈判采购公告和技术协议   </w:t>
      </w:r>
    </w:p>
    <w:p>
      <w:pPr>
        <w:numPr>
          <w:ilvl w:val="0"/>
          <w:numId w:val="8"/>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合同履行期限：见合同条款。</w:t>
      </w:r>
    </w:p>
    <w:p>
      <w:pPr>
        <w:numPr>
          <w:ilvl w:val="0"/>
          <w:numId w:val="8"/>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服务要求：满足技术要求与附件要求</w:t>
      </w:r>
    </w:p>
    <w:bookmarkEnd w:id="290"/>
    <w:bookmarkEnd w:id="291"/>
    <w:bookmarkEnd w:id="292"/>
    <w:p>
      <w:pPr>
        <w:widowControl/>
        <w:autoSpaceDE/>
        <w:autoSpaceDN/>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pStyle w:val="4"/>
      </w:pPr>
      <w:bookmarkStart w:id="293" w:name="_Toc94149562"/>
      <w:bookmarkStart w:id="294" w:name="_Toc171584073"/>
      <w:r>
        <w:rPr>
          <w:rFonts w:hint="eastAsia"/>
        </w:rPr>
        <w:t>第</w:t>
      </w:r>
      <w:r>
        <w:t>六</w:t>
      </w:r>
      <w:r>
        <w:rPr>
          <w:rFonts w:hint="eastAsia"/>
        </w:rPr>
        <w:t>章</w:t>
      </w:r>
      <w:r>
        <w:t>响应文件格式</w:t>
      </w:r>
      <w:bookmarkEnd w:id="293"/>
      <w:bookmarkEnd w:id="294"/>
    </w:p>
    <w:p>
      <w:pPr>
        <w:spacing w:line="276" w:lineRule="auto"/>
        <w:rPr>
          <w:rFonts w:eastAsia="仿宋" w:asciiTheme="minorEastAsia" w:hAnsiTheme="minorEastAsia"/>
          <w:snapToGrid w:val="0"/>
          <w:sz w:val="24"/>
          <w:szCs w:val="24"/>
          <w:lang w:eastAsia="zh-CN"/>
        </w:rPr>
      </w:pPr>
      <w:bookmarkStart w:id="295" w:name="扫描0048"/>
      <w:bookmarkEnd w:id="295"/>
      <w:r>
        <w:rPr>
          <w:rFonts w:eastAsia="仿宋"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480" w:lineRule="auto"/>
        <w:jc w:val="center"/>
        <w:rPr>
          <w:rFonts w:ascii="仿宋" w:hAnsi="仿宋" w:eastAsia="仿宋"/>
          <w:sz w:val="36"/>
          <w:szCs w:val="36"/>
          <w:lang w:eastAsia="zh-CN"/>
        </w:rPr>
      </w:pPr>
      <w:r>
        <w:rPr>
          <w:rFonts w:hint="eastAsia" w:ascii="仿宋" w:hAnsi="仿宋" w:eastAsia="仿宋"/>
          <w:sz w:val="36"/>
          <w:szCs w:val="36"/>
          <w:lang w:eastAsia="zh-CN"/>
        </w:rPr>
        <w:t>中粮糖业甘蔗糖部2024年北海糖业制炼车间丙糖螺旋输送槽大修项目采购</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center"/>
        <w:rPr>
          <w:rFonts w:eastAsia="仿宋" w:asciiTheme="minorEastAsia" w:hAnsiTheme="minorEastAsia"/>
          <w:b/>
          <w:bCs/>
          <w:snapToGrid w:val="0"/>
          <w:sz w:val="52"/>
          <w:szCs w:val="52"/>
          <w:lang w:eastAsia="zh-CN"/>
        </w:rPr>
      </w:pPr>
      <w:r>
        <w:rPr>
          <w:rFonts w:eastAsia="仿宋" w:asciiTheme="minorEastAsia" w:hAnsiTheme="minorEastAsia"/>
          <w:b/>
          <w:bCs/>
          <w:snapToGrid w:val="0"/>
          <w:sz w:val="52"/>
          <w:szCs w:val="52"/>
          <w:lang w:eastAsia="zh-CN"/>
        </w:rPr>
        <w:t>响应文件</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ind w:left="2125" w:leftChars="966" w:firstLine="480" w:firstLineChars="150"/>
        <w:rPr>
          <w:rFonts w:eastAsia="仿宋" w:asciiTheme="minorEastAsia" w:hAnsiTheme="minorEastAsia"/>
          <w:snapToGrid w:val="0"/>
          <w:sz w:val="32"/>
          <w:szCs w:val="32"/>
          <w:lang w:eastAsia="zh-CN"/>
        </w:rPr>
      </w:pPr>
      <w:r>
        <w:rPr>
          <w:rFonts w:eastAsia="仿宋" w:asciiTheme="minorEastAsia" w:hAnsiTheme="minorEastAsia"/>
          <w:snapToGrid w:val="0"/>
          <w:sz w:val="32"/>
          <w:szCs w:val="32"/>
          <w:lang w:eastAsia="zh-CN"/>
        </w:rPr>
        <w:t>供应商</w:t>
      </w:r>
      <w:r>
        <w:rPr>
          <w:rFonts w:hint="eastAsia" w:eastAsia="仿宋" w:asciiTheme="minorEastAsia" w:hAnsiTheme="minorEastAsia"/>
          <w:snapToGrid w:val="0"/>
          <w:sz w:val="32"/>
          <w:szCs w:val="32"/>
          <w:lang w:eastAsia="zh-CN"/>
        </w:rPr>
        <w:t>：</w:t>
      </w:r>
    </w:p>
    <w:p>
      <w:pPr>
        <w:adjustRightInd w:val="0"/>
        <w:snapToGrid w:val="0"/>
        <w:spacing w:line="276" w:lineRule="auto"/>
        <w:jc w:val="center"/>
        <w:rPr>
          <w:rFonts w:eastAsia="仿宋" w:asciiTheme="minorEastAsia" w:hAnsiTheme="minorEastAsia"/>
          <w:snapToGrid w:val="0"/>
          <w:sz w:val="24"/>
          <w:szCs w:val="24"/>
          <w:lang w:eastAsia="zh-CN"/>
        </w:rPr>
      </w:pPr>
    </w:p>
    <w:p>
      <w:pPr>
        <w:adjustRightInd w:val="0"/>
        <w:snapToGrid w:val="0"/>
        <w:spacing w:line="276" w:lineRule="auto"/>
        <w:ind w:left="3401" w:leftChars="1546"/>
        <w:rPr>
          <w:rFonts w:eastAsia="仿宋" w:asciiTheme="minorEastAsia" w:hAnsiTheme="minorEastAsia"/>
          <w:snapToGrid w:val="0"/>
          <w:sz w:val="32"/>
          <w:szCs w:val="32"/>
          <w:lang w:eastAsia="zh-CN"/>
        </w:rPr>
      </w:pPr>
      <w:r>
        <w:rPr>
          <w:rFonts w:eastAsia="仿宋" w:asciiTheme="minorEastAsia" w:hAnsiTheme="minorEastAsia"/>
          <w:snapToGrid w:val="0"/>
          <w:sz w:val="32"/>
          <w:szCs w:val="32"/>
          <w:lang w:eastAsia="zh-CN"/>
        </w:rPr>
        <w:t>年</w:t>
      </w:r>
      <w:r>
        <w:rPr>
          <w:rFonts w:hint="eastAsia" w:eastAsia="仿宋" w:asciiTheme="minorEastAsia" w:hAnsiTheme="minorEastAsia"/>
          <w:snapToGrid w:val="0"/>
          <w:sz w:val="32"/>
          <w:szCs w:val="32"/>
          <w:lang w:eastAsia="zh-CN"/>
        </w:rPr>
        <w:t xml:space="preserve">  </w:t>
      </w:r>
      <w:r>
        <w:rPr>
          <w:rFonts w:eastAsia="仿宋" w:asciiTheme="minorEastAsia" w:hAnsiTheme="minorEastAsia"/>
          <w:snapToGrid w:val="0"/>
          <w:sz w:val="32"/>
          <w:szCs w:val="32"/>
          <w:lang w:eastAsia="zh-CN"/>
        </w:rPr>
        <w:t>月</w:t>
      </w:r>
      <w:r>
        <w:rPr>
          <w:rFonts w:hint="eastAsia" w:eastAsia="仿宋" w:asciiTheme="minorEastAsia" w:hAnsiTheme="minorEastAsia"/>
          <w:snapToGrid w:val="0"/>
          <w:sz w:val="32"/>
          <w:szCs w:val="32"/>
          <w:lang w:eastAsia="zh-CN"/>
        </w:rPr>
        <w:t xml:space="preserve">  </w:t>
      </w:r>
      <w:r>
        <w:rPr>
          <w:rFonts w:eastAsia="仿宋" w:asciiTheme="minorEastAsia" w:hAnsiTheme="minorEastAsia"/>
          <w:snapToGrid w:val="0"/>
          <w:sz w:val="32"/>
          <w:szCs w:val="32"/>
          <w:lang w:eastAsia="zh-CN"/>
        </w:rPr>
        <w:t>日</w:t>
      </w:r>
    </w:p>
    <w:p>
      <w:pPr>
        <w:spacing w:line="276" w:lineRule="auto"/>
        <w:rPr>
          <w:rFonts w:eastAsia="仿宋" w:cs="Times New Roman" w:asciiTheme="minorEastAsia" w:hAnsiTheme="minorEastAsia"/>
          <w:snapToGrid w:val="0"/>
          <w:sz w:val="24"/>
          <w:szCs w:val="24"/>
          <w:lang w:eastAsia="zh-CN"/>
        </w:rPr>
      </w:pPr>
      <w:bookmarkStart w:id="296" w:name="扫描0049"/>
      <w:bookmarkEnd w:id="296"/>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目录</w:t>
      </w:r>
    </w:p>
    <w:p>
      <w:pPr>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一、响应函</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六、</w:t>
      </w:r>
      <w:r>
        <w:rPr>
          <w:rFonts w:hint="eastAsia" w:eastAsia="仿宋" w:asciiTheme="minorEastAsia" w:hAnsiTheme="minorEastAsia"/>
          <w:snapToGrid w:val="0"/>
          <w:sz w:val="24"/>
          <w:szCs w:val="24"/>
          <w:lang w:eastAsia="zh-CN"/>
        </w:rPr>
        <w:t>响应报价一览表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七、响应报价明细表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八</w:t>
      </w:r>
      <w:r>
        <w:rPr>
          <w:rFonts w:eastAsia="仿宋" w:asciiTheme="minorEastAsia" w:hAnsiTheme="minorEastAsia"/>
          <w:snapToGrid w:val="0"/>
          <w:sz w:val="24"/>
          <w:szCs w:val="24"/>
          <w:lang w:eastAsia="zh-CN"/>
        </w:rPr>
        <w:t>、资格审查资料</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九</w:t>
      </w:r>
      <w:r>
        <w:rPr>
          <w:rFonts w:eastAsia="仿宋" w:asciiTheme="minorEastAsia" w:hAnsiTheme="minorEastAsia"/>
          <w:snapToGrid w:val="0"/>
          <w:sz w:val="24"/>
          <w:szCs w:val="24"/>
          <w:lang w:eastAsia="zh-CN"/>
        </w:rPr>
        <w:t>、响应方案</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廉洁承诺书</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十一、保密承诺书</w:t>
      </w:r>
    </w:p>
    <w:p>
      <w:pPr>
        <w:spacing w:line="276" w:lineRule="auto"/>
        <w:rPr>
          <w:rFonts w:eastAsia="仿宋" w:cs="Times New Roman" w:asciiTheme="minorEastAsia" w:hAnsiTheme="minorEastAsia"/>
          <w:snapToGrid w:val="0"/>
          <w:sz w:val="24"/>
          <w:szCs w:val="24"/>
          <w:lang w:eastAsia="zh-CN"/>
        </w:rPr>
      </w:pPr>
      <w:bookmarkStart w:id="297" w:name="扫描0050"/>
      <w:bookmarkEnd w:id="297"/>
      <w:r>
        <w:rPr>
          <w:rFonts w:eastAsia="仿宋" w:cs="Times New Roman" w:asciiTheme="minorEastAsia" w:hAnsiTheme="minorEastAsia"/>
          <w:snapToGrid w:val="0"/>
          <w:sz w:val="24"/>
          <w:szCs w:val="24"/>
          <w:lang w:eastAsia="zh-CN"/>
        </w:rPr>
        <w:br w:type="page"/>
      </w:r>
    </w:p>
    <w:p>
      <w:pPr>
        <w:pStyle w:val="5"/>
        <w:spacing w:line="276" w:lineRule="auto"/>
        <w:jc w:val="center"/>
        <w:rPr>
          <w:rFonts w:eastAsia="仿宋" w:asciiTheme="minorEastAsia" w:hAnsiTheme="minorEastAsia"/>
          <w:b/>
          <w:bCs/>
          <w:snapToGrid w:val="0"/>
          <w:sz w:val="32"/>
          <w:szCs w:val="32"/>
          <w:lang w:eastAsia="zh-CN"/>
        </w:rPr>
      </w:pPr>
      <w:bookmarkStart w:id="298" w:name="_bookmark17"/>
      <w:bookmarkEnd w:id="298"/>
      <w:bookmarkStart w:id="299" w:name="_Toc171584074"/>
      <w:r>
        <w:rPr>
          <w:rFonts w:eastAsia="仿宋" w:asciiTheme="minorEastAsia" w:hAnsiTheme="minorEastAsia"/>
          <w:b/>
          <w:bCs/>
          <w:snapToGrid w:val="0"/>
          <w:sz w:val="32"/>
          <w:szCs w:val="32"/>
          <w:lang w:eastAsia="zh-CN"/>
        </w:rPr>
        <w:t>—、响应函</w:t>
      </w:r>
      <w:bookmarkEnd w:id="299"/>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lang w:eastAsia="zh-CN"/>
        </w:rPr>
        <w:t>中粮北海糖业有限公司</w:t>
      </w:r>
      <w:r>
        <w:rPr>
          <w:rFonts w:hint="eastAsia" w:eastAsia="仿宋" w:asciiTheme="minorEastAsia" w:hAnsiTheme="minorEastAsia"/>
          <w:snapToGrid w:val="0"/>
          <w:sz w:val="24"/>
          <w:szCs w:val="24"/>
          <w:lang w:eastAsia="zh-CN"/>
        </w:rPr>
        <w:t>：</w:t>
      </w:r>
    </w:p>
    <w:p>
      <w:pPr>
        <w:pStyle w:val="12"/>
        <w:numPr>
          <w:ilvl w:val="0"/>
          <w:numId w:val="9"/>
        </w:numPr>
        <w:adjustRightInd w:val="0"/>
        <w:snapToGrid w:val="0"/>
        <w:spacing w:before="240" w:line="276" w:lineRule="auto"/>
        <w:ind w:left="0" w:firstLine="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我方已仔细研究了</w:t>
      </w:r>
      <w:r>
        <w:rPr>
          <w:rFonts w:hint="eastAsia" w:eastAsia="仿宋" w:asciiTheme="minorEastAsia" w:hAnsiTheme="minorEastAsia"/>
          <w:snapToGrid w:val="0"/>
          <w:sz w:val="24"/>
          <w:szCs w:val="24"/>
          <w:lang w:eastAsia="zh-CN"/>
        </w:rPr>
        <w:t>中粮糖业甘蔗糖部2024年北海糖业制炼车间丙糖螺旋输送槽大修项目</w:t>
      </w:r>
      <w:r>
        <w:rPr>
          <w:rFonts w:eastAsia="仿宋" w:asciiTheme="minorEastAsia" w:hAnsiTheme="minorEastAsia"/>
          <w:snapToGrid w:val="0"/>
          <w:sz w:val="24"/>
          <w:szCs w:val="24"/>
          <w:lang w:eastAsia="zh-CN"/>
        </w:rPr>
        <w:t>采购文件的全部内容，愿意以含税价</w:t>
      </w:r>
      <w:r>
        <w:rPr>
          <w:rFonts w:hint="eastAsia" w:eastAsia="仿宋" w:asciiTheme="minorEastAsia" w:hAnsiTheme="minorEastAsia"/>
          <w:snapToGrid w:val="0"/>
          <w:sz w:val="24"/>
          <w:szCs w:val="24"/>
          <w:lang w:eastAsia="zh-CN"/>
        </w:rPr>
        <w:t>（综合响应报价）</w:t>
      </w:r>
      <w:r>
        <w:rPr>
          <w:rFonts w:eastAsia="仿宋" w:asciiTheme="minorEastAsia" w:hAnsiTheme="minorEastAsia"/>
          <w:snapToGrid w:val="0"/>
          <w:sz w:val="24"/>
          <w:szCs w:val="24"/>
          <w:lang w:eastAsia="zh-CN"/>
        </w:rPr>
        <w:t xml:space="preserve">人民币(大写)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)的报价(其中不含税价为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增值税税额为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：)完成/提供本项目服务，并按合同约定履行义务。</w:t>
      </w:r>
    </w:p>
    <w:p>
      <w:pPr>
        <w:pStyle w:val="12"/>
        <w:numPr>
          <w:ilvl w:val="0"/>
          <w:numId w:val="9"/>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我方的响应文件包括下列内容：</w:t>
      </w:r>
    </w:p>
    <w:p>
      <w:pPr>
        <w:pStyle w:val="12"/>
        <w:numPr>
          <w:ilvl w:val="0"/>
          <w:numId w:val="10"/>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响应函；</w:t>
      </w:r>
    </w:p>
    <w:p>
      <w:pPr>
        <w:pStyle w:val="12"/>
        <w:numPr>
          <w:ilvl w:val="0"/>
          <w:numId w:val="10"/>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授权委托书(如有)；</w:t>
      </w:r>
    </w:p>
    <w:p>
      <w:pPr>
        <w:pStyle w:val="12"/>
        <w:numPr>
          <w:ilvl w:val="0"/>
          <w:numId w:val="10"/>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联合体协议书(如有);</w:t>
      </w:r>
    </w:p>
    <w:p>
      <w:pPr>
        <w:pStyle w:val="12"/>
        <w:numPr>
          <w:ilvl w:val="0"/>
          <w:numId w:val="10"/>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响应保证金(如有)；</w:t>
      </w:r>
    </w:p>
    <w:p>
      <w:pPr>
        <w:pStyle w:val="12"/>
        <w:numPr>
          <w:ilvl w:val="0"/>
          <w:numId w:val="10"/>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商务和技术偏差表；</w:t>
      </w:r>
    </w:p>
    <w:p>
      <w:pPr>
        <w:pStyle w:val="12"/>
        <w:numPr>
          <w:ilvl w:val="0"/>
          <w:numId w:val="10"/>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报价表；</w:t>
      </w:r>
    </w:p>
    <w:p>
      <w:pPr>
        <w:pStyle w:val="12"/>
        <w:numPr>
          <w:ilvl w:val="0"/>
          <w:numId w:val="10"/>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资格审查资料；</w:t>
      </w:r>
    </w:p>
    <w:p>
      <w:pPr>
        <w:pStyle w:val="12"/>
        <w:numPr>
          <w:ilvl w:val="0"/>
          <w:numId w:val="10"/>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响应方案；</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响应文件的上述组成部分如存在内容不一致的，以响应函为准。</w:t>
      </w:r>
    </w:p>
    <w:p>
      <w:pPr>
        <w:pStyle w:val="12"/>
        <w:numPr>
          <w:ilvl w:val="0"/>
          <w:numId w:val="9"/>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我方承诺除商务和技术偏差表列出的偏差外，我方响应采购文件的全部要求。</w:t>
      </w:r>
    </w:p>
    <w:p>
      <w:pPr>
        <w:pStyle w:val="12"/>
        <w:numPr>
          <w:ilvl w:val="0"/>
          <w:numId w:val="9"/>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我方承诺在采购文件规定的响应文件有效期内不撤销响应文件。</w:t>
      </w:r>
    </w:p>
    <w:p>
      <w:pPr>
        <w:pStyle w:val="12"/>
        <w:numPr>
          <w:ilvl w:val="0"/>
          <w:numId w:val="9"/>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如我方</w:t>
      </w:r>
      <w:r>
        <w:rPr>
          <w:rFonts w:hint="eastAsia" w:eastAsia="仿宋" w:asciiTheme="minorEastAsia" w:hAnsiTheme="minorEastAsia"/>
          <w:snapToGrid w:val="0"/>
          <w:sz w:val="24"/>
          <w:szCs w:val="24"/>
          <w:lang w:eastAsia="zh-CN"/>
        </w:rPr>
        <w:t>与贵方达成成</w:t>
      </w:r>
      <w:r>
        <w:rPr>
          <w:rFonts w:eastAsia="仿宋" w:asciiTheme="minorEastAsia" w:hAnsiTheme="minorEastAsia"/>
          <w:snapToGrid w:val="0"/>
          <w:sz w:val="24"/>
          <w:szCs w:val="24"/>
          <w:lang w:eastAsia="zh-CN"/>
        </w:rPr>
        <w:t>交，我方承诺：</w:t>
      </w:r>
    </w:p>
    <w:p>
      <w:pPr>
        <w:pStyle w:val="12"/>
        <w:numPr>
          <w:ilvl w:val="0"/>
          <w:numId w:val="11"/>
        </w:numPr>
        <w:adjustRightInd w:val="0"/>
        <w:snapToGrid w:val="0"/>
        <w:spacing w:line="276" w:lineRule="auto"/>
        <w:ind w:left="0" w:firstLine="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在收到成交通知书后，在成交通知书规定的期限内与你方签订合同；</w:t>
      </w:r>
    </w:p>
    <w:p>
      <w:pPr>
        <w:pStyle w:val="12"/>
        <w:numPr>
          <w:ilvl w:val="0"/>
          <w:numId w:val="11"/>
        </w:numPr>
        <w:adjustRightInd w:val="0"/>
        <w:snapToGrid w:val="0"/>
        <w:spacing w:line="276" w:lineRule="auto"/>
        <w:ind w:left="0" w:firstLine="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在签订合同时不向你方提出附加条件；</w:t>
      </w:r>
    </w:p>
    <w:p>
      <w:pPr>
        <w:pStyle w:val="12"/>
        <w:numPr>
          <w:ilvl w:val="0"/>
          <w:numId w:val="11"/>
        </w:numPr>
        <w:adjustRightInd w:val="0"/>
        <w:snapToGrid w:val="0"/>
        <w:spacing w:line="276" w:lineRule="auto"/>
        <w:ind w:left="0" w:firstLine="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按照采购文件要求递交履约保证金；</w:t>
      </w:r>
    </w:p>
    <w:p>
      <w:pPr>
        <w:pStyle w:val="12"/>
        <w:numPr>
          <w:ilvl w:val="0"/>
          <w:numId w:val="11"/>
        </w:numPr>
        <w:adjustRightInd w:val="0"/>
        <w:snapToGrid w:val="0"/>
        <w:spacing w:line="276" w:lineRule="auto"/>
        <w:ind w:left="0" w:firstLine="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在合同约定的期限内完成合同规定的全部义务。</w:t>
      </w:r>
    </w:p>
    <w:p>
      <w:pPr>
        <w:pStyle w:val="12"/>
        <w:numPr>
          <w:ilvl w:val="0"/>
          <w:numId w:val="9"/>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我方在此声明，所递交的响应文件及有关资料内容完整、真实和准确，且不存在第一章“谈判采购公告/谈判采购邀请书”中规定的供应商不得存在的情形。</w:t>
      </w:r>
    </w:p>
    <w:p>
      <w:pPr>
        <w:pStyle w:val="12"/>
        <w:numPr>
          <w:ilvl w:val="0"/>
          <w:numId w:val="9"/>
        </w:numPr>
        <w:adjustRightInd w:val="0"/>
        <w:snapToGrid w:val="0"/>
        <w:spacing w:line="276" w:lineRule="auto"/>
        <w:ind w:left="0" w:firstLine="0"/>
        <w:jc w:val="left"/>
        <w:rPr>
          <w:rFonts w:eastAsia="仿宋" w:asciiTheme="minorEastAsia" w:hAnsiTheme="minorEastAsia"/>
          <w:snapToGrid w:val="0"/>
          <w:sz w:val="24"/>
          <w:szCs w:val="24"/>
        </w:rPr>
      </w:pPr>
      <w:r>
        <w:rPr>
          <w:rFonts w:hint="eastAsia" w:eastAsia="仿宋" w:asciiTheme="minorEastAsia" w:hAnsiTheme="minorEastAsia"/>
          <w:snapToGrid w:val="0"/>
          <w:sz w:val="24"/>
          <w:szCs w:val="24"/>
          <w:lang w:eastAsia="zh-CN"/>
        </w:rPr>
        <w:t>其</w:t>
      </w:r>
      <w:r>
        <w:rPr>
          <w:rFonts w:eastAsia="仿宋" w:asciiTheme="minorEastAsia" w:hAnsiTheme="minorEastAsia"/>
          <w:snapToGrid w:val="0"/>
          <w:sz w:val="24"/>
          <w:szCs w:val="24"/>
        </w:rPr>
        <w:t>他补充说明</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rPr>
        <w:t>。</w:t>
      </w:r>
    </w:p>
    <w:p>
      <w:pPr>
        <w:rPr>
          <w:rFonts w:eastAsia="仿宋"/>
        </w:rPr>
      </w:pP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盖单位公章)</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(签字)</w:t>
      </w:r>
    </w:p>
    <w:p>
      <w:pPr>
        <w:adjustRightInd w:val="0"/>
        <w:snapToGrid w:val="0"/>
        <w:spacing w:line="276" w:lineRule="auto"/>
        <w:ind w:left="2409" w:leftChars="1095"/>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地址：</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电子邮箱：</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电话：</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传真：</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邮政编码：</w:t>
      </w:r>
    </w:p>
    <w:p>
      <w:pPr>
        <w:rPr>
          <w:rFonts w:eastAsia="仿宋"/>
          <w:lang w:eastAsia="zh-CN"/>
        </w:rPr>
      </w:pPr>
    </w:p>
    <w:p>
      <w:pPr>
        <w:wordWrap w:val="0"/>
        <w:adjustRightInd w:val="0"/>
        <w:snapToGrid w:val="0"/>
        <w:spacing w:line="276" w:lineRule="auto"/>
        <w:jc w:val="right"/>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月</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w:t>
      </w:r>
      <w:r>
        <w:rPr>
          <w:rFonts w:hint="eastAsia" w:eastAsia="仿宋" w:asciiTheme="minorEastAsia" w:hAnsiTheme="minorEastAsia"/>
          <w:snapToGrid w:val="0"/>
          <w:sz w:val="24"/>
          <w:szCs w:val="24"/>
          <w:lang w:eastAsia="zh-CN"/>
        </w:rPr>
        <w:t>日</w:t>
      </w:r>
      <w:bookmarkStart w:id="300" w:name="扫描0052"/>
      <w:bookmarkEnd w:id="300"/>
    </w:p>
    <w:p>
      <w:pPr>
        <w:adjustRightInd w:val="0"/>
        <w:snapToGrid w:val="0"/>
        <w:spacing w:line="276" w:lineRule="auto"/>
        <w:jc w:val="right"/>
        <w:rPr>
          <w:rFonts w:eastAsia="仿宋" w:asciiTheme="minorEastAsia" w:hAnsiTheme="minorEastAsia"/>
          <w:snapToGrid w:val="0"/>
          <w:sz w:val="24"/>
          <w:szCs w:val="24"/>
          <w:lang w:eastAsia="zh-CN"/>
        </w:rPr>
      </w:pPr>
    </w:p>
    <w:p>
      <w:pPr>
        <w:pStyle w:val="5"/>
        <w:jc w:val="center"/>
        <w:rPr>
          <w:rFonts w:eastAsia="仿宋" w:asciiTheme="minorEastAsia" w:hAnsiTheme="minorEastAsia"/>
          <w:b/>
          <w:bCs/>
          <w:snapToGrid w:val="0"/>
          <w:sz w:val="32"/>
          <w:szCs w:val="32"/>
          <w:lang w:eastAsia="zh-CN"/>
        </w:rPr>
      </w:pPr>
      <w:bookmarkStart w:id="301" w:name="_Toc171584075"/>
      <w:r>
        <w:rPr>
          <w:rFonts w:eastAsia="仿宋" w:asciiTheme="minorEastAsia" w:hAnsiTheme="minorEastAsia"/>
          <w:b/>
          <w:bCs/>
          <w:snapToGrid w:val="0"/>
          <w:sz w:val="32"/>
          <w:szCs w:val="32"/>
          <w:lang w:eastAsia="zh-CN"/>
        </w:rPr>
        <w:t>二、授权委托书</w:t>
      </w:r>
      <w:bookmarkEnd w:id="301"/>
    </w:p>
    <w:p>
      <w:pPr>
        <w:pStyle w:val="3"/>
        <w:ind w:firstLine="960" w:firstLineChars="400"/>
        <w:jc w:val="left"/>
        <w:rPr>
          <w:rFonts w:eastAsia="仿宋" w:asciiTheme="minorEastAsia" w:hAnsiTheme="minorEastAsia"/>
          <w:snapToGrid w:val="0"/>
          <w:szCs w:val="24"/>
          <w:lang w:eastAsia="zh-CN"/>
        </w:rPr>
      </w:pPr>
      <w:r>
        <w:rPr>
          <w:rFonts w:eastAsia="仿宋" w:asciiTheme="minorEastAsia" w:hAnsiTheme="minorEastAsia"/>
          <w:snapToGrid w:val="0"/>
          <w:szCs w:val="24"/>
          <w:lang w:eastAsia="zh-CN"/>
        </w:rPr>
        <w:t>（适用于有委托代理人的情况）</w:t>
      </w:r>
    </w:p>
    <w:p>
      <w:pPr>
        <w:adjustRightInd w:val="0"/>
        <w:snapToGrid w:val="0"/>
        <w:spacing w:line="360" w:lineRule="auto"/>
        <w:rPr>
          <w:rFonts w:eastAsia="仿宋" w:asciiTheme="minorEastAsia" w:hAnsiTheme="minorEastAsia"/>
          <w:b/>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本人</w:t>
      </w:r>
      <w:r>
        <w:rPr>
          <w:rFonts w:eastAsia="仿宋" w:asciiTheme="minorEastAsia" w:hAnsiTheme="minorEastAsia"/>
          <w:snapToGrid w:val="0"/>
          <w:sz w:val="24"/>
          <w:szCs w:val="24"/>
          <w:u w:val="single"/>
          <w:lang w:eastAsia="zh-CN"/>
        </w:rPr>
        <w:t>（姓名）</w:t>
      </w:r>
      <w:r>
        <w:rPr>
          <w:rFonts w:eastAsia="仿宋" w:asciiTheme="minorEastAsia" w:hAnsiTheme="minorEastAsia"/>
          <w:snapToGrid w:val="0"/>
          <w:sz w:val="24"/>
          <w:szCs w:val="24"/>
          <w:lang w:eastAsia="zh-CN"/>
        </w:rPr>
        <w:t>系</w:t>
      </w:r>
      <w:r>
        <w:rPr>
          <w:rFonts w:eastAsia="仿宋" w:asciiTheme="minorEastAsia" w:hAnsiTheme="minorEastAsia"/>
          <w:snapToGrid w:val="0"/>
          <w:sz w:val="24"/>
          <w:szCs w:val="24"/>
          <w:u w:val="single"/>
          <w:lang w:eastAsia="zh-CN"/>
        </w:rPr>
        <w:t>（供应商名称）</w:t>
      </w:r>
      <w:r>
        <w:rPr>
          <w:rFonts w:eastAsia="仿宋" w:asciiTheme="minorEastAsia" w:hAnsiTheme="minorEastAsia"/>
          <w:snapToGrid w:val="0"/>
          <w:sz w:val="24"/>
          <w:szCs w:val="24"/>
          <w:lang w:eastAsia="zh-CN"/>
        </w:rPr>
        <w:t>的法定代表人（单位负责人），现委托</w:t>
      </w:r>
      <w:r>
        <w:rPr>
          <w:rFonts w:eastAsia="仿宋" w:asciiTheme="minorEastAsia" w:hAnsiTheme="minorEastAsia"/>
          <w:snapToGrid w:val="0"/>
          <w:sz w:val="24"/>
          <w:szCs w:val="24"/>
          <w:u w:val="single"/>
          <w:lang w:eastAsia="zh-CN"/>
        </w:rPr>
        <w:t>（姓名）</w:t>
      </w:r>
      <w:r>
        <w:rPr>
          <w:rFonts w:eastAsia="仿宋" w:asciiTheme="minorEastAsia" w:hAnsiTheme="minorEastAsia"/>
          <w:snapToGrid w:val="0"/>
          <w:sz w:val="24"/>
          <w:szCs w:val="24"/>
          <w:lang w:eastAsia="zh-CN"/>
        </w:rPr>
        <w:t>为我方代理人。代理人根据授权，以我方名义签署、澄清确认、递交、撤回、修改谈判采购项目响应文件、签订合同和处理有关事宜，其法律后果由我方承担。</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委托期限：自本委托书签署之日起至谈判采购项目签订采购合同之日止。</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代理人无转委托权。</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附：法定代表人（单位负责人）身份证复印件及委托代理人身份证复印件。</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eastAsia="仿宋" w:asciiTheme="minorEastAsia" w:hAnsiTheme="minorEastAsia"/>
          <w:snapToGrid w:val="0"/>
          <w:sz w:val="24"/>
          <w:szCs w:val="24"/>
          <w:u w:val="single"/>
          <w:lang w:eastAsia="zh-CN"/>
        </w:rPr>
        <w:t>（盖单位公章）</w:t>
      </w: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w:t>
      </w:r>
      <w:r>
        <w:rPr>
          <w:rFonts w:eastAsia="仿宋" w:asciiTheme="minorEastAsia" w:hAnsiTheme="minorEastAsia"/>
          <w:snapToGrid w:val="0"/>
          <w:sz w:val="24"/>
          <w:szCs w:val="24"/>
          <w:u w:val="single"/>
          <w:lang w:eastAsia="zh-CN"/>
        </w:rPr>
        <w:t>（签字）</w:t>
      </w: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身份证号码：</w:t>
      </w: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委托代理人：</w:t>
      </w:r>
      <w:r>
        <w:rPr>
          <w:rFonts w:eastAsia="仿宋" w:asciiTheme="minorEastAsia" w:hAnsiTheme="minorEastAsia"/>
          <w:snapToGrid w:val="0"/>
          <w:sz w:val="24"/>
          <w:szCs w:val="24"/>
          <w:u w:val="single"/>
          <w:lang w:eastAsia="zh-CN"/>
        </w:rPr>
        <w:t>（签字）</w:t>
      </w: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身份证号码：</w:t>
      </w:r>
    </w:p>
    <w:p>
      <w:pPr>
        <w:wordWrap w:val="0"/>
        <w:adjustRightInd w:val="0"/>
        <w:snapToGrid w:val="0"/>
        <w:spacing w:line="276" w:lineRule="auto"/>
        <w:jc w:val="right"/>
        <w:rPr>
          <w:rFonts w:eastAsia="仿宋" w:asciiTheme="minorEastAsia" w:hAnsiTheme="minorEastAsia"/>
          <w:snapToGrid w:val="0"/>
          <w:sz w:val="24"/>
          <w:szCs w:val="24"/>
          <w:u w:val="single"/>
          <w:lang w:eastAsia="zh-CN"/>
        </w:rPr>
      </w:pPr>
      <w:bookmarkStart w:id="302" w:name="扫描0053"/>
      <w:bookmarkEnd w:id="302"/>
    </w:p>
    <w:p>
      <w:pPr>
        <w:adjustRightInd w:val="0"/>
        <w:snapToGrid w:val="0"/>
        <w:spacing w:line="276" w:lineRule="auto"/>
        <w:ind w:right="480" w:firstLine="6720" w:firstLineChars="28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月</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w:t>
      </w:r>
      <w:r>
        <w:rPr>
          <w:rFonts w:hint="eastAsia" w:eastAsia="仿宋" w:asciiTheme="minorEastAsia" w:hAnsiTheme="minorEastAsia"/>
          <w:snapToGrid w:val="0"/>
          <w:sz w:val="24"/>
          <w:szCs w:val="24"/>
          <w:lang w:eastAsia="zh-CN"/>
        </w:rPr>
        <w:t xml:space="preserve"> 日</w:t>
      </w:r>
    </w:p>
    <w:p>
      <w:pPr>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5"/>
        <w:jc w:val="center"/>
        <w:rPr>
          <w:rFonts w:eastAsia="仿宋" w:asciiTheme="minorEastAsia" w:hAnsiTheme="minorEastAsia"/>
          <w:b/>
          <w:bCs/>
          <w:snapToGrid w:val="0"/>
          <w:sz w:val="32"/>
          <w:szCs w:val="32"/>
          <w:lang w:eastAsia="zh-CN"/>
        </w:rPr>
      </w:pPr>
      <w:bookmarkStart w:id="303" w:name="_Toc171584076"/>
      <w:r>
        <w:rPr>
          <w:rFonts w:eastAsia="仿宋" w:asciiTheme="minorEastAsia" w:hAnsiTheme="minorEastAsia"/>
          <w:b/>
          <w:bCs/>
          <w:snapToGrid w:val="0"/>
          <w:sz w:val="32"/>
          <w:szCs w:val="32"/>
          <w:lang w:eastAsia="zh-CN"/>
        </w:rPr>
        <w:t>四、响应保证金</w:t>
      </w:r>
      <w:bookmarkEnd w:id="303"/>
    </w:p>
    <w:p>
      <w:pPr>
        <w:adjustRightInd w:val="0"/>
        <w:snapToGrid w:val="0"/>
        <w:spacing w:line="276" w:lineRule="auto"/>
        <w:jc w:val="cente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p>
    <w:p>
      <w:pPr>
        <w:pStyle w:val="12"/>
        <w:numPr>
          <w:ilvl w:val="0"/>
          <w:numId w:val="12"/>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采用转账方式的，供应商应在此提供转账凭证复印件。</w:t>
      </w:r>
    </w:p>
    <w:p>
      <w:pPr>
        <w:rPr>
          <w:lang w:eastAsia="zh-CN"/>
        </w:rPr>
      </w:pPr>
    </w:p>
    <w:p>
      <w:pPr>
        <w:jc w:val="center"/>
        <w:rPr>
          <w:rFonts w:eastAsia="仿宋" w:asciiTheme="minorEastAsia" w:hAnsiTheme="minorEastAsia"/>
          <w:b/>
          <w:bCs/>
          <w:snapToGrid w:val="0"/>
          <w:sz w:val="32"/>
          <w:szCs w:val="32"/>
          <w:lang w:eastAsia="zh-CN"/>
        </w:rPr>
      </w:pPr>
      <w:r>
        <w:rPr>
          <w:rFonts w:hint="eastAsia" w:eastAsia="仿宋" w:asciiTheme="minorEastAsia" w:hAnsiTheme="minorEastAsia"/>
          <w:b/>
          <w:bCs/>
          <w:snapToGrid w:val="0"/>
          <w:sz w:val="32"/>
          <w:szCs w:val="32"/>
          <w:lang w:eastAsia="zh-CN"/>
        </w:rPr>
        <w:t>响应保证金</w:t>
      </w:r>
      <w:r>
        <w:rPr>
          <w:rFonts w:eastAsia="仿宋" w:asciiTheme="minorEastAsia" w:hAnsiTheme="minorEastAsia"/>
          <w:b/>
          <w:bCs/>
          <w:snapToGrid w:val="0"/>
          <w:sz w:val="32"/>
          <w:szCs w:val="32"/>
          <w:lang w:eastAsia="zh-CN"/>
        </w:rPr>
        <w:t>退还申请书</w:t>
      </w:r>
    </w:p>
    <w:p>
      <w:pPr>
        <w:spacing w:line="360" w:lineRule="exact"/>
        <w:rPr>
          <w:rFonts w:eastAsia="仿宋_GB2312"/>
          <w:sz w:val="24"/>
          <w:szCs w:val="24"/>
          <w:lang w:eastAsia="zh-CN"/>
        </w:rPr>
      </w:pPr>
      <w:r>
        <w:rPr>
          <w:rFonts w:eastAsia="仿宋_GB2312"/>
          <w:sz w:val="24"/>
          <w:szCs w:val="24"/>
          <w:lang w:eastAsia="zh-CN"/>
        </w:rPr>
        <w:t>致：中粮</w:t>
      </w:r>
      <w:r>
        <w:rPr>
          <w:rFonts w:hint="eastAsia" w:eastAsia="仿宋_GB2312"/>
          <w:sz w:val="24"/>
          <w:szCs w:val="24"/>
          <w:lang w:eastAsia="zh-CN"/>
        </w:rPr>
        <w:t>北海糖业</w:t>
      </w:r>
      <w:r>
        <w:rPr>
          <w:rFonts w:eastAsia="仿宋_GB2312"/>
          <w:sz w:val="24"/>
          <w:szCs w:val="24"/>
          <w:lang w:eastAsia="zh-CN"/>
        </w:rPr>
        <w:t>有限公司</w:t>
      </w:r>
    </w:p>
    <w:p>
      <w:pPr>
        <w:spacing w:line="360" w:lineRule="exact"/>
        <w:ind w:firstLine="480" w:firstLineChars="200"/>
        <w:rPr>
          <w:rFonts w:eastAsia="仿宋_GB2312"/>
          <w:sz w:val="24"/>
          <w:szCs w:val="24"/>
          <w:lang w:eastAsia="zh-CN"/>
        </w:rPr>
      </w:pPr>
      <w:r>
        <w:rPr>
          <w:rFonts w:eastAsia="仿宋_GB2312"/>
          <w:sz w:val="24"/>
          <w:szCs w:val="24"/>
          <w:lang w:eastAsia="zh-CN"/>
        </w:rPr>
        <w:t>我单位参加了贵方组织的</w:t>
      </w:r>
      <w:r>
        <w:rPr>
          <w:rFonts w:hint="eastAsia" w:eastAsia="仿宋_GB2312"/>
          <w:sz w:val="24"/>
          <w:szCs w:val="24"/>
          <w:lang w:eastAsia="zh-CN"/>
        </w:rPr>
        <w:t>中粮糖业甘蔗糖部2024年北海糖业制炼车间丙糖螺旋输送槽大修项目</w:t>
      </w:r>
      <w:r>
        <w:rPr>
          <w:rFonts w:eastAsia="仿宋_GB2312"/>
          <w:sz w:val="24"/>
          <w:szCs w:val="24"/>
          <w:lang w:eastAsia="zh-CN"/>
        </w:rPr>
        <w:t>谈判</w:t>
      </w:r>
      <w:r>
        <w:rPr>
          <w:rFonts w:hint="eastAsia" w:eastAsia="仿宋_GB2312"/>
          <w:sz w:val="24"/>
          <w:szCs w:val="24"/>
          <w:lang w:eastAsia="zh-CN"/>
        </w:rPr>
        <w:t>采购</w:t>
      </w:r>
      <w:r>
        <w:rPr>
          <w:rFonts w:eastAsia="仿宋_GB2312"/>
          <w:sz w:val="24"/>
          <w:szCs w:val="24"/>
          <w:lang w:eastAsia="zh-CN"/>
        </w:rPr>
        <w:t>并递交</w:t>
      </w:r>
      <w:r>
        <w:rPr>
          <w:rFonts w:hint="eastAsia" w:eastAsia="仿宋_GB2312"/>
          <w:sz w:val="24"/>
          <w:szCs w:val="24"/>
          <w:lang w:eastAsia="zh-CN"/>
        </w:rPr>
        <w:t>响应保证金</w:t>
      </w:r>
      <w:r>
        <w:rPr>
          <w:rFonts w:eastAsia="仿宋_GB2312"/>
          <w:sz w:val="24"/>
          <w:szCs w:val="24"/>
          <w:lang w:eastAsia="zh-CN"/>
        </w:rPr>
        <w:t>人民币</w:t>
      </w:r>
      <w:r>
        <w:rPr>
          <w:rFonts w:eastAsia="仿宋_GB2312"/>
          <w:sz w:val="24"/>
          <w:szCs w:val="24"/>
          <w:u w:val="single"/>
          <w:lang w:eastAsia="zh-CN"/>
        </w:rPr>
        <w:t xml:space="preserve">      </w:t>
      </w:r>
      <w:r>
        <w:rPr>
          <w:rFonts w:eastAsia="仿宋_GB2312"/>
          <w:sz w:val="24"/>
          <w:szCs w:val="24"/>
          <w:lang w:eastAsia="zh-CN"/>
        </w:rPr>
        <w:t>元，我单位若不能中标贵方项目的，我单位</w:t>
      </w:r>
      <w:r>
        <w:rPr>
          <w:rFonts w:hint="eastAsia" w:eastAsia="仿宋_GB2312"/>
          <w:sz w:val="24"/>
          <w:szCs w:val="24"/>
          <w:lang w:eastAsia="zh-CN"/>
        </w:rPr>
        <w:t>响应保证金</w:t>
      </w:r>
      <w:r>
        <w:rPr>
          <w:rFonts w:eastAsia="仿宋_GB2312"/>
          <w:sz w:val="24"/>
          <w:szCs w:val="24"/>
          <w:lang w:eastAsia="zh-CN"/>
        </w:rPr>
        <w:t>请按下表账户信息退还。</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1731"/>
        <w:gridCol w:w="1393"/>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eastAsia="仿宋_GB2312"/>
                <w:sz w:val="24"/>
                <w:szCs w:val="24"/>
              </w:rPr>
              <w:t>收款单位名称</w:t>
            </w:r>
          </w:p>
        </w:tc>
        <w:tc>
          <w:tcPr>
            <w:tcW w:w="5431" w:type="dxa"/>
            <w:gridSpan w:val="3"/>
            <w:vAlign w:val="center"/>
          </w:tcPr>
          <w:p>
            <w:pPr>
              <w:spacing w:line="3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hint="eastAsia" w:eastAsia="仿宋_GB2312"/>
                <w:sz w:val="24"/>
                <w:szCs w:val="24"/>
              </w:rPr>
              <w:t>收款</w:t>
            </w:r>
            <w:r>
              <w:rPr>
                <w:rFonts w:eastAsia="仿宋_GB2312"/>
                <w:sz w:val="24"/>
                <w:szCs w:val="24"/>
              </w:rPr>
              <w:t>单位地址</w:t>
            </w:r>
          </w:p>
        </w:tc>
        <w:tc>
          <w:tcPr>
            <w:tcW w:w="5431" w:type="dxa"/>
            <w:gridSpan w:val="3"/>
            <w:vAlign w:val="center"/>
          </w:tcPr>
          <w:p>
            <w:pPr>
              <w:spacing w:line="3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eastAsia="仿宋_GB2312"/>
                <w:sz w:val="24"/>
                <w:szCs w:val="24"/>
              </w:rPr>
              <w:t>开户银行</w:t>
            </w:r>
          </w:p>
        </w:tc>
        <w:tc>
          <w:tcPr>
            <w:tcW w:w="5431" w:type="dxa"/>
            <w:gridSpan w:val="3"/>
            <w:vAlign w:val="center"/>
          </w:tcPr>
          <w:p>
            <w:pPr>
              <w:spacing w:line="3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eastAsia="仿宋_GB2312"/>
                <w:sz w:val="24"/>
                <w:szCs w:val="24"/>
              </w:rPr>
              <w:t>账    号</w:t>
            </w:r>
          </w:p>
        </w:tc>
        <w:tc>
          <w:tcPr>
            <w:tcW w:w="5431" w:type="dxa"/>
            <w:gridSpan w:val="3"/>
            <w:vAlign w:val="center"/>
          </w:tcPr>
          <w:p>
            <w:pPr>
              <w:spacing w:line="3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eastAsia="仿宋_GB2312"/>
                <w:sz w:val="24"/>
                <w:szCs w:val="24"/>
              </w:rPr>
              <w:t>联 系 人</w:t>
            </w:r>
          </w:p>
        </w:tc>
        <w:tc>
          <w:tcPr>
            <w:tcW w:w="1731" w:type="dxa"/>
            <w:vAlign w:val="center"/>
          </w:tcPr>
          <w:p>
            <w:pPr>
              <w:spacing w:line="360" w:lineRule="exact"/>
              <w:rPr>
                <w:rFonts w:eastAsia="仿宋_GB2312"/>
                <w:sz w:val="24"/>
                <w:szCs w:val="24"/>
              </w:rPr>
            </w:pPr>
          </w:p>
        </w:tc>
        <w:tc>
          <w:tcPr>
            <w:tcW w:w="1393" w:type="dxa"/>
            <w:vAlign w:val="center"/>
          </w:tcPr>
          <w:p>
            <w:pPr>
              <w:spacing w:line="360" w:lineRule="exact"/>
              <w:jc w:val="center"/>
              <w:rPr>
                <w:rFonts w:eastAsia="仿宋_GB2312"/>
                <w:sz w:val="24"/>
                <w:szCs w:val="24"/>
              </w:rPr>
            </w:pPr>
            <w:r>
              <w:rPr>
                <w:rFonts w:eastAsia="仿宋_GB2312"/>
                <w:sz w:val="24"/>
                <w:szCs w:val="24"/>
              </w:rPr>
              <w:t>联系电话</w:t>
            </w:r>
          </w:p>
        </w:tc>
        <w:tc>
          <w:tcPr>
            <w:tcW w:w="2307" w:type="dxa"/>
            <w:vAlign w:val="center"/>
          </w:tcPr>
          <w:p>
            <w:pPr>
              <w:spacing w:line="360" w:lineRule="exact"/>
              <w:rPr>
                <w:rFonts w:eastAsia="仿宋_GB2312"/>
                <w:sz w:val="24"/>
                <w:szCs w:val="24"/>
              </w:rPr>
            </w:pPr>
          </w:p>
        </w:tc>
      </w:tr>
    </w:tbl>
    <w:p>
      <w:pPr>
        <w:spacing w:line="500" w:lineRule="exact"/>
        <w:ind w:firstLine="480" w:firstLineChars="200"/>
        <w:rPr>
          <w:rFonts w:eastAsia="仿宋_GB2312"/>
          <w:sz w:val="24"/>
          <w:szCs w:val="24"/>
          <w:lang w:eastAsia="zh-CN"/>
        </w:rPr>
      </w:pPr>
      <w:r>
        <w:rPr>
          <w:rFonts w:eastAsia="仿宋_GB2312"/>
          <w:sz w:val="24"/>
          <w:szCs w:val="24"/>
          <w:lang w:eastAsia="zh-CN"/>
        </w:rPr>
        <w:t>如果我单位未遵守有关谈判文件关于</w:t>
      </w:r>
      <w:r>
        <w:rPr>
          <w:rFonts w:hint="eastAsia" w:eastAsia="仿宋_GB2312"/>
          <w:sz w:val="24"/>
          <w:szCs w:val="24"/>
          <w:lang w:eastAsia="zh-CN"/>
        </w:rPr>
        <w:t>响应保证金</w:t>
      </w:r>
      <w:r>
        <w:rPr>
          <w:rFonts w:eastAsia="仿宋_GB2312"/>
          <w:sz w:val="24"/>
          <w:szCs w:val="24"/>
          <w:lang w:eastAsia="zh-CN"/>
        </w:rPr>
        <w:t>的规定，贵方可以没收我单位</w:t>
      </w:r>
      <w:r>
        <w:rPr>
          <w:rFonts w:hint="eastAsia" w:eastAsia="仿宋_GB2312"/>
          <w:sz w:val="24"/>
          <w:szCs w:val="24"/>
          <w:lang w:eastAsia="zh-CN"/>
        </w:rPr>
        <w:t>响应保证金</w:t>
      </w:r>
      <w:r>
        <w:rPr>
          <w:rFonts w:eastAsia="仿宋_GB2312"/>
          <w:sz w:val="24"/>
          <w:szCs w:val="24"/>
          <w:lang w:eastAsia="zh-CN"/>
        </w:rPr>
        <w:t>。</w:t>
      </w:r>
    </w:p>
    <w:p>
      <w:pPr>
        <w:spacing w:line="500" w:lineRule="exact"/>
        <w:rPr>
          <w:rFonts w:eastAsia="仿宋_GB2312"/>
          <w:sz w:val="24"/>
          <w:szCs w:val="24"/>
          <w:lang w:eastAsia="zh-CN"/>
        </w:rPr>
      </w:pPr>
      <w:r>
        <w:rPr>
          <w:rFonts w:eastAsia="仿宋_GB2312"/>
          <w:sz w:val="24"/>
          <w:szCs w:val="24"/>
          <w:lang w:eastAsia="zh-CN"/>
        </w:rPr>
        <w:t xml:space="preserve">谈判人名称（盖章）：                              </w:t>
      </w:r>
    </w:p>
    <w:p>
      <w:pPr>
        <w:spacing w:line="500" w:lineRule="exact"/>
        <w:rPr>
          <w:rFonts w:eastAsia="仿宋_GB2312"/>
          <w:sz w:val="24"/>
          <w:szCs w:val="24"/>
          <w:lang w:eastAsia="zh-CN"/>
        </w:rPr>
      </w:pPr>
      <w:r>
        <w:rPr>
          <w:rFonts w:eastAsia="仿宋_GB2312"/>
          <w:sz w:val="24"/>
          <w:szCs w:val="24"/>
          <w:lang w:eastAsia="zh-CN"/>
        </w:rPr>
        <w:t xml:space="preserve">谈判人授权代表（签字）：                          </w:t>
      </w:r>
    </w:p>
    <w:p>
      <w:pPr>
        <w:spacing w:line="500" w:lineRule="exact"/>
        <w:rPr>
          <w:rFonts w:eastAsia="仿宋_GB2312"/>
          <w:sz w:val="24"/>
          <w:szCs w:val="24"/>
          <w:lang w:eastAsia="zh-CN"/>
        </w:rPr>
      </w:pPr>
      <w:r>
        <w:rPr>
          <w:rFonts w:eastAsia="仿宋_GB2312"/>
          <w:sz w:val="24"/>
          <w:szCs w:val="24"/>
          <w:lang w:eastAsia="zh-CN"/>
        </w:rPr>
        <w:t>日期：</w:t>
      </w:r>
      <w:r>
        <w:rPr>
          <w:rFonts w:eastAsia="仿宋_GB2312"/>
          <w:sz w:val="24"/>
          <w:szCs w:val="24"/>
          <w:u w:val="single"/>
          <w:lang w:eastAsia="zh-CN"/>
        </w:rPr>
        <w:t xml:space="preserve">      </w:t>
      </w:r>
      <w:r>
        <w:rPr>
          <w:rFonts w:eastAsia="仿宋_GB2312"/>
          <w:sz w:val="24"/>
          <w:szCs w:val="24"/>
          <w:lang w:eastAsia="zh-CN"/>
        </w:rPr>
        <w:t>年</w:t>
      </w:r>
      <w:r>
        <w:rPr>
          <w:rFonts w:eastAsia="仿宋_GB2312"/>
          <w:sz w:val="24"/>
          <w:szCs w:val="24"/>
          <w:u w:val="single"/>
          <w:lang w:eastAsia="zh-CN"/>
        </w:rPr>
        <w:t xml:space="preserve">    </w:t>
      </w:r>
      <w:r>
        <w:rPr>
          <w:rFonts w:eastAsia="仿宋_GB2312"/>
          <w:sz w:val="24"/>
          <w:szCs w:val="24"/>
          <w:lang w:eastAsia="zh-CN"/>
        </w:rPr>
        <w:t>月</w:t>
      </w:r>
      <w:r>
        <w:rPr>
          <w:rFonts w:eastAsia="仿宋_GB2312"/>
          <w:sz w:val="24"/>
          <w:szCs w:val="24"/>
          <w:u w:val="single"/>
          <w:lang w:eastAsia="zh-CN"/>
        </w:rPr>
        <w:t xml:space="preserve">    </w:t>
      </w:r>
      <w:r>
        <w:rPr>
          <w:rFonts w:eastAsia="仿宋_GB2312"/>
          <w:sz w:val="24"/>
          <w:szCs w:val="24"/>
          <w:lang w:eastAsia="zh-CN"/>
        </w:rPr>
        <w:t>日</w:t>
      </w:r>
    </w:p>
    <w:p>
      <w:pPr>
        <w:spacing w:line="360" w:lineRule="exact"/>
        <w:rPr>
          <w:rFonts w:eastAsia="仿宋_GB2312"/>
          <w:sz w:val="24"/>
          <w:szCs w:val="24"/>
          <w:lang w:eastAsia="zh-CN"/>
        </w:rPr>
      </w:pPr>
      <w:r>
        <w:rPr>
          <w:rFonts w:eastAsia="仿宋_GB2312"/>
          <w:sz w:val="24"/>
          <w:szCs w:val="24"/>
          <w:lang w:eastAsia="zh-CN"/>
        </w:rPr>
        <w:t>说明：</w:t>
      </w:r>
    </w:p>
    <w:p>
      <w:pPr>
        <w:spacing w:line="360" w:lineRule="exact"/>
        <w:ind w:firstLine="480" w:firstLineChars="200"/>
        <w:rPr>
          <w:rFonts w:eastAsia="仿宋_GB2312"/>
          <w:sz w:val="24"/>
          <w:szCs w:val="24"/>
          <w:lang w:eastAsia="zh-CN"/>
        </w:rPr>
      </w:pPr>
      <w:r>
        <w:rPr>
          <w:rFonts w:eastAsia="仿宋_GB2312"/>
          <w:sz w:val="24"/>
          <w:szCs w:val="24"/>
          <w:lang w:eastAsia="zh-CN"/>
        </w:rPr>
        <w:t>1．为保障资金安全，上述账户不能为私人账户。</w:t>
      </w:r>
    </w:p>
    <w:p>
      <w:pPr>
        <w:spacing w:line="360" w:lineRule="exact"/>
        <w:ind w:firstLine="480" w:firstLineChars="200"/>
        <w:rPr>
          <w:rFonts w:eastAsia="仿宋_GB2312"/>
          <w:sz w:val="24"/>
          <w:szCs w:val="24"/>
          <w:lang w:eastAsia="zh-CN"/>
        </w:rPr>
      </w:pPr>
      <w:r>
        <w:rPr>
          <w:rFonts w:eastAsia="仿宋_GB2312"/>
          <w:sz w:val="24"/>
          <w:szCs w:val="24"/>
          <w:lang w:eastAsia="zh-CN"/>
        </w:rPr>
        <w:t>2．如因上述账户信息有误或账户信息变更未及时通知导致</w:t>
      </w:r>
      <w:r>
        <w:rPr>
          <w:rFonts w:hint="eastAsia" w:eastAsia="仿宋_GB2312"/>
          <w:sz w:val="24"/>
          <w:szCs w:val="24"/>
          <w:lang w:eastAsia="zh-CN"/>
        </w:rPr>
        <w:t>响应保证金</w:t>
      </w:r>
      <w:r>
        <w:rPr>
          <w:rFonts w:eastAsia="仿宋_GB2312"/>
          <w:sz w:val="24"/>
          <w:szCs w:val="24"/>
          <w:lang w:eastAsia="zh-CN"/>
        </w:rPr>
        <w:t>无法退还或丢失等可能产生的一切后果由谈判人自行负责。</w:t>
      </w:r>
    </w:p>
    <w:p>
      <w:pPr>
        <w:spacing w:line="360" w:lineRule="exact"/>
        <w:ind w:firstLine="480" w:firstLineChars="200"/>
        <w:rPr>
          <w:rFonts w:eastAsia="仿宋_GB2312"/>
          <w:sz w:val="24"/>
          <w:szCs w:val="24"/>
          <w:lang w:eastAsia="zh-CN"/>
        </w:rPr>
      </w:pPr>
      <w:r>
        <w:rPr>
          <w:rFonts w:eastAsia="仿宋_GB2312"/>
          <w:sz w:val="24"/>
          <w:szCs w:val="24"/>
          <w:lang w:eastAsia="zh-CN"/>
        </w:rPr>
        <w:t>3．如谈判人未及时收到退回款项，请与中粮</w:t>
      </w:r>
      <w:r>
        <w:rPr>
          <w:rFonts w:hint="eastAsia" w:eastAsia="仿宋_GB2312"/>
          <w:sz w:val="24"/>
          <w:szCs w:val="24"/>
          <w:lang w:eastAsia="zh-CN"/>
        </w:rPr>
        <w:t>北海糖业</w:t>
      </w:r>
      <w:r>
        <w:rPr>
          <w:rFonts w:eastAsia="仿宋_GB2312"/>
          <w:sz w:val="24"/>
          <w:szCs w:val="24"/>
          <w:lang w:eastAsia="zh-CN"/>
        </w:rPr>
        <w:t>有限公司财务部联系。</w:t>
      </w:r>
    </w:p>
    <w:p>
      <w:pPr>
        <w:spacing w:line="360" w:lineRule="exact"/>
        <w:ind w:firstLine="480" w:firstLineChars="200"/>
        <w:rPr>
          <w:rFonts w:eastAsia="仿宋_GB2312"/>
          <w:sz w:val="24"/>
          <w:szCs w:val="24"/>
          <w:lang w:eastAsia="zh-CN"/>
        </w:rPr>
      </w:pPr>
      <w:r>
        <w:rPr>
          <w:rFonts w:eastAsia="仿宋_GB2312"/>
          <w:sz w:val="24"/>
          <w:szCs w:val="24"/>
          <w:lang w:eastAsia="zh-CN"/>
        </w:rPr>
        <w:t>4．中粮</w:t>
      </w:r>
      <w:r>
        <w:rPr>
          <w:rFonts w:hint="eastAsia" w:eastAsia="仿宋_GB2312"/>
          <w:sz w:val="24"/>
          <w:szCs w:val="24"/>
          <w:lang w:eastAsia="zh-CN"/>
        </w:rPr>
        <w:t>北海糖业</w:t>
      </w:r>
      <w:r>
        <w:rPr>
          <w:rFonts w:eastAsia="仿宋_GB2312"/>
          <w:sz w:val="24"/>
          <w:szCs w:val="24"/>
          <w:lang w:eastAsia="zh-CN"/>
        </w:rPr>
        <w:t>有限公司财务部联系方式：</w:t>
      </w:r>
    </w:p>
    <w:p>
      <w:pPr>
        <w:spacing w:line="360" w:lineRule="exact"/>
        <w:ind w:firstLine="480" w:firstLineChars="200"/>
        <w:rPr>
          <w:rFonts w:eastAsia="仿宋_GB2312"/>
          <w:sz w:val="24"/>
          <w:szCs w:val="24"/>
          <w:lang w:eastAsia="zh-CN"/>
        </w:rPr>
      </w:pPr>
      <w:r>
        <w:rPr>
          <w:rFonts w:eastAsia="仿宋_GB2312"/>
          <w:sz w:val="24"/>
          <w:szCs w:val="24"/>
          <w:lang w:eastAsia="zh-CN"/>
        </w:rPr>
        <w:t>电话：0779-8606000-6116</w:t>
      </w:r>
    </w:p>
    <w:p>
      <w:pPr>
        <w:spacing w:line="360" w:lineRule="exact"/>
        <w:ind w:firstLine="480" w:firstLineChars="200"/>
        <w:rPr>
          <w:rFonts w:eastAsia="仿宋_GB2312"/>
          <w:sz w:val="24"/>
          <w:szCs w:val="24"/>
          <w:lang w:eastAsia="zh-CN"/>
        </w:rPr>
      </w:pPr>
      <w:r>
        <w:rPr>
          <w:rFonts w:eastAsia="仿宋_GB2312"/>
          <w:sz w:val="24"/>
          <w:szCs w:val="24"/>
          <w:lang w:eastAsia="zh-CN"/>
        </w:rPr>
        <w:t>联系人：</w:t>
      </w:r>
      <w:r>
        <w:rPr>
          <w:rFonts w:hint="eastAsia" w:eastAsia="仿宋_GB2312"/>
          <w:sz w:val="24"/>
          <w:szCs w:val="24"/>
          <w:lang w:eastAsia="zh-CN"/>
        </w:rPr>
        <w:t>李树祝</w:t>
      </w:r>
    </w:p>
    <w:p>
      <w:pPr>
        <w:spacing w:line="360" w:lineRule="exact"/>
        <w:rPr>
          <w:rFonts w:eastAsia="仿宋_GB2312"/>
          <w:sz w:val="24"/>
          <w:szCs w:val="24"/>
          <w:lang w:eastAsia="zh-CN"/>
        </w:rPr>
      </w:pPr>
    </w:p>
    <w:p>
      <w:pPr>
        <w:spacing w:line="360" w:lineRule="exact"/>
        <w:ind w:firstLine="480" w:firstLineChars="200"/>
        <w:rPr>
          <w:rFonts w:eastAsia="仿宋_GB2312"/>
          <w:sz w:val="24"/>
          <w:szCs w:val="24"/>
          <w:lang w:eastAsia="zh-CN"/>
        </w:rPr>
      </w:pPr>
      <w:r>
        <w:rPr>
          <w:rFonts w:eastAsia="仿宋_GB2312"/>
          <w:sz w:val="24"/>
          <w:szCs w:val="24"/>
          <w:lang w:eastAsia="zh-CN"/>
        </w:rPr>
        <w:t>注：1.此承诺书不允许装订入谈判文件中，应按谈判人须知的规定密封标记并放入</w:t>
      </w:r>
      <w:r>
        <w:rPr>
          <w:rFonts w:hint="eastAsia" w:eastAsia="仿宋_GB2312"/>
          <w:sz w:val="24"/>
          <w:szCs w:val="24"/>
          <w:lang w:eastAsia="zh-CN"/>
        </w:rPr>
        <w:t>响应保证金</w:t>
      </w:r>
      <w:r>
        <w:rPr>
          <w:rFonts w:eastAsia="仿宋_GB2312"/>
          <w:sz w:val="24"/>
          <w:szCs w:val="24"/>
          <w:lang w:eastAsia="zh-CN"/>
        </w:rPr>
        <w:t>单独封装的信封中。</w:t>
      </w:r>
    </w:p>
    <w:p>
      <w:pPr>
        <w:spacing w:line="360" w:lineRule="exact"/>
        <w:ind w:firstLine="480" w:firstLineChars="200"/>
        <w:rPr>
          <w:rFonts w:eastAsia="仿宋_GB2312"/>
          <w:sz w:val="24"/>
          <w:szCs w:val="24"/>
          <w:lang w:eastAsia="zh-CN"/>
        </w:rPr>
      </w:pPr>
      <w:r>
        <w:rPr>
          <w:rFonts w:eastAsia="仿宋_GB2312"/>
          <w:sz w:val="24"/>
          <w:szCs w:val="24"/>
          <w:lang w:eastAsia="zh-CN"/>
        </w:rPr>
        <w:t>2.未提供此承诺书的谈判将被拒绝并被没收</w:t>
      </w:r>
      <w:r>
        <w:rPr>
          <w:rFonts w:hint="eastAsia" w:eastAsia="仿宋_GB2312"/>
          <w:sz w:val="24"/>
          <w:szCs w:val="24"/>
          <w:lang w:eastAsia="zh-CN"/>
        </w:rPr>
        <w:t>响应保证金</w:t>
      </w:r>
    </w:p>
    <w:p>
      <w:pPr>
        <w:jc w:val="center"/>
        <w:rPr>
          <w:rFonts w:eastAsia="仿宋" w:asciiTheme="minorEastAsia" w:hAnsiTheme="minorEastAsia"/>
          <w:b/>
          <w:bCs/>
          <w:snapToGrid w:val="0"/>
          <w:sz w:val="32"/>
          <w:szCs w:val="32"/>
          <w:lang w:eastAsia="zh-CN"/>
        </w:rPr>
      </w:pPr>
      <w:r>
        <w:rPr>
          <w:rFonts w:eastAsia="仿宋" w:cs="Times New Roman" w:asciiTheme="minorEastAsia" w:hAnsiTheme="minorEastAsia"/>
          <w:snapToGrid w:val="0"/>
          <w:sz w:val="24"/>
          <w:szCs w:val="24"/>
          <w:lang w:eastAsia="zh-CN"/>
        </w:rPr>
        <w:br w:type="page"/>
      </w:r>
      <w:bookmarkStart w:id="304" w:name="_bookmark18"/>
      <w:bookmarkEnd w:id="304"/>
      <w:r>
        <w:rPr>
          <w:rFonts w:eastAsia="仿宋" w:asciiTheme="minorEastAsia" w:hAnsiTheme="minorEastAsia"/>
          <w:b/>
          <w:bCs/>
          <w:snapToGrid w:val="0"/>
          <w:sz w:val="32"/>
          <w:szCs w:val="32"/>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序号</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采购文件章节及条款号</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响应文件章节及条款号</w:t>
            </w: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r>
              <w:rPr>
                <w:rFonts w:eastAsia="仿宋" w:asciiTheme="minorEastAsia" w:hAnsiTheme="minorEastAsia"/>
                <w:snapToGrid w:val="0"/>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1</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2</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3</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4</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5</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bl>
    <w:p>
      <w:pPr>
        <w:adjustRightInd w:val="0"/>
        <w:snapToGrid w:val="0"/>
        <w:spacing w:line="276" w:lineRule="auto"/>
        <w:rPr>
          <w:rFonts w:eastAsia="仿宋" w:asciiTheme="minorEastAsia" w:hAnsiTheme="minorEastAsia"/>
          <w:snapToGrid w:val="0"/>
          <w:sz w:val="24"/>
          <w:szCs w:val="24"/>
        </w:rPr>
      </w:pPr>
    </w:p>
    <w:p>
      <w:pPr>
        <w:adjustRightInd w:val="0"/>
        <w:snapToGrid w:val="0"/>
        <w:spacing w:line="276"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供应商保证：除商务和技术偏差表列出的偏差外，供应商响应采购文件的全部要求。</w:t>
      </w:r>
    </w:p>
    <w:p>
      <w:pPr>
        <w:rPr>
          <w:rFonts w:eastAsia="仿宋" w:asciiTheme="minorEastAsia" w:hAnsiTheme="minorEastAsia"/>
          <w:snapToGrid w:val="0"/>
          <w:sz w:val="24"/>
          <w:szCs w:val="24"/>
          <w:lang w:eastAsia="zh-CN"/>
        </w:rPr>
      </w:pPr>
      <w:bookmarkStart w:id="305" w:name="扫描0056"/>
      <w:bookmarkEnd w:id="305"/>
      <w:r>
        <w:rPr>
          <w:rFonts w:eastAsia="仿宋" w:asciiTheme="minorEastAsia" w:hAnsiTheme="minorEastAsia"/>
          <w:snapToGrid w:val="0"/>
          <w:sz w:val="24"/>
          <w:szCs w:val="24"/>
          <w:lang w:eastAsia="zh-CN"/>
        </w:rPr>
        <w:br w:type="page"/>
      </w:r>
    </w:p>
    <w:p>
      <w:pPr>
        <w:pStyle w:val="5"/>
        <w:jc w:val="center"/>
        <w:rPr>
          <w:rFonts w:eastAsia="仿宋" w:asciiTheme="minorEastAsia" w:hAnsiTheme="minorEastAsia"/>
          <w:b/>
          <w:bCs/>
          <w:snapToGrid w:val="0"/>
          <w:sz w:val="32"/>
          <w:szCs w:val="32"/>
          <w:lang w:eastAsia="zh-CN"/>
        </w:rPr>
      </w:pPr>
      <w:bookmarkStart w:id="306" w:name="_Toc171584077"/>
      <w:r>
        <w:rPr>
          <w:rFonts w:eastAsia="仿宋" w:asciiTheme="minorEastAsia" w:hAnsiTheme="minorEastAsia"/>
          <w:b/>
          <w:bCs/>
          <w:snapToGrid w:val="0"/>
          <w:sz w:val="32"/>
          <w:szCs w:val="32"/>
          <w:lang w:eastAsia="zh-CN"/>
        </w:rPr>
        <w:t>六、</w:t>
      </w:r>
      <w:r>
        <w:rPr>
          <w:rFonts w:hint="eastAsia" w:eastAsia="仿宋" w:asciiTheme="minorEastAsia" w:hAnsiTheme="minorEastAsia"/>
          <w:b/>
          <w:bCs/>
          <w:snapToGrid w:val="0"/>
          <w:sz w:val="32"/>
          <w:szCs w:val="32"/>
          <w:lang w:eastAsia="zh-CN"/>
        </w:rPr>
        <w:t>报价一览表</w:t>
      </w:r>
      <w:bookmarkEnd w:id="30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项目名称：中粮糖业甘蔗糖部2024年北海糖业制炼车间丙糖螺旋输送槽大修项目</w:t>
      </w:r>
    </w:p>
    <w:p>
      <w:pPr>
        <w:adjustRightInd w:val="0"/>
        <w:snapToGrid w:val="0"/>
        <w:spacing w:line="276" w:lineRule="auto"/>
        <w:jc w:val="right"/>
        <w:rPr>
          <w:rFonts w:eastAsia="仿宋" w:asciiTheme="minorEastAsia" w:hAnsiTheme="minorEastAsia"/>
          <w:snapToGrid w:val="0"/>
          <w:sz w:val="21"/>
          <w:szCs w:val="21"/>
          <w:lang w:eastAsia="zh-CN"/>
        </w:rPr>
      </w:pPr>
    </w:p>
    <w:tbl>
      <w:tblPr>
        <w:tblStyle w:val="31"/>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6"/>
        <w:gridCol w:w="5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5"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sz w:val="24"/>
                <w:szCs w:val="24"/>
              </w:rPr>
            </w:pPr>
            <w:r>
              <w:rPr>
                <w:rFonts w:hint="eastAsia" w:ascii="仿宋" w:hAnsi="仿宋" w:eastAsia="仿宋" w:cs="Arial"/>
                <w:sz w:val="24"/>
                <w:szCs w:val="24"/>
              </w:rPr>
              <w:t>项目名称</w:t>
            </w:r>
          </w:p>
        </w:tc>
        <w:tc>
          <w:tcPr>
            <w:tcW w:w="55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
                <w:sz w:val="24"/>
                <w:szCs w:val="24"/>
                <w:lang w:eastAsia="zh-CN"/>
              </w:rPr>
            </w:pPr>
            <w:r>
              <w:rPr>
                <w:rFonts w:hint="eastAsia" w:ascii="仿宋" w:hAnsi="仿宋" w:eastAsia="仿宋" w:cs="Arial"/>
                <w:b/>
                <w:sz w:val="24"/>
                <w:szCs w:val="24"/>
                <w:lang w:eastAsia="zh-CN"/>
              </w:rPr>
              <w:t>中粮糖业甘蔗糖部2024年北海糖业制炼车间丙糖螺旋输送槽大修项目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sz w:val="24"/>
                <w:szCs w:val="24"/>
              </w:rPr>
            </w:pPr>
            <w:r>
              <w:rPr>
                <w:rFonts w:hint="eastAsia" w:ascii="仿宋" w:hAnsi="仿宋" w:eastAsia="仿宋" w:cs="Arial"/>
                <w:sz w:val="24"/>
                <w:szCs w:val="24"/>
              </w:rPr>
              <w:t>响应报价（含税）</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sz w:val="24"/>
                <w:szCs w:val="24"/>
                <w:lang w:eastAsia="zh-CN"/>
              </w:rPr>
            </w:pPr>
            <w:r>
              <w:rPr>
                <w:rFonts w:hint="eastAsia" w:ascii="仿宋" w:hAnsi="仿宋" w:eastAsia="仿宋"/>
                <w:bCs/>
                <w:sz w:val="24"/>
                <w:szCs w:val="24"/>
                <w:lang w:eastAsia="zh-CN"/>
              </w:rPr>
              <w:t>响应报价总金额（含税）：</w:t>
            </w:r>
            <w:r>
              <w:rPr>
                <w:rFonts w:hint="eastAsia" w:ascii="仿宋" w:hAnsi="仿宋" w:eastAsia="仿宋"/>
                <w:bCs/>
                <w:sz w:val="24"/>
                <w:szCs w:val="24"/>
                <w:u w:val="single"/>
                <w:lang w:eastAsia="zh-CN"/>
              </w:rPr>
              <w:t xml:space="preserve">       万元</w:t>
            </w:r>
            <w:r>
              <w:rPr>
                <w:rFonts w:hint="eastAsia" w:ascii="仿宋" w:hAnsi="仿宋" w:eastAsia="仿宋"/>
                <w:bCs/>
                <w:sz w:val="24"/>
                <w:szCs w:val="24"/>
                <w:lang w:eastAsia="zh-CN"/>
              </w:rPr>
              <w:t>（保留小数点后四位有效）</w:t>
            </w:r>
          </w:p>
          <w:p>
            <w:pPr>
              <w:spacing w:line="360" w:lineRule="auto"/>
              <w:ind w:left="-36" w:leftChars="-28" w:hanging="26" w:hangingChars="11"/>
            </w:pPr>
            <w:r>
              <w:rPr>
                <w:rFonts w:hint="eastAsia" w:ascii="仿宋" w:hAnsi="仿宋" w:eastAsia="仿宋"/>
                <w:bCs/>
                <w:sz w:val="24"/>
                <w:szCs w:val="24"/>
                <w:lang w:eastAsia="zh-CN"/>
              </w:rPr>
              <w:t>（附报价清单）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sz w:val="24"/>
                <w:szCs w:val="24"/>
              </w:rPr>
            </w:pPr>
            <w:r>
              <w:rPr>
                <w:rFonts w:hint="eastAsia" w:ascii="仿宋" w:hAnsi="仿宋" w:eastAsia="仿宋" w:cs="Arial"/>
                <w:sz w:val="24"/>
                <w:szCs w:val="24"/>
              </w:rPr>
              <w:t>响应报价（不含税）</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sz w:val="24"/>
                <w:szCs w:val="24"/>
                <w:lang w:eastAsia="zh-CN"/>
              </w:rPr>
            </w:pPr>
            <w:r>
              <w:rPr>
                <w:rFonts w:hint="eastAsia" w:ascii="仿宋" w:hAnsi="仿宋" w:eastAsia="仿宋"/>
                <w:bCs/>
                <w:sz w:val="24"/>
                <w:szCs w:val="24"/>
                <w:lang w:eastAsia="zh-CN"/>
              </w:rPr>
              <w:t>响应报价总金额(不含税)：</w:t>
            </w:r>
            <w:r>
              <w:rPr>
                <w:rFonts w:hint="eastAsia" w:ascii="仿宋" w:hAnsi="仿宋" w:eastAsia="仿宋"/>
                <w:bCs/>
                <w:sz w:val="24"/>
                <w:szCs w:val="24"/>
                <w:u w:val="single"/>
                <w:lang w:eastAsia="zh-CN"/>
              </w:rPr>
              <w:t xml:space="preserve">      万元</w:t>
            </w:r>
            <w:r>
              <w:rPr>
                <w:rFonts w:hint="eastAsia" w:ascii="仿宋" w:hAnsi="仿宋" w:eastAsia="仿宋"/>
                <w:bCs/>
                <w:sz w:val="24"/>
                <w:szCs w:val="24"/>
                <w:lang w:eastAsia="zh-CN"/>
              </w:rPr>
              <w:t>（保留小数点后四位有效）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sz w:val="24"/>
                <w:szCs w:val="24"/>
              </w:rPr>
            </w:pPr>
            <w:r>
              <w:rPr>
                <w:rFonts w:hint="eastAsia" w:ascii="仿宋" w:hAnsi="仿宋" w:eastAsia="仿宋" w:cs="Arial"/>
                <w:sz w:val="24"/>
                <w:szCs w:val="24"/>
              </w:rPr>
              <w:t>税率</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3" w:hRule="atLeast"/>
          <w:jc w:val="center"/>
        </w:trPr>
        <w:tc>
          <w:tcPr>
            <w:tcW w:w="906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Arial"/>
                <w:sz w:val="24"/>
                <w:szCs w:val="24"/>
                <w:lang w:eastAsia="zh-CN"/>
              </w:rPr>
            </w:pPr>
            <w:r>
              <w:rPr>
                <w:rFonts w:hint="eastAsia" w:ascii="仿宋" w:hAnsi="仿宋" w:eastAsia="仿宋" w:cs="Arial"/>
                <w:sz w:val="24"/>
                <w:szCs w:val="24"/>
                <w:lang w:eastAsia="zh-CN"/>
              </w:rPr>
              <w:t>项目负责人姓名：           职称：            执业资格：           ；</w:t>
            </w:r>
          </w:p>
          <w:p>
            <w:pPr>
              <w:spacing w:line="360" w:lineRule="auto"/>
              <w:rPr>
                <w:rFonts w:ascii="仿宋" w:hAnsi="仿宋" w:eastAsia="仿宋" w:cs="Arial"/>
                <w:sz w:val="24"/>
                <w:szCs w:val="24"/>
                <w:lang w:eastAsia="zh-CN"/>
              </w:rPr>
            </w:pPr>
            <w:r>
              <w:rPr>
                <w:rFonts w:hint="eastAsia" w:ascii="仿宋" w:hAnsi="仿宋" w:eastAsia="仿宋" w:cs="Arial"/>
                <w:sz w:val="24"/>
                <w:szCs w:val="24"/>
                <w:lang w:eastAsia="zh-CN"/>
              </w:rPr>
              <w:t>报价说明：</w:t>
            </w:r>
          </w:p>
          <w:p>
            <w:pPr>
              <w:spacing w:line="360" w:lineRule="auto"/>
              <w:rPr>
                <w:rFonts w:ascii="仿宋" w:hAnsi="仿宋" w:eastAsia="仿宋" w:cs="Arial"/>
                <w:sz w:val="24"/>
                <w:szCs w:val="24"/>
                <w:lang w:eastAsia="zh-CN"/>
              </w:rPr>
            </w:pPr>
          </w:p>
          <w:p>
            <w:pPr>
              <w:spacing w:line="360" w:lineRule="auto"/>
              <w:rPr>
                <w:rFonts w:ascii="仿宋" w:hAnsi="仿宋" w:eastAsia="仿宋" w:cs="Arial"/>
                <w:sz w:val="24"/>
                <w:szCs w:val="24"/>
                <w:u w:val="single"/>
                <w:lang w:eastAsia="zh-CN"/>
              </w:rPr>
            </w:pPr>
            <w:r>
              <w:rPr>
                <w:rFonts w:hint="eastAsia" w:ascii="仿宋" w:hAnsi="仿宋" w:eastAsia="仿宋" w:cs="Arial"/>
                <w:sz w:val="24"/>
                <w:szCs w:val="24"/>
                <w:lang w:eastAsia="zh-CN"/>
              </w:rPr>
              <w:t>供应商法定代表人或其授权代表签名：</w:t>
            </w:r>
          </w:p>
          <w:p>
            <w:pPr>
              <w:spacing w:line="360" w:lineRule="auto"/>
              <w:rPr>
                <w:rFonts w:ascii="仿宋" w:hAnsi="仿宋" w:eastAsia="仿宋" w:cs="Arial"/>
                <w:sz w:val="24"/>
                <w:szCs w:val="24"/>
              </w:rPr>
            </w:pPr>
            <w:r>
              <w:rPr>
                <w:rFonts w:hint="eastAsia" w:ascii="仿宋" w:hAnsi="仿宋" w:eastAsia="仿宋" w:cs="Arial"/>
                <w:sz w:val="24"/>
                <w:szCs w:val="24"/>
              </w:rPr>
              <w:t>供应商公章：</w:t>
            </w:r>
          </w:p>
          <w:p>
            <w:pPr>
              <w:spacing w:line="360" w:lineRule="auto"/>
              <w:ind w:firstLine="3240" w:firstLineChars="1350"/>
              <w:rPr>
                <w:rFonts w:ascii="仿宋" w:hAnsi="仿宋" w:eastAsia="仿宋" w:cs="Arial"/>
                <w:sz w:val="24"/>
                <w:szCs w:val="24"/>
              </w:rPr>
            </w:pPr>
            <w:r>
              <w:rPr>
                <w:rFonts w:hint="eastAsia" w:ascii="仿宋" w:hAnsi="仿宋" w:eastAsia="仿宋" w:cs="Arial"/>
                <w:sz w:val="24"/>
                <w:szCs w:val="24"/>
              </w:rPr>
              <w:t>年</w:t>
            </w:r>
            <w:r>
              <w:rPr>
                <w:rFonts w:hint="eastAsia" w:ascii="仿宋" w:hAnsi="仿宋" w:eastAsia="仿宋" w:cs="Arial"/>
                <w:sz w:val="24"/>
                <w:szCs w:val="24"/>
                <w:lang w:eastAsia="zh-CN"/>
              </w:rPr>
              <w:t xml:space="preserve">    </w:t>
            </w:r>
            <w:r>
              <w:rPr>
                <w:rFonts w:hint="eastAsia" w:ascii="仿宋" w:hAnsi="仿宋" w:eastAsia="仿宋" w:cs="Arial"/>
                <w:sz w:val="24"/>
                <w:szCs w:val="24"/>
              </w:rPr>
              <w:t>月</w:t>
            </w:r>
            <w:r>
              <w:rPr>
                <w:rFonts w:hint="eastAsia" w:ascii="仿宋" w:hAnsi="仿宋" w:eastAsia="仿宋" w:cs="Arial"/>
                <w:sz w:val="24"/>
                <w:szCs w:val="24"/>
                <w:lang w:eastAsia="zh-CN"/>
              </w:rPr>
              <w:t xml:space="preserve">    </w:t>
            </w:r>
            <w:r>
              <w:rPr>
                <w:rFonts w:hint="eastAsia" w:ascii="仿宋" w:hAnsi="仿宋" w:eastAsia="仿宋" w:cs="Arial"/>
                <w:sz w:val="24"/>
                <w:szCs w:val="24"/>
              </w:rPr>
              <w:t>日</w:t>
            </w:r>
          </w:p>
        </w:tc>
      </w:tr>
    </w:tbl>
    <w:p>
      <w:pPr>
        <w:adjustRightInd w:val="0"/>
        <w:snapToGrid w:val="0"/>
        <w:spacing w:line="276" w:lineRule="auto"/>
        <w:rPr>
          <w:rFonts w:eastAsia="仿宋" w:asciiTheme="minorEastAsia" w:hAnsiTheme="minorEastAsia"/>
          <w:snapToGrid w:val="0"/>
          <w:sz w:val="24"/>
          <w:szCs w:val="24"/>
          <w:lang w:eastAsia="zh-CN"/>
        </w:rPr>
      </w:pPr>
    </w:p>
    <w:p>
      <w:pPr>
        <w:spacing w:line="360" w:lineRule="auto"/>
        <w:rPr>
          <w:rFonts w:ascii="仿宋" w:hAnsi="仿宋" w:eastAsia="仿宋" w:cs="Arial"/>
          <w:b/>
          <w:sz w:val="24"/>
          <w:szCs w:val="24"/>
        </w:rPr>
      </w:pPr>
      <w:r>
        <w:rPr>
          <w:rFonts w:hint="eastAsia" w:ascii="仿宋" w:hAnsi="仿宋" w:eastAsia="仿宋" w:cs="Arial"/>
          <w:b/>
          <w:sz w:val="24"/>
          <w:szCs w:val="24"/>
        </w:rPr>
        <w:t>注：</w:t>
      </w:r>
    </w:p>
    <w:p>
      <w:pPr>
        <w:spacing w:line="360" w:lineRule="auto"/>
        <w:rPr>
          <w:rFonts w:ascii="仿宋" w:hAnsi="仿宋" w:eastAsia="仿宋" w:cs="Arial"/>
          <w:b/>
          <w:sz w:val="24"/>
          <w:szCs w:val="24"/>
          <w:lang w:eastAsia="zh-CN"/>
        </w:rPr>
      </w:pPr>
      <w:r>
        <w:rPr>
          <w:rFonts w:ascii="仿宋" w:hAnsi="仿宋" w:eastAsia="仿宋" w:cs="Arial"/>
          <w:b/>
          <w:sz w:val="24"/>
          <w:szCs w:val="24"/>
          <w:lang w:eastAsia="zh-CN"/>
        </w:rPr>
        <w:t>1.</w:t>
      </w:r>
      <w:r>
        <w:rPr>
          <w:rFonts w:hint="eastAsia" w:ascii="仿宋" w:hAnsi="仿宋" w:eastAsia="仿宋" w:cs="Arial"/>
          <w:b/>
          <w:sz w:val="24"/>
          <w:szCs w:val="24"/>
          <w:lang w:eastAsia="zh-CN"/>
        </w:rPr>
        <w:t>供应商报价应考虑到可能发生的所有与完成相关工程服务及履行合同义务有关的一切费用，响应报价应包括为提供本项目规定的全部管理、服务所发生的一切人工（含工资、加班工资、工作餐、社会统筹保险金、相关人员聘用的费用等）、设备、材料（含辅材）、评审费、交通、管理、保险、税金、及酬金等。</w:t>
      </w:r>
    </w:p>
    <w:p>
      <w:pPr>
        <w:spacing w:line="360" w:lineRule="auto"/>
        <w:rPr>
          <w:rFonts w:ascii="仿宋" w:hAnsi="仿宋" w:eastAsia="仿宋"/>
          <w:snapToGrid w:val="0"/>
          <w:sz w:val="24"/>
          <w:szCs w:val="24"/>
          <w:lang w:eastAsia="zh-CN"/>
        </w:rPr>
      </w:pPr>
      <w:r>
        <w:rPr>
          <w:rFonts w:ascii="仿宋" w:hAnsi="仿宋" w:eastAsia="仿宋" w:cs="Arial"/>
          <w:b/>
          <w:sz w:val="24"/>
          <w:szCs w:val="24"/>
          <w:lang w:eastAsia="zh-CN"/>
        </w:rPr>
        <w:t>2.</w:t>
      </w:r>
      <w:r>
        <w:rPr>
          <w:rFonts w:hint="eastAsia" w:ascii="仿宋" w:hAnsi="仿宋" w:eastAsia="仿宋" w:cs="Arial"/>
          <w:b/>
          <w:sz w:val="24"/>
          <w:szCs w:val="24"/>
          <w:lang w:eastAsia="zh-CN"/>
        </w:rPr>
        <w:t>供应商只允许有一个报价，采购不接受有任何有选择的报价。</w:t>
      </w:r>
      <w:bookmarkStart w:id="307" w:name="_Hlk70079922"/>
      <w:r>
        <w:rPr>
          <w:rFonts w:hint="eastAsia" w:ascii="仿宋" w:hAnsi="仿宋" w:eastAsia="仿宋" w:cs="Arial"/>
          <w:b/>
          <w:sz w:val="24"/>
          <w:szCs w:val="24"/>
          <w:lang w:eastAsia="zh-CN"/>
        </w:rPr>
        <w:t>报价明细表分项报价合计数与报价一览表报价总金额不一致的，以报价明细表分项报价金额合计数为准。</w:t>
      </w:r>
      <w:bookmarkEnd w:id="307"/>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eastAsia="仿宋" w:cs="Times New Roman" w:asciiTheme="minorEastAsia" w:hAnsiTheme="minorEastAsia"/>
          <w:snapToGrid w:val="0"/>
          <w:sz w:val="24"/>
          <w:szCs w:val="24"/>
          <w:lang w:eastAsia="zh-CN"/>
        </w:rPr>
        <w:sectPr>
          <w:footerReference r:id="rId6" w:type="default"/>
          <w:pgSz w:w="12160" w:h="17020"/>
          <w:pgMar w:top="1304" w:right="1304" w:bottom="1304" w:left="1304" w:header="720" w:footer="720" w:gutter="0"/>
          <w:cols w:space="720" w:num="1"/>
          <w:docGrid w:linePitch="299" w:charSpace="0"/>
        </w:sectPr>
      </w:pPr>
      <w:bookmarkStart w:id="308" w:name="扫描0057"/>
      <w:bookmarkEnd w:id="308"/>
    </w:p>
    <w:p>
      <w:pPr>
        <w:rPr>
          <w:rFonts w:eastAsia="仿宋"/>
          <w:lang w:eastAsia="zh-CN"/>
        </w:rPr>
      </w:pPr>
      <w:bookmarkStart w:id="309" w:name="扫描0058"/>
      <w:bookmarkEnd w:id="309"/>
      <w:bookmarkStart w:id="310" w:name="扫描0059"/>
      <w:bookmarkEnd w:id="310"/>
    </w:p>
    <w:p>
      <w:pPr>
        <w:pStyle w:val="5"/>
        <w:jc w:val="center"/>
        <w:rPr>
          <w:rFonts w:eastAsia="仿宋" w:asciiTheme="minorEastAsia" w:hAnsiTheme="minorEastAsia"/>
          <w:b/>
          <w:bCs/>
          <w:snapToGrid w:val="0"/>
          <w:sz w:val="32"/>
          <w:szCs w:val="32"/>
          <w:lang w:eastAsia="zh-CN"/>
        </w:rPr>
      </w:pPr>
      <w:bookmarkStart w:id="311" w:name="_bookmark20"/>
      <w:bookmarkEnd w:id="311"/>
      <w:bookmarkStart w:id="312" w:name="_Toc171584078"/>
      <w:r>
        <w:rPr>
          <w:rFonts w:hint="eastAsia" w:eastAsia="仿宋" w:asciiTheme="minorEastAsia" w:hAnsiTheme="minorEastAsia"/>
          <w:b/>
          <w:bCs/>
          <w:snapToGrid w:val="0"/>
          <w:sz w:val="32"/>
          <w:szCs w:val="32"/>
          <w:lang w:eastAsia="zh-CN"/>
        </w:rPr>
        <w:t>七</w:t>
      </w:r>
      <w:r>
        <w:rPr>
          <w:rFonts w:eastAsia="仿宋" w:asciiTheme="minorEastAsia" w:hAnsiTheme="minorEastAsia"/>
          <w:b/>
          <w:bCs/>
          <w:snapToGrid w:val="0"/>
          <w:sz w:val="32"/>
          <w:szCs w:val="32"/>
          <w:lang w:eastAsia="zh-CN"/>
        </w:rPr>
        <w:t>、资格审查资料</w:t>
      </w:r>
      <w:bookmarkEnd w:id="312"/>
    </w:p>
    <w:p>
      <w:pPr>
        <w:adjustRightInd w:val="0"/>
        <w:snapToGrid w:val="0"/>
        <w:spacing w:line="276" w:lineRule="auto"/>
        <w:rPr>
          <w:rFonts w:eastAsia="仿宋" w:asciiTheme="minorEastAsia" w:hAnsiTheme="minorEastAsia"/>
          <w:b/>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(一)基本情况</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供应商还应根据供应商须知前附表第3.5(5)项、第3.5(7)项和第3.5(8)项的要求提供其他相关证明材料。</w:t>
      </w:r>
    </w:p>
    <w:p>
      <w:pPr>
        <w:adjustRightInd w:val="0"/>
        <w:snapToGrid w:val="0"/>
        <w:spacing w:line="276" w:lineRule="auto"/>
        <w:rPr>
          <w:rFonts w:eastAsia="仿宋" w:asciiTheme="minorEastAsia" w:hAnsiTheme="minorEastAsia"/>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(二)近年财务状况</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供应商应根据供应商须知前附表第3.5(3)项的要求提供近年财务会计报表复印件。</w:t>
      </w:r>
    </w:p>
    <w:p>
      <w:pPr>
        <w:adjustRightInd w:val="0"/>
        <w:snapToGrid w:val="0"/>
        <w:spacing w:line="276" w:lineRule="auto"/>
        <w:rPr>
          <w:rFonts w:eastAsia="仿宋" w:asciiTheme="minorEastAsia" w:hAnsiTheme="minorEastAsia"/>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w:t>
      </w:r>
      <w:r>
        <w:rPr>
          <w:rFonts w:hint="eastAsia" w:eastAsia="仿宋" w:asciiTheme="minorEastAsia" w:hAnsiTheme="minorEastAsia"/>
          <w:b/>
          <w:bCs/>
          <w:snapToGrid w:val="0"/>
          <w:szCs w:val="24"/>
          <w:lang w:eastAsia="zh-CN"/>
        </w:rPr>
        <w:t>三</w:t>
      </w:r>
      <w:r>
        <w:rPr>
          <w:rFonts w:eastAsia="仿宋" w:asciiTheme="minorEastAsia" w:hAnsiTheme="minorEastAsia"/>
          <w:b/>
          <w:bCs/>
          <w:snapToGrid w:val="0"/>
          <w:szCs w:val="24"/>
          <w:lang w:eastAsia="zh-CN"/>
        </w:rPr>
        <w:t>)近年的类似项目情况表</w:t>
      </w:r>
    </w:p>
    <w:p>
      <w:pPr>
        <w:adjustRightInd w:val="0"/>
        <w:snapToGrid w:val="0"/>
        <w:spacing w:line="276" w:lineRule="auto"/>
        <w:rPr>
          <w:rFonts w:eastAsia="仿宋" w:asciiTheme="minorEastAsia" w:hAnsiTheme="minorEastAsia"/>
          <w:snapToGrid w:val="0"/>
          <w:sz w:val="24"/>
          <w:szCs w:val="24"/>
          <w:lang w:eastAsia="zh-CN"/>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39"/>
        <w:gridCol w:w="67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项目名称</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服务内容</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委托人/发包人名称</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委托人/发包人联系人</w:t>
            </w:r>
            <w:r>
              <w:rPr>
                <w:rFonts w:eastAsia="仿宋" w:asciiTheme="minorEastAsia" w:hAnsiTheme="minorEastAsia"/>
                <w:snapToGrid w:val="0"/>
                <w:sz w:val="24"/>
                <w:szCs w:val="24"/>
                <w:u w:val="single"/>
                <w:lang w:eastAsia="zh-CN"/>
              </w:rPr>
              <w:t>及电话</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合同价格</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服务是否完成</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项目负责人(如有)</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9"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项目概况及供应商履约情况</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u w:val="single"/>
              </w:rPr>
              <w:t>备注</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bl>
    <w:p>
      <w:pPr>
        <w:adjustRightInd w:val="0"/>
        <w:snapToGrid w:val="0"/>
        <w:spacing w:before="240" w:line="276" w:lineRule="auto"/>
        <w:ind w:firstLine="36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注：供应商应根据供应商须知前附表第3.5(4)项的要求在本表后附相关证明材料。</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eastAsia="仿宋" w:cs="Times New Roman" w:asciiTheme="minorEastAsia" w:hAnsiTheme="minorEastAsia"/>
          <w:snapToGrid w:val="0"/>
          <w:sz w:val="24"/>
          <w:szCs w:val="24"/>
          <w:lang w:eastAsia="zh-CN"/>
        </w:rPr>
      </w:pPr>
      <w:bookmarkStart w:id="313" w:name="扫描0064"/>
      <w:bookmarkEnd w:id="313"/>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（四）拟委任的主要人员汇总表</w:t>
      </w:r>
    </w:p>
    <w:p>
      <w:pPr>
        <w:adjustRightInd w:val="0"/>
        <w:snapToGrid w:val="0"/>
        <w:spacing w:line="276" w:lineRule="auto"/>
        <w:rPr>
          <w:rFonts w:eastAsia="仿宋" w:asciiTheme="minorEastAsia" w:hAnsiTheme="minorEastAsia"/>
          <w:snapToGrid w:val="0"/>
          <w:sz w:val="24"/>
          <w:szCs w:val="24"/>
          <w:lang w:eastAsia="zh-CN"/>
        </w:rPr>
      </w:pPr>
    </w:p>
    <w:tbl>
      <w:tblPr>
        <w:tblStyle w:val="31"/>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1418"/>
        <w:gridCol w:w="992"/>
        <w:gridCol w:w="982"/>
        <w:gridCol w:w="797"/>
        <w:gridCol w:w="1248"/>
        <w:gridCol w:w="855"/>
        <w:gridCol w:w="1221"/>
        <w:gridCol w:w="1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序号</w:t>
            </w:r>
          </w:p>
        </w:tc>
        <w:tc>
          <w:tcPr>
            <w:tcW w:w="1418"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本项目任职</w:t>
            </w:r>
          </w:p>
        </w:tc>
        <w:tc>
          <w:tcPr>
            <w:tcW w:w="992"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姓名</w:t>
            </w:r>
          </w:p>
        </w:tc>
        <w:tc>
          <w:tcPr>
            <w:tcW w:w="982"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职称</w:t>
            </w:r>
          </w:p>
        </w:tc>
        <w:tc>
          <w:tcPr>
            <w:tcW w:w="797"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专业</w:t>
            </w:r>
          </w:p>
        </w:tc>
        <w:tc>
          <w:tcPr>
            <w:tcW w:w="3324" w:type="dxa"/>
            <w:gridSpan w:val="3"/>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执业或职业资格证明</w:t>
            </w:r>
          </w:p>
        </w:tc>
        <w:tc>
          <w:tcPr>
            <w:tcW w:w="1266" w:type="dxa"/>
            <w:vMerge w:val="restart"/>
            <w:tcMar>
              <w:left w:w="57" w:type="dxa"/>
              <w:right w:w="57" w:type="dxa"/>
            </w:tcMar>
            <w:vAlign w:val="center"/>
          </w:tcPr>
          <w:p>
            <w:pPr>
              <w:adjustRightInd w:val="0"/>
              <w:snapToGrid w:val="0"/>
              <w:spacing w:line="276" w:lineRule="auto"/>
              <w:jc w:val="center"/>
              <w:rPr>
                <w:rFonts w:eastAsia="仿宋" w:asciiTheme="minorEastAsia" w:hAnsiTheme="minorEastAsia"/>
                <w:b/>
                <w:bCs/>
                <w:snapToGrid w:val="0"/>
                <w:sz w:val="24"/>
                <w:szCs w:val="24"/>
              </w:rPr>
            </w:pPr>
            <w:r>
              <w:rPr>
                <w:rFonts w:hint="eastAsia" w:eastAsia="仿宋" w:asciiTheme="minorEastAsia" w:hAnsiTheme="minorEastAsia"/>
                <w:b/>
                <w:bCs/>
                <w:snapToGrid w:val="0"/>
                <w:sz w:val="24"/>
                <w:szCs w:val="24"/>
              </w:rPr>
              <w:t>从事</w:t>
            </w:r>
            <w:r>
              <w:rPr>
                <w:rFonts w:hint="eastAsia" w:eastAsia="仿宋" w:asciiTheme="minorEastAsia" w:hAnsiTheme="minorEastAsia"/>
                <w:b/>
                <w:bCs/>
                <w:snapToGrid w:val="0"/>
                <w:sz w:val="24"/>
                <w:szCs w:val="24"/>
                <w:lang w:eastAsia="zh-CN"/>
              </w:rPr>
              <w:t>检测</w:t>
            </w:r>
            <w:r>
              <w:rPr>
                <w:rFonts w:eastAsia="仿宋" w:asciiTheme="minorEastAsia" w:hAnsiTheme="minorEastAsia"/>
                <w:b/>
                <w:bCs/>
                <w:snapToGrid w:val="0"/>
                <w:sz w:val="24"/>
                <w:szCs w:val="24"/>
              </w:rPr>
              <w:br w:type="textWrapping"/>
            </w:r>
            <w:r>
              <w:rPr>
                <w:rFonts w:hint="eastAsia" w:eastAsia="仿宋" w:asciiTheme="minorEastAsia" w:hAnsiTheme="minorEastAsia"/>
                <w:b/>
                <w:bCs/>
                <w:snapToGrid w:val="0"/>
                <w:sz w:val="24"/>
                <w:szCs w:val="24"/>
                <w:lang w:eastAsia="zh-CN"/>
              </w:rPr>
              <w:t>工作</w:t>
            </w:r>
            <w:r>
              <w:rPr>
                <w:rFonts w:hint="eastAsia" w:eastAsia="仿宋" w:asciiTheme="minorEastAsia" w:hAnsiTheme="minorEastAsia"/>
                <w:b/>
                <w:bCs/>
                <w:snapToGrid w:val="0"/>
                <w:sz w:val="24"/>
                <w:szCs w:val="24"/>
              </w:rPr>
              <w:t>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601"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1418"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992"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982"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797"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证书名称</w:t>
            </w: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级别</w:t>
            </w: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证号</w:t>
            </w:r>
          </w:p>
        </w:tc>
        <w:tc>
          <w:tcPr>
            <w:tcW w:w="1266" w:type="dxa"/>
            <w:vMerge w:val="continue"/>
            <w:tcBorders>
              <w:top w:val="nil"/>
            </w:tcBorders>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bl>
    <w:p>
      <w:pPr>
        <w:adjustRightInd w:val="0"/>
        <w:snapToGrid w:val="0"/>
        <w:spacing w:line="276" w:lineRule="auto"/>
        <w:rPr>
          <w:rFonts w:eastAsia="仿宋" w:asciiTheme="minorEastAsia" w:hAnsiTheme="minorEastAsia"/>
          <w:snapToGrid w:val="0"/>
          <w:sz w:val="24"/>
          <w:szCs w:val="24"/>
        </w:rPr>
      </w:pPr>
    </w:p>
    <w:p>
      <w:pPr>
        <w:spacing w:line="276" w:lineRule="auto"/>
        <w:rPr>
          <w:rFonts w:eastAsia="仿宋" w:cs="Times New Roman" w:asciiTheme="minorEastAsia" w:hAnsiTheme="minorEastAsia"/>
          <w:snapToGrid w:val="0"/>
          <w:sz w:val="24"/>
          <w:szCs w:val="24"/>
        </w:rPr>
      </w:pPr>
      <w:r>
        <w:rPr>
          <w:rFonts w:eastAsia="仿宋" w:cs="Times New Roman" w:asciiTheme="minorEastAsia" w:hAnsiTheme="minorEastAsia"/>
          <w:snapToGrid w:val="0"/>
          <w:sz w:val="24"/>
          <w:szCs w:val="24"/>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(五)</w:t>
      </w:r>
      <w:r>
        <w:rPr>
          <w:rFonts w:hint="eastAsia" w:eastAsia="仿宋"/>
          <w:b/>
          <w:lang w:eastAsia="zh-CN"/>
        </w:rPr>
        <w:t>项目负责人</w:t>
      </w:r>
      <w:r>
        <w:rPr>
          <w:rFonts w:hint="eastAsia" w:eastAsia="仿宋" w:asciiTheme="minorEastAsia" w:hAnsiTheme="minorEastAsia"/>
          <w:b/>
          <w:bCs/>
          <w:snapToGrid w:val="0"/>
          <w:szCs w:val="24"/>
          <w:lang w:eastAsia="zh-CN"/>
        </w:rPr>
        <w:t>、专业技术员</w:t>
      </w:r>
      <w:r>
        <w:rPr>
          <w:rFonts w:eastAsia="仿宋" w:asciiTheme="minorEastAsia" w:hAnsiTheme="minorEastAsia"/>
          <w:b/>
          <w:bCs/>
          <w:snapToGrid w:val="0"/>
          <w:szCs w:val="24"/>
          <w:lang w:eastAsia="zh-CN"/>
        </w:rPr>
        <w:t>简历表</w:t>
      </w:r>
    </w:p>
    <w:p>
      <w:pPr>
        <w:adjustRightInd w:val="0"/>
        <w:snapToGrid w:val="0"/>
        <w:spacing w:line="276" w:lineRule="auto"/>
        <w:rPr>
          <w:rFonts w:eastAsia="仿宋" w:asciiTheme="minorEastAsia" w:hAnsiTheme="minorEastAsia"/>
          <w:snapToGrid w:val="0"/>
          <w:sz w:val="24"/>
          <w:szCs w:val="24"/>
          <w:lang w:eastAsia="zh-CN"/>
        </w:rPr>
      </w:pPr>
    </w:p>
    <w:tbl>
      <w:tblPr>
        <w:tblStyle w:val="31"/>
        <w:tblW w:w="0" w:type="auto"/>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297"/>
        <w:gridCol w:w="749"/>
        <w:gridCol w:w="960"/>
        <w:gridCol w:w="1066"/>
        <w:gridCol w:w="653"/>
        <w:gridCol w:w="1257"/>
        <w:gridCol w:w="461"/>
        <w:gridCol w:w="2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姓名</w:t>
            </w:r>
          </w:p>
        </w:tc>
        <w:tc>
          <w:tcPr>
            <w:tcW w:w="1046"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60"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年龄</w:t>
            </w:r>
          </w:p>
        </w:tc>
        <w:tc>
          <w:tcPr>
            <w:tcW w:w="1066"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2371" w:type="dxa"/>
            <w:gridSpan w:val="3"/>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执业或职业资格</w:t>
            </w:r>
            <w:r>
              <w:rPr>
                <w:rFonts w:eastAsia="仿宋" w:asciiTheme="minorEastAsia" w:hAnsiTheme="minorEastAsia"/>
                <w:snapToGrid w:val="0"/>
                <w:sz w:val="24"/>
                <w:szCs w:val="24"/>
                <w:lang w:eastAsia="zh-CN"/>
              </w:rPr>
              <w:br w:type="textWrapping"/>
            </w:r>
            <w:r>
              <w:rPr>
                <w:rFonts w:eastAsia="仿宋" w:asciiTheme="minorEastAsia" w:hAnsiTheme="minorEastAsia"/>
                <w:snapToGrid w:val="0"/>
                <w:sz w:val="24"/>
                <w:szCs w:val="24"/>
                <w:lang w:eastAsia="zh-CN"/>
              </w:rPr>
              <w:t>证书名称</w:t>
            </w:r>
            <w:r>
              <w:rPr>
                <w:rFonts w:hint="eastAsia" w:eastAsia="仿宋" w:asciiTheme="minorEastAsia" w:hAnsiTheme="minorEastAsia"/>
                <w:snapToGrid w:val="0"/>
                <w:sz w:val="24"/>
                <w:szCs w:val="24"/>
                <w:lang w:eastAsia="zh-CN"/>
              </w:rPr>
              <w:t>和证号</w:t>
            </w:r>
          </w:p>
        </w:tc>
        <w:tc>
          <w:tcPr>
            <w:tcW w:w="2477" w:type="dxa"/>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职称</w:t>
            </w:r>
          </w:p>
        </w:tc>
        <w:tc>
          <w:tcPr>
            <w:tcW w:w="1046"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60"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学历</w:t>
            </w:r>
          </w:p>
        </w:tc>
        <w:tc>
          <w:tcPr>
            <w:tcW w:w="1066"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2371" w:type="dxa"/>
            <w:gridSpan w:val="3"/>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拟在本项目任职</w:t>
            </w:r>
          </w:p>
        </w:tc>
        <w:tc>
          <w:tcPr>
            <w:tcW w:w="2477"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工作年限</w:t>
            </w:r>
          </w:p>
        </w:tc>
        <w:tc>
          <w:tcPr>
            <w:tcW w:w="3072"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2371" w:type="dxa"/>
            <w:gridSpan w:val="3"/>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从事类似工作年限</w:t>
            </w:r>
          </w:p>
        </w:tc>
        <w:tc>
          <w:tcPr>
            <w:tcW w:w="2477"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毕业学校</w:t>
            </w:r>
          </w:p>
        </w:tc>
        <w:tc>
          <w:tcPr>
            <w:tcW w:w="7920" w:type="dxa"/>
            <w:gridSpan w:val="8"/>
            <w:vAlign w:val="center"/>
          </w:tcPr>
          <w:p>
            <w:pPr>
              <w:adjustRightInd w:val="0"/>
              <w:snapToGrid w:val="0"/>
              <w:spacing w:line="276" w:lineRule="auto"/>
              <w:ind w:firstLine="244" w:firstLineChars="102"/>
              <w:jc w:val="center"/>
              <w:rPr>
                <w:rFonts w:eastAsia="仿宋" w:asciiTheme="minorEastAsia" w:hAnsiTheme="minorEastAsia"/>
                <w:snapToGrid w:val="0"/>
                <w:sz w:val="24"/>
                <w:szCs w:val="24"/>
              </w:rPr>
            </w:pPr>
            <w:r>
              <w:rPr>
                <w:rFonts w:eastAsia="仿宋" w:asciiTheme="minorEastAsia" w:hAnsiTheme="minorEastAsia"/>
                <w:snapToGrid w:val="0"/>
                <w:sz w:val="24"/>
                <w:szCs w:val="24"/>
              </w:rPr>
              <w:t>年毕业于学校专业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9207" w:type="dxa"/>
            <w:gridSpan w:val="9"/>
            <w:vAlign w:val="center"/>
          </w:tcPr>
          <w:p>
            <w:pPr>
              <w:adjustRightInd w:val="0"/>
              <w:snapToGrid w:val="0"/>
              <w:spacing w:line="276" w:lineRule="auto"/>
              <w:jc w:val="center"/>
              <w:rPr>
                <w:rFonts w:eastAsia="仿宋" w:asciiTheme="minorEastAsia" w:hAnsiTheme="minorEastAsia"/>
                <w:snapToGrid w:val="0"/>
                <w:sz w:val="24"/>
                <w:szCs w:val="24"/>
              </w:rPr>
            </w:pPr>
            <w:r>
              <w:rPr>
                <w:rFonts w:eastAsia="仿宋" w:asciiTheme="minorEastAsia" w:hAnsiTheme="minorEastAsia"/>
                <w:snapToGrid w:val="0"/>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时间</w:t>
            </w: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参加过的类似项目</w:t>
            </w: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担任职务</w:t>
            </w: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委托久发包人及联系电话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1"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bl>
    <w:p>
      <w:pPr>
        <w:adjustRightInd w:val="0"/>
        <w:snapToGrid w:val="0"/>
        <w:spacing w:before="240" w:line="276" w:lineRule="auto"/>
        <w:ind w:firstLine="42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注：供应商应根据供应商须知前附表第3.5(6)项的要求在本表后附相关证明材料。</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eastAsia="仿宋" w:cs="Times New Roman" w:asciiTheme="minorEastAsia" w:hAnsiTheme="minorEastAsia"/>
          <w:snapToGrid w:val="0"/>
          <w:sz w:val="24"/>
          <w:szCs w:val="24"/>
          <w:lang w:eastAsia="zh-CN"/>
        </w:rPr>
      </w:pPr>
      <w:bookmarkStart w:id="314" w:name="扫描0066"/>
      <w:bookmarkEnd w:id="314"/>
      <w:r>
        <w:rPr>
          <w:rFonts w:eastAsia="仿宋" w:cs="Times New Roman" w:asciiTheme="minorEastAsia" w:hAnsiTheme="minorEastAsia"/>
          <w:snapToGrid w:val="0"/>
          <w:sz w:val="24"/>
          <w:szCs w:val="24"/>
          <w:lang w:eastAsia="zh-CN"/>
        </w:rPr>
        <w:br w:type="page"/>
      </w:r>
    </w:p>
    <w:p>
      <w:pPr>
        <w:spacing w:line="360" w:lineRule="auto"/>
        <w:rPr>
          <w:rFonts w:ascii="新宋体" w:hAnsi="新宋体" w:eastAsia="新宋体"/>
          <w:lang w:eastAsia="zh-CN"/>
        </w:rPr>
      </w:pPr>
    </w:p>
    <w:p>
      <w:pPr>
        <w:spacing w:line="360" w:lineRule="auto"/>
        <w:jc w:val="center"/>
        <w:rPr>
          <w:rFonts w:ascii="新宋体" w:hAnsi="新宋体" w:eastAsia="新宋体"/>
          <w:b/>
          <w:bCs/>
          <w:sz w:val="28"/>
          <w:szCs w:val="28"/>
          <w:lang w:eastAsia="zh-CN"/>
        </w:rPr>
      </w:pPr>
      <w:r>
        <w:rPr>
          <w:rFonts w:hint="eastAsia" w:ascii="新宋体" w:hAnsi="新宋体" w:eastAsia="新宋体"/>
          <w:b/>
          <w:bCs/>
          <w:sz w:val="28"/>
          <w:szCs w:val="28"/>
          <w:lang w:eastAsia="zh-CN"/>
        </w:rPr>
        <w:t>（六）选用的测量仪器与检测设施</w:t>
      </w:r>
    </w:p>
    <w:p>
      <w:pPr>
        <w:spacing w:line="360" w:lineRule="auto"/>
        <w:jc w:val="center"/>
        <w:rPr>
          <w:rFonts w:ascii="新宋体" w:hAnsi="新宋体" w:eastAsia="新宋体"/>
          <w:lang w:eastAsia="zh-CN"/>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985"/>
        <w:gridCol w:w="1037"/>
        <w:gridCol w:w="857"/>
        <w:gridCol w:w="1037"/>
        <w:gridCol w:w="947"/>
        <w:gridCol w:w="1087"/>
        <w:gridCol w:w="90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774" w:type="dxa"/>
            <w:vAlign w:val="center"/>
          </w:tcPr>
          <w:p>
            <w:pPr>
              <w:jc w:val="center"/>
              <w:rPr>
                <w:rFonts w:ascii="新宋体" w:hAnsi="新宋体" w:eastAsia="新宋体"/>
                <w:sz w:val="21"/>
                <w:szCs w:val="21"/>
              </w:rPr>
            </w:pPr>
            <w:r>
              <w:rPr>
                <w:rFonts w:hint="eastAsia" w:ascii="新宋体" w:hAnsi="新宋体" w:eastAsia="新宋体"/>
                <w:sz w:val="21"/>
                <w:szCs w:val="21"/>
              </w:rPr>
              <w:t>序号</w:t>
            </w:r>
          </w:p>
        </w:tc>
        <w:tc>
          <w:tcPr>
            <w:tcW w:w="1985" w:type="dxa"/>
            <w:vAlign w:val="center"/>
          </w:tcPr>
          <w:p>
            <w:pPr>
              <w:jc w:val="center"/>
              <w:rPr>
                <w:rFonts w:ascii="新宋体" w:hAnsi="新宋体" w:eastAsia="新宋体"/>
                <w:sz w:val="21"/>
                <w:szCs w:val="21"/>
              </w:rPr>
            </w:pPr>
            <w:r>
              <w:rPr>
                <w:rFonts w:hint="eastAsia" w:ascii="新宋体" w:hAnsi="新宋体" w:eastAsia="新宋体"/>
                <w:sz w:val="21"/>
                <w:szCs w:val="21"/>
              </w:rPr>
              <w:t>仪器/设备名称</w:t>
            </w:r>
          </w:p>
        </w:tc>
        <w:tc>
          <w:tcPr>
            <w:tcW w:w="1037" w:type="dxa"/>
            <w:vAlign w:val="center"/>
          </w:tcPr>
          <w:p>
            <w:pPr>
              <w:jc w:val="center"/>
              <w:rPr>
                <w:rFonts w:ascii="新宋体" w:hAnsi="新宋体" w:eastAsia="新宋体"/>
                <w:sz w:val="21"/>
                <w:szCs w:val="21"/>
              </w:rPr>
            </w:pPr>
            <w:r>
              <w:rPr>
                <w:rFonts w:hint="eastAsia" w:ascii="新宋体" w:hAnsi="新宋体" w:eastAsia="新宋体"/>
                <w:sz w:val="21"/>
                <w:szCs w:val="21"/>
              </w:rPr>
              <w:t>型号</w:t>
            </w:r>
          </w:p>
          <w:p>
            <w:pPr>
              <w:jc w:val="center"/>
              <w:rPr>
                <w:rFonts w:ascii="新宋体" w:hAnsi="新宋体" w:eastAsia="新宋体"/>
                <w:sz w:val="21"/>
                <w:szCs w:val="21"/>
              </w:rPr>
            </w:pPr>
            <w:r>
              <w:rPr>
                <w:rFonts w:hint="eastAsia" w:ascii="新宋体" w:hAnsi="新宋体" w:eastAsia="新宋体"/>
                <w:sz w:val="21"/>
                <w:szCs w:val="21"/>
              </w:rPr>
              <w:t>规格</w:t>
            </w:r>
          </w:p>
        </w:tc>
        <w:tc>
          <w:tcPr>
            <w:tcW w:w="857" w:type="dxa"/>
            <w:vAlign w:val="center"/>
          </w:tcPr>
          <w:p>
            <w:pPr>
              <w:jc w:val="center"/>
              <w:rPr>
                <w:rFonts w:ascii="新宋体" w:hAnsi="新宋体" w:eastAsia="新宋体"/>
                <w:sz w:val="21"/>
                <w:szCs w:val="21"/>
              </w:rPr>
            </w:pPr>
            <w:r>
              <w:rPr>
                <w:rFonts w:hint="eastAsia" w:ascii="新宋体" w:hAnsi="新宋体" w:eastAsia="新宋体"/>
                <w:sz w:val="21"/>
                <w:szCs w:val="21"/>
              </w:rPr>
              <w:t>数量</w:t>
            </w:r>
          </w:p>
        </w:tc>
        <w:tc>
          <w:tcPr>
            <w:tcW w:w="1037" w:type="dxa"/>
            <w:vAlign w:val="center"/>
          </w:tcPr>
          <w:p>
            <w:pPr>
              <w:jc w:val="center"/>
              <w:rPr>
                <w:rFonts w:ascii="新宋体" w:hAnsi="新宋体" w:eastAsia="新宋体"/>
                <w:sz w:val="21"/>
                <w:szCs w:val="21"/>
              </w:rPr>
            </w:pPr>
            <w:r>
              <w:rPr>
                <w:rFonts w:hint="eastAsia" w:ascii="新宋体" w:hAnsi="新宋体" w:eastAsia="新宋体"/>
                <w:sz w:val="21"/>
                <w:szCs w:val="21"/>
              </w:rPr>
              <w:t>国别</w:t>
            </w:r>
          </w:p>
          <w:p>
            <w:pPr>
              <w:jc w:val="center"/>
              <w:rPr>
                <w:rFonts w:ascii="新宋体" w:hAnsi="新宋体" w:eastAsia="新宋体"/>
                <w:sz w:val="21"/>
                <w:szCs w:val="21"/>
              </w:rPr>
            </w:pPr>
            <w:r>
              <w:rPr>
                <w:rFonts w:hint="eastAsia" w:ascii="新宋体" w:hAnsi="新宋体" w:eastAsia="新宋体"/>
                <w:sz w:val="21"/>
                <w:szCs w:val="21"/>
              </w:rPr>
              <w:t>产地</w:t>
            </w:r>
          </w:p>
        </w:tc>
        <w:tc>
          <w:tcPr>
            <w:tcW w:w="947" w:type="dxa"/>
            <w:vAlign w:val="center"/>
          </w:tcPr>
          <w:p>
            <w:pPr>
              <w:jc w:val="center"/>
              <w:rPr>
                <w:rFonts w:ascii="新宋体" w:hAnsi="新宋体" w:eastAsia="新宋体"/>
                <w:sz w:val="21"/>
                <w:szCs w:val="21"/>
              </w:rPr>
            </w:pPr>
            <w:r>
              <w:rPr>
                <w:rFonts w:hint="eastAsia" w:ascii="新宋体" w:hAnsi="新宋体" w:eastAsia="新宋体"/>
                <w:sz w:val="21"/>
                <w:szCs w:val="21"/>
              </w:rPr>
              <w:t>制造</w:t>
            </w:r>
          </w:p>
          <w:p>
            <w:pPr>
              <w:jc w:val="center"/>
              <w:rPr>
                <w:rFonts w:ascii="新宋体" w:hAnsi="新宋体" w:eastAsia="新宋体"/>
                <w:sz w:val="21"/>
                <w:szCs w:val="21"/>
              </w:rPr>
            </w:pPr>
            <w:r>
              <w:rPr>
                <w:rFonts w:hint="eastAsia" w:ascii="新宋体" w:hAnsi="新宋体" w:eastAsia="新宋体"/>
                <w:sz w:val="21"/>
                <w:szCs w:val="21"/>
              </w:rPr>
              <w:t>年份</w:t>
            </w:r>
          </w:p>
        </w:tc>
        <w:tc>
          <w:tcPr>
            <w:tcW w:w="1087" w:type="dxa"/>
            <w:vAlign w:val="center"/>
          </w:tcPr>
          <w:p>
            <w:pPr>
              <w:jc w:val="center"/>
              <w:rPr>
                <w:rFonts w:ascii="新宋体" w:hAnsi="新宋体" w:eastAsia="新宋体"/>
                <w:sz w:val="21"/>
                <w:szCs w:val="21"/>
              </w:rPr>
            </w:pPr>
            <w:r>
              <w:rPr>
                <w:rFonts w:hint="eastAsia" w:ascii="新宋体" w:hAnsi="新宋体" w:eastAsia="新宋体"/>
                <w:sz w:val="21"/>
                <w:szCs w:val="21"/>
              </w:rPr>
              <w:t>使用</w:t>
            </w:r>
          </w:p>
          <w:p>
            <w:pPr>
              <w:jc w:val="center"/>
              <w:rPr>
                <w:rFonts w:ascii="新宋体" w:hAnsi="新宋体" w:eastAsia="新宋体"/>
                <w:sz w:val="21"/>
                <w:szCs w:val="21"/>
              </w:rPr>
            </w:pPr>
            <w:r>
              <w:rPr>
                <w:rFonts w:hint="eastAsia" w:ascii="新宋体" w:hAnsi="新宋体" w:eastAsia="新宋体"/>
                <w:sz w:val="21"/>
                <w:szCs w:val="21"/>
              </w:rPr>
              <w:t>情况</w:t>
            </w:r>
          </w:p>
        </w:tc>
        <w:tc>
          <w:tcPr>
            <w:tcW w:w="900" w:type="dxa"/>
            <w:vAlign w:val="center"/>
          </w:tcPr>
          <w:p>
            <w:pPr>
              <w:jc w:val="center"/>
              <w:rPr>
                <w:rFonts w:ascii="新宋体" w:hAnsi="新宋体" w:eastAsia="新宋体"/>
                <w:sz w:val="21"/>
                <w:szCs w:val="21"/>
              </w:rPr>
            </w:pPr>
            <w:r>
              <w:rPr>
                <w:rFonts w:hint="eastAsia" w:ascii="新宋体" w:hAnsi="新宋体" w:eastAsia="新宋体"/>
                <w:sz w:val="21"/>
                <w:szCs w:val="21"/>
              </w:rPr>
              <w:t>用途</w:t>
            </w:r>
          </w:p>
        </w:tc>
        <w:tc>
          <w:tcPr>
            <w:tcW w:w="854" w:type="dxa"/>
            <w:vAlign w:val="center"/>
          </w:tcPr>
          <w:p>
            <w:pPr>
              <w:jc w:val="center"/>
              <w:rPr>
                <w:rFonts w:ascii="新宋体" w:hAnsi="新宋体" w:eastAsia="新宋体"/>
                <w:sz w:val="21"/>
                <w:szCs w:val="21"/>
              </w:rPr>
            </w:pPr>
            <w:r>
              <w:rPr>
                <w:rFonts w:hint="eastAsia" w:ascii="新宋体" w:hAnsi="新宋体" w:eastAsia="新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bl>
    <w:p>
      <w:pPr>
        <w:adjustRightInd w:val="0"/>
        <w:snapToGrid w:val="0"/>
        <w:spacing w:line="276" w:lineRule="auto"/>
        <w:rPr>
          <w:rFonts w:eastAsia="仿宋" w:asciiTheme="minorEastAsia" w:hAnsiTheme="minorEastAsia"/>
          <w:snapToGrid w:val="0"/>
          <w:sz w:val="24"/>
          <w:szCs w:val="24"/>
          <w:lang w:eastAsia="zh-CN"/>
        </w:rPr>
      </w:pPr>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6"/>
        <w:adjustRightInd w:val="0"/>
        <w:snapToGrid w:val="0"/>
        <w:spacing w:line="276" w:lineRule="auto"/>
        <w:ind w:left="0"/>
        <w:jc w:val="center"/>
        <w:rPr>
          <w:rFonts w:eastAsia="仿宋" w:asciiTheme="minorEastAsia" w:hAnsiTheme="minorEastAsia"/>
          <w:b/>
          <w:bCs/>
          <w:snapToGrid w:val="0"/>
          <w:sz w:val="32"/>
          <w:szCs w:val="32"/>
          <w:lang w:eastAsia="zh-CN"/>
        </w:rPr>
      </w:pPr>
    </w:p>
    <w:p>
      <w:pPr>
        <w:pStyle w:val="5"/>
        <w:jc w:val="center"/>
        <w:rPr>
          <w:rFonts w:eastAsia="仿宋" w:asciiTheme="minorEastAsia" w:hAnsiTheme="minorEastAsia"/>
          <w:b/>
          <w:bCs/>
          <w:snapToGrid w:val="0"/>
          <w:sz w:val="32"/>
          <w:szCs w:val="32"/>
          <w:lang w:eastAsia="zh-CN"/>
        </w:rPr>
      </w:pPr>
      <w:bookmarkStart w:id="315" w:name="_Toc171584079"/>
      <w:r>
        <w:rPr>
          <w:rFonts w:hint="eastAsia" w:eastAsia="仿宋" w:asciiTheme="minorEastAsia" w:hAnsiTheme="minorEastAsia"/>
          <w:b/>
          <w:bCs/>
          <w:snapToGrid w:val="0"/>
          <w:sz w:val="32"/>
          <w:szCs w:val="32"/>
          <w:lang w:eastAsia="zh-CN"/>
        </w:rPr>
        <w:t>八</w:t>
      </w:r>
      <w:r>
        <w:rPr>
          <w:rFonts w:eastAsia="仿宋" w:asciiTheme="minorEastAsia" w:hAnsiTheme="minorEastAsia"/>
          <w:b/>
          <w:bCs/>
          <w:snapToGrid w:val="0"/>
          <w:sz w:val="32"/>
          <w:szCs w:val="32"/>
          <w:lang w:eastAsia="zh-CN"/>
        </w:rPr>
        <w:t>、响应方案</w:t>
      </w:r>
      <w:bookmarkEnd w:id="315"/>
    </w:p>
    <w:p>
      <w:pPr>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响应方案一般包括(但不限于)下列内容：</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rPr>
      </w:pPr>
      <w:r>
        <w:rPr>
          <w:rFonts w:eastAsia="仿宋" w:asciiTheme="minorEastAsia" w:hAnsiTheme="minorEastAsia"/>
          <w:snapToGrid w:val="0"/>
          <w:sz w:val="24"/>
          <w:szCs w:val="24"/>
        </w:rPr>
        <w:t>对项目的理解；</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rPr>
      </w:pPr>
      <w:r>
        <w:rPr>
          <w:rFonts w:eastAsia="仿宋" w:asciiTheme="minorEastAsia" w:hAnsiTheme="minorEastAsia"/>
          <w:snapToGrid w:val="0"/>
          <w:sz w:val="24"/>
          <w:szCs w:val="24"/>
        </w:rPr>
        <w:t>服务范围及内容；</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服务工作的依据、工作目标；</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服务机构设置(框图)、岗位职责；</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拟投入本项目的服务人员及主要人员简历；</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拟分包计划及情况说明；</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服务质量、进度、保密等保证措施；</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服务工作重点、难点分析；</w:t>
      </w:r>
    </w:p>
    <w:p>
      <w:pPr>
        <w:pStyle w:val="12"/>
        <w:numPr>
          <w:ilvl w:val="0"/>
          <w:numId w:val="13"/>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对本项目的合理化建议。</w:t>
      </w:r>
    </w:p>
    <w:p>
      <w:pPr>
        <w:pStyle w:val="41"/>
        <w:numPr>
          <w:ilvl w:val="0"/>
          <w:numId w:val="13"/>
        </w:numPr>
        <w:adjustRightInd w:val="0"/>
        <w:snapToGrid w:val="0"/>
        <w:spacing w:line="360" w:lineRule="auto"/>
        <w:ind w:left="0" w:firstLine="480"/>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相关服务计划。</w:t>
      </w:r>
    </w:p>
    <w:p>
      <w:pPr>
        <w:spacing w:line="276" w:lineRule="auto"/>
        <w:rPr>
          <w:rFonts w:eastAsia="仿宋" w:cs="Times New Roman" w:asciiTheme="minorEastAsia" w:hAnsiTheme="minorEastAsia"/>
          <w:snapToGrid w:val="0"/>
          <w:sz w:val="24"/>
          <w:szCs w:val="24"/>
          <w:lang w:eastAsia="zh-CN"/>
        </w:rPr>
      </w:pPr>
      <w:bookmarkStart w:id="316" w:name="扫描0069"/>
      <w:bookmarkEnd w:id="316"/>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5"/>
        <w:jc w:val="center"/>
        <w:rPr>
          <w:rFonts w:eastAsia="仿宋" w:asciiTheme="minorEastAsia" w:hAnsiTheme="minorEastAsia"/>
          <w:b/>
          <w:bCs/>
          <w:snapToGrid w:val="0"/>
          <w:sz w:val="32"/>
          <w:szCs w:val="32"/>
          <w:lang w:eastAsia="zh-CN"/>
        </w:rPr>
      </w:pPr>
      <w:bookmarkStart w:id="317" w:name="_bookmark23"/>
      <w:bookmarkEnd w:id="317"/>
      <w:bookmarkStart w:id="318" w:name="_Toc171584080"/>
      <w:r>
        <w:rPr>
          <w:rFonts w:hint="eastAsia" w:eastAsia="仿宋" w:asciiTheme="minorEastAsia" w:hAnsiTheme="minorEastAsia"/>
          <w:b/>
          <w:bCs/>
          <w:snapToGrid w:val="0"/>
          <w:sz w:val="32"/>
          <w:szCs w:val="32"/>
          <w:lang w:eastAsia="zh-CN"/>
        </w:rPr>
        <w:t>十</w:t>
      </w:r>
      <w:r>
        <w:rPr>
          <w:rFonts w:eastAsia="仿宋" w:asciiTheme="minorEastAsia" w:hAnsiTheme="minorEastAsia"/>
          <w:b/>
          <w:bCs/>
          <w:snapToGrid w:val="0"/>
          <w:sz w:val="32"/>
          <w:szCs w:val="32"/>
          <w:lang w:eastAsia="zh-CN"/>
        </w:rPr>
        <w:t>、</w:t>
      </w:r>
      <w:r>
        <w:rPr>
          <w:rFonts w:hint="eastAsia" w:eastAsia="仿宋" w:asciiTheme="minorEastAsia" w:hAnsiTheme="minorEastAsia"/>
          <w:b/>
          <w:bCs/>
          <w:snapToGrid w:val="0"/>
          <w:sz w:val="32"/>
          <w:szCs w:val="32"/>
          <w:lang w:eastAsia="zh-CN"/>
        </w:rPr>
        <w:t>廉洁承诺书</w:t>
      </w:r>
      <w:bookmarkEnd w:id="318"/>
    </w:p>
    <w:p>
      <w:pPr>
        <w:rPr>
          <w:rFonts w:eastAsia="仿宋"/>
          <w:lang w:eastAsia="zh-CN"/>
        </w:rPr>
      </w:pPr>
    </w:p>
    <w:p>
      <w:pPr>
        <w:adjustRightInd w:val="0"/>
        <w:spacing w:line="380" w:lineRule="exact"/>
        <w:rPr>
          <w:rFonts w:ascii="仿宋" w:hAnsi="仿宋" w:eastAsia="仿宋" w:cs="仿宋_GB2312"/>
          <w:sz w:val="24"/>
          <w:szCs w:val="24"/>
          <w:lang w:eastAsia="zh-CN"/>
        </w:rPr>
      </w:pPr>
      <w:r>
        <w:rPr>
          <w:rFonts w:hint="eastAsia" w:ascii="仿宋" w:hAnsi="仿宋" w:eastAsia="仿宋" w:cs="仿宋_GB2312"/>
          <w:sz w:val="24"/>
          <w:szCs w:val="24"/>
          <w:lang w:eastAsia="zh-CN"/>
        </w:rPr>
        <w:t>中粮糖业及下属分子公司：</w:t>
      </w:r>
      <w:r>
        <w:rPr>
          <w:rFonts w:ascii="仿宋" w:hAnsi="仿宋" w:eastAsia="仿宋" w:cs="仿宋_GB2312"/>
          <w:sz w:val="24"/>
          <w:szCs w:val="24"/>
          <w:lang w:eastAsia="zh-CN"/>
        </w:rPr>
        <w:t xml:space="preserve"> </w:t>
      </w:r>
    </w:p>
    <w:p>
      <w:pPr>
        <w:adjustRightInd w:val="0"/>
        <w:spacing w:line="380" w:lineRule="exact"/>
        <w:ind w:firstLine="480" w:firstLineChars="200"/>
        <w:rPr>
          <w:rFonts w:ascii="仿宋" w:hAnsi="仿宋" w:eastAsia="仿宋" w:cs="仿宋_GB2312"/>
          <w:sz w:val="24"/>
          <w:szCs w:val="24"/>
          <w:lang w:eastAsia="zh-CN"/>
        </w:rPr>
      </w:pPr>
      <w:r>
        <w:rPr>
          <w:rFonts w:hint="eastAsia" w:ascii="仿宋" w:hAnsi="仿宋" w:eastAsia="仿宋" w:cs="仿宋_GB2312"/>
          <w:sz w:val="24"/>
          <w:szCs w:val="24"/>
          <w:lang w:eastAsia="zh-CN"/>
        </w:rPr>
        <w:t>为积极配合贵公司进行的项目采购与招投标工作，有效遏制不公平竞争和违规违纪问题的发生，确保采购与招投标工作的公平、公正、公开，我们特向贵公司承诺如下事项：</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1．自觉遵守国家法律法规及中粮糖业有关廉政建设制度。</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2．不使用不正当手段妨碍、排挤其它投标单位或串通投标。</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3．按照采购文件规定的方式进行投标，不隐瞒本单位投标资 质的真实情况，投标资质符合规定；保证不会以其他人名义投 标或者以其他方式弄虚作假，骗取中标。</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4．不将主体、关键性工作进行分包（包括贴牌生产、转包等）。</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5．不以任何方式向采购人员或者评标成员赠送礼品、礼金及 有价证券；不宴请或邀请招标方的任何人参加高档娱乐消费、 旅游等活动；不以任何形式报销招标方的任何人以及亲友的各 种票据及费用；不进行可能影响招标公平、公正的任何活动。</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6．不向贵公司涉及采购与招投标的部门及个人支付好处费、 介绍费；也不为其购置或提供通讯工具、交通工具、电脑等。</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 xml:space="preserve">7．经查实的有参与串通行为的投标人，其中标无效，列入供 应商黑名单，并依据中粮糖业采购制度相关规定对投标人处中 标项目金额的千分之五以上千分之十以下的保证金扣除 </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8．一旦发现相关人员在招标过程中有索要财物等不廉洁行为，坚决予以抵制，并及时向贵公司纪委办公室举报。</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9．我方自愿将本承诺书作为投标文件及合同的附件，具有同 等的法律效力。</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10．若违反上述承诺或违反有关法律法规及贵公司有关规定， 我方自愿永久放弃参与贵公司的所有业务往来，并承担贵公司 制度规定的一切法律责任。</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11．本承诺书自签署之日起生效。</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 xml:space="preserve">                    </w:t>
      </w:r>
      <w:r>
        <w:rPr>
          <w:rFonts w:hint="eastAsia" w:ascii="仿宋" w:hAnsi="仿宋" w:eastAsia="仿宋" w:cs="仿宋_GB2312"/>
          <w:sz w:val="24"/>
          <w:szCs w:val="24"/>
          <w:lang w:eastAsia="zh-CN"/>
        </w:rPr>
        <w:t xml:space="preserve">          </w:t>
      </w:r>
      <w:r>
        <w:rPr>
          <w:rFonts w:ascii="仿宋" w:hAnsi="仿宋" w:eastAsia="仿宋" w:cs="仿宋_GB2312"/>
          <w:sz w:val="24"/>
          <w:szCs w:val="24"/>
          <w:lang w:eastAsia="zh-CN"/>
        </w:rPr>
        <w:t xml:space="preserve"> 投标单位（公章）：     </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t xml:space="preserve">                               法定代表人或授权代理人（签名）： </w:t>
      </w:r>
    </w:p>
    <w:p>
      <w:pPr>
        <w:adjustRightInd w:val="0"/>
        <w:spacing w:line="380" w:lineRule="exact"/>
        <w:ind w:firstLine="480" w:firstLineChars="200"/>
        <w:rPr>
          <w:rFonts w:hint="eastAsia" w:ascii="仿宋" w:hAnsi="仿宋" w:eastAsia="仿宋"/>
          <w:sz w:val="24"/>
          <w:szCs w:val="24"/>
          <w:lang w:val="zh-CN" w:eastAsia="zh-CN"/>
        </w:rPr>
      </w:pPr>
      <w:r>
        <w:rPr>
          <w:rFonts w:ascii="仿宋" w:hAnsi="仿宋" w:eastAsia="仿宋" w:cs="仿宋_GB2312"/>
          <w:sz w:val="24"/>
          <w:szCs w:val="24"/>
          <w:lang w:eastAsia="zh-CN"/>
        </w:rPr>
        <w:t xml:space="preserve">                        </w:t>
      </w:r>
      <w:r>
        <w:rPr>
          <w:rFonts w:hint="eastAsia" w:ascii="仿宋" w:hAnsi="仿宋" w:eastAsia="仿宋" w:cs="仿宋_GB2312"/>
          <w:sz w:val="24"/>
          <w:szCs w:val="24"/>
          <w:lang w:eastAsia="zh-CN"/>
        </w:rPr>
        <w:t xml:space="preserve">  </w:t>
      </w:r>
      <w:r>
        <w:rPr>
          <w:rFonts w:hint="eastAsia" w:ascii="仿宋" w:hAnsi="仿宋" w:eastAsia="仿宋"/>
          <w:sz w:val="24"/>
          <w:szCs w:val="24"/>
          <w:lang w:eastAsia="zh-CN"/>
        </w:rPr>
        <w:t xml:space="preserve">     </w:t>
      </w:r>
      <w:r>
        <w:rPr>
          <w:rFonts w:hint="eastAsia" w:ascii="仿宋" w:hAnsi="仿宋" w:eastAsia="仿宋"/>
          <w:sz w:val="24"/>
          <w:szCs w:val="24"/>
          <w:lang w:val="zh-CN" w:eastAsia="zh-CN"/>
        </w:rPr>
        <w:t>日期</w:t>
      </w:r>
      <w:r>
        <w:rPr>
          <w:rFonts w:hint="eastAsia" w:ascii="仿宋" w:hAnsi="仿宋" w:eastAsia="仿宋"/>
          <w:sz w:val="24"/>
          <w:szCs w:val="24"/>
          <w:lang w:eastAsia="zh-CN"/>
        </w:rPr>
        <w:t xml:space="preserve">：   </w:t>
      </w:r>
      <w:r>
        <w:rPr>
          <w:rFonts w:hint="eastAsia" w:ascii="仿宋" w:hAnsi="仿宋" w:eastAsia="仿宋"/>
          <w:sz w:val="24"/>
          <w:szCs w:val="24"/>
          <w:lang w:val="zh-CN" w:eastAsia="zh-CN"/>
        </w:rPr>
        <w:t>年</w:t>
      </w:r>
      <w:r>
        <w:rPr>
          <w:rFonts w:hint="eastAsia" w:ascii="仿宋" w:hAnsi="仿宋" w:eastAsia="仿宋"/>
          <w:sz w:val="24"/>
          <w:szCs w:val="24"/>
          <w:lang w:eastAsia="zh-CN"/>
        </w:rPr>
        <w:t xml:space="preserve">  </w:t>
      </w:r>
      <w:r>
        <w:rPr>
          <w:rFonts w:hint="eastAsia" w:ascii="仿宋" w:hAnsi="仿宋" w:eastAsia="仿宋"/>
          <w:sz w:val="24"/>
          <w:szCs w:val="24"/>
          <w:lang w:val="zh-CN" w:eastAsia="zh-CN"/>
        </w:rPr>
        <w:t>月</w:t>
      </w:r>
      <w:r>
        <w:rPr>
          <w:rFonts w:hint="eastAsia" w:ascii="仿宋" w:hAnsi="仿宋" w:eastAsia="仿宋"/>
          <w:sz w:val="24"/>
          <w:szCs w:val="24"/>
          <w:lang w:eastAsia="zh-CN"/>
        </w:rPr>
        <w:t xml:space="preserve">  </w:t>
      </w:r>
      <w:r>
        <w:rPr>
          <w:rFonts w:hint="eastAsia" w:ascii="仿宋" w:hAnsi="仿宋" w:eastAsia="仿宋"/>
          <w:sz w:val="24"/>
          <w:szCs w:val="24"/>
          <w:lang w:val="zh-CN" w:eastAsia="zh-CN"/>
        </w:rPr>
        <w:t>日</w:t>
      </w:r>
    </w:p>
    <w:p>
      <w:pPr>
        <w:pStyle w:val="2"/>
        <w:rPr>
          <w:lang w:eastAsia="zh-CN"/>
        </w:rPr>
      </w:pPr>
    </w:p>
    <w:p>
      <w:pPr>
        <w:adjustRightInd w:val="0"/>
        <w:spacing w:line="380" w:lineRule="exact"/>
        <w:ind w:firstLine="480" w:firstLineChars="200"/>
        <w:rPr>
          <w:rFonts w:hint="eastAsia" w:ascii="仿宋" w:hAnsi="仿宋" w:eastAsia="仿宋" w:cs="仿宋_GB2312"/>
          <w:sz w:val="24"/>
          <w:szCs w:val="24"/>
          <w:lang w:eastAsia="zh-CN"/>
        </w:rPr>
      </w:pPr>
      <w:r>
        <w:rPr>
          <w:rFonts w:hint="eastAsia" w:ascii="仿宋" w:hAnsi="仿宋" w:eastAsia="仿宋" w:cs="仿宋_GB2312"/>
          <w:sz w:val="24"/>
          <w:szCs w:val="24"/>
          <w:lang w:eastAsia="zh-CN"/>
        </w:rPr>
        <w:t>1.信访举报电话：010-85017235。</w:t>
      </w:r>
    </w:p>
    <w:p>
      <w:pPr>
        <w:adjustRightInd w:val="0"/>
        <w:spacing w:line="380" w:lineRule="exact"/>
        <w:ind w:firstLine="480" w:firstLineChars="200"/>
        <w:rPr>
          <w:rFonts w:hint="eastAsia" w:ascii="仿宋" w:hAnsi="仿宋" w:eastAsia="仿宋" w:cs="仿宋_GB2312"/>
          <w:sz w:val="24"/>
          <w:szCs w:val="24"/>
          <w:lang w:eastAsia="zh-CN"/>
        </w:rPr>
      </w:pPr>
      <w:r>
        <w:rPr>
          <w:rFonts w:hint="eastAsia" w:ascii="仿宋" w:hAnsi="仿宋" w:eastAsia="仿宋" w:cs="仿宋_GB2312"/>
          <w:sz w:val="24"/>
          <w:szCs w:val="24"/>
          <w:lang w:eastAsia="zh-CN"/>
        </w:rPr>
        <w:t>2.举报范围：招投标活动过程中涉嫌贪污贿赂、滥用职权、玩忽职守、权力寻租、利益输送、徇私舞弊以及浪费国家资财等问题的检举控告。</w:t>
      </w:r>
    </w:p>
    <w:p>
      <w:pPr>
        <w:adjustRightInd w:val="0"/>
        <w:spacing w:line="380" w:lineRule="exact"/>
        <w:ind w:firstLine="480" w:firstLineChars="200"/>
        <w:rPr>
          <w:rFonts w:ascii="仿宋" w:hAnsi="仿宋" w:eastAsia="仿宋" w:cs="仿宋_GB2312"/>
          <w:sz w:val="24"/>
          <w:szCs w:val="24"/>
          <w:lang w:eastAsia="zh-CN"/>
        </w:rPr>
      </w:pPr>
      <w:r>
        <w:rPr>
          <w:rFonts w:hint="eastAsia" w:ascii="仿宋" w:hAnsi="仿宋" w:eastAsia="仿宋" w:cs="仿宋_GB2312"/>
          <w:sz w:val="24"/>
          <w:szCs w:val="24"/>
          <w:lang w:val="en-US" w:eastAsia="zh-CN"/>
        </w:rPr>
        <w:t>3.</w:t>
      </w:r>
      <w:r>
        <w:rPr>
          <w:rFonts w:hint="eastAsia" w:ascii="仿宋" w:hAnsi="仿宋" w:eastAsia="仿宋" w:cs="仿宋_GB2312"/>
          <w:sz w:val="24"/>
          <w:szCs w:val="24"/>
          <w:lang w:eastAsia="zh-CN"/>
        </w:rPr>
        <w:t xml:space="preserve">通信地址：北京市朝阳区朝阳门南大街8号中粮福临门大厦9层905房间，中粮糖业纪委办公室收，邮编100020。       </w:t>
      </w:r>
    </w:p>
    <w:p>
      <w:pPr>
        <w:adjustRightInd w:val="0"/>
        <w:spacing w:line="380" w:lineRule="exact"/>
        <w:ind w:firstLine="480" w:firstLineChars="200"/>
        <w:rPr>
          <w:rFonts w:ascii="仿宋" w:hAnsi="仿宋" w:eastAsia="仿宋" w:cs="仿宋_GB2312"/>
          <w:sz w:val="24"/>
          <w:szCs w:val="24"/>
          <w:lang w:eastAsia="zh-CN"/>
        </w:rPr>
      </w:pPr>
      <w:r>
        <w:rPr>
          <w:rFonts w:ascii="仿宋" w:hAnsi="仿宋" w:eastAsia="仿宋" w:cs="仿宋_GB2312"/>
          <w:sz w:val="24"/>
          <w:szCs w:val="24"/>
          <w:lang w:eastAsia="zh-CN"/>
        </w:rPr>
        <w:br w:type="page"/>
      </w:r>
    </w:p>
    <w:p>
      <w:pPr>
        <w:rPr>
          <w:rFonts w:eastAsia="仿宋"/>
          <w:lang w:eastAsia="zh-CN"/>
        </w:rPr>
      </w:pPr>
    </w:p>
    <w:p>
      <w:pPr>
        <w:pStyle w:val="5"/>
        <w:jc w:val="center"/>
        <w:rPr>
          <w:rFonts w:eastAsia="仿宋" w:asciiTheme="minorEastAsia" w:hAnsiTheme="minorEastAsia"/>
          <w:b/>
          <w:bCs/>
          <w:snapToGrid w:val="0"/>
          <w:sz w:val="32"/>
          <w:szCs w:val="32"/>
          <w:lang w:eastAsia="zh-CN"/>
        </w:rPr>
      </w:pPr>
      <w:bookmarkStart w:id="319" w:name="_Toc171584081"/>
      <w:r>
        <w:rPr>
          <w:rFonts w:hint="eastAsia" w:eastAsia="仿宋" w:asciiTheme="minorEastAsia" w:hAnsiTheme="minorEastAsia"/>
          <w:b/>
          <w:bCs/>
          <w:snapToGrid w:val="0"/>
          <w:sz w:val="32"/>
          <w:szCs w:val="32"/>
          <w:lang w:eastAsia="zh-CN"/>
        </w:rPr>
        <w:t>十一、保密承诺书</w:t>
      </w:r>
      <w:bookmarkEnd w:id="319"/>
    </w:p>
    <w:p>
      <w:pPr>
        <w:rPr>
          <w:rFonts w:eastAsia="仿宋"/>
          <w:lang w:eastAsia="zh-CN"/>
        </w:rPr>
      </w:pPr>
    </w:p>
    <w:p>
      <w:pPr>
        <w:pStyle w:val="12"/>
        <w:spacing w:line="560" w:lineRule="exact"/>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中粮北海糖业有限公司：</w:t>
      </w:r>
    </w:p>
    <w:p>
      <w:pPr>
        <w:pStyle w:val="12"/>
        <w:tabs>
          <w:tab w:val="left" w:pos="6626"/>
        </w:tabs>
        <w:spacing w:before="240" w:line="360" w:lineRule="auto"/>
        <w:ind w:right="382" w:firstLine="482"/>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鉴于我方自愿参加中粮糖业甘蔗糖部2024年北海糖业制炼车间丙糖螺旋输送槽大修项目采购活动，我方现就有关保密义务事项作出如下承诺：</w:t>
      </w:r>
    </w:p>
    <w:p>
      <w:pPr>
        <w:pStyle w:val="12"/>
        <w:numPr>
          <w:ilvl w:val="0"/>
          <w:numId w:val="14"/>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我方保证，未经采购人书面同意</w:t>
      </w:r>
      <w:r>
        <w:rPr>
          <w:rFonts w:eastAsia="仿宋" w:cs="仿宋_GB2312" w:asciiTheme="minorEastAsia" w:hAnsiTheme="minorEastAsia"/>
          <w:sz w:val="24"/>
          <w:szCs w:val="24"/>
          <w:lang w:eastAsia="zh-CN"/>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2"/>
        <w:numPr>
          <w:ilvl w:val="0"/>
          <w:numId w:val="14"/>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我方保证，如为本合同目的确实需要向第三方披露对方的敏感信息，需事先得到采购人的书面许可，并与该第三方签订保密合同。</w:t>
      </w:r>
    </w:p>
    <w:p>
      <w:pPr>
        <w:pStyle w:val="12"/>
        <w:numPr>
          <w:ilvl w:val="0"/>
          <w:numId w:val="14"/>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我方保证，只能将采购人的相关敏感信息提供给予本合同工作直接相关的员工，提供范围及程度仅限于可使该员工完成本项工作，并应约束其员工遵守保密义务。</w:t>
      </w:r>
    </w:p>
    <w:p>
      <w:pPr>
        <w:pStyle w:val="12"/>
        <w:numPr>
          <w:ilvl w:val="0"/>
          <w:numId w:val="14"/>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我方保证，在双方合作关系结束后，我方有义务按照采购人的要求将敏感信息及其载体返还给采购人或者按照采购人的要求予以销毁，不得再以任何形式使用敏感信息。</w:t>
      </w:r>
    </w:p>
    <w:p>
      <w:pPr>
        <w:pStyle w:val="12"/>
        <w:numPr>
          <w:ilvl w:val="0"/>
          <w:numId w:val="14"/>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我方同意采取任何必要的，以及采购人要求的合理措施，保护采购人提供的敏感信息。</w:t>
      </w:r>
    </w:p>
    <w:p>
      <w:pPr>
        <w:pStyle w:val="12"/>
        <w:numPr>
          <w:ilvl w:val="0"/>
          <w:numId w:val="14"/>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如发生任何敏感信息泄漏事件，包括但不限于因我方原因导致的泄漏事件或者因第三方非法获取和使用而造成的泄漏事件，我方均应立即通知采购人，并采取有效措施防止泄密进一步扩大。</w:t>
      </w:r>
    </w:p>
    <w:p>
      <w:pPr>
        <w:pStyle w:val="12"/>
        <w:spacing w:line="360" w:lineRule="auto"/>
        <w:ind w:firstLine="482"/>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特此承诺。</w:t>
      </w:r>
    </w:p>
    <w:p>
      <w:pPr>
        <w:pStyle w:val="12"/>
        <w:spacing w:line="560" w:lineRule="exact"/>
        <w:ind w:left="440" w:firstLine="640"/>
        <w:rPr>
          <w:rFonts w:eastAsia="仿宋" w:cs="仿宋_GB2312" w:asciiTheme="minorEastAsia" w:hAnsiTheme="minorEastAsia"/>
          <w:sz w:val="24"/>
          <w:szCs w:val="24"/>
          <w:lang w:eastAsia="zh-CN"/>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日期：  年  月  日</w:t>
      </w:r>
    </w:p>
    <w:p>
      <w:pPr>
        <w:adjustRightInd w:val="0"/>
        <w:spacing w:line="360" w:lineRule="auto"/>
        <w:ind w:firstLine="3000" w:firstLineChars="1250"/>
        <w:rPr>
          <w:rFonts w:eastAsia="仿宋" w:asciiTheme="minorEastAsia" w:hAnsiTheme="minorEastAsia"/>
          <w:sz w:val="24"/>
          <w:szCs w:val="24"/>
          <w:lang w:eastAsia="zh-CN"/>
        </w:rPr>
      </w:pPr>
    </w:p>
    <w:p>
      <w:pPr>
        <w:adjustRightInd w:val="0"/>
        <w:spacing w:line="360" w:lineRule="auto"/>
        <w:ind w:firstLine="3000" w:firstLineChars="1250"/>
        <w:rPr>
          <w:rFonts w:eastAsia="仿宋" w:asciiTheme="minorEastAsia" w:hAnsiTheme="minorEastAsia"/>
          <w:sz w:val="24"/>
          <w:szCs w:val="24"/>
          <w:lang w:eastAsia="zh-CN"/>
        </w:rPr>
      </w:pPr>
    </w:p>
    <w:p>
      <w:pPr>
        <w:widowControl/>
        <w:autoSpaceDE/>
        <w:autoSpaceDN/>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5"/>
        <w:ind w:left="369" w:hanging="321"/>
        <w:jc w:val="center"/>
        <w:rPr>
          <w:rFonts w:eastAsia="仿宋"/>
          <w:b/>
          <w:bCs/>
          <w:snapToGrid w:val="0"/>
          <w:sz w:val="32"/>
          <w:szCs w:val="32"/>
          <w:lang w:eastAsia="zh-CN"/>
        </w:rPr>
      </w:pPr>
      <w:bookmarkStart w:id="320" w:name="_Toc168595115"/>
      <w:r>
        <w:rPr>
          <w:rFonts w:hint="eastAsia" w:eastAsia="仿宋"/>
          <w:b/>
          <w:bCs/>
          <w:snapToGrid w:val="0"/>
          <w:sz w:val="32"/>
          <w:szCs w:val="32"/>
          <w:lang w:eastAsia="zh-CN"/>
        </w:rPr>
        <w:t>信用承诺</w:t>
      </w:r>
      <w:bookmarkEnd w:id="320"/>
      <w:r>
        <w:rPr>
          <w:rFonts w:hint="eastAsia" w:eastAsia="仿宋"/>
          <w:b/>
          <w:bCs/>
          <w:snapToGrid w:val="0"/>
          <w:sz w:val="32"/>
          <w:szCs w:val="32"/>
          <w:lang w:eastAsia="zh-CN"/>
        </w:rPr>
        <w:t>书</w:t>
      </w:r>
    </w:p>
    <w:p>
      <w:pPr>
        <w:rPr>
          <w:lang w:eastAsia="zh-CN"/>
        </w:rPr>
      </w:pP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我方愿意参加贵方组织的北海</w:t>
      </w:r>
      <w:r>
        <w:rPr>
          <w:rFonts w:hint="eastAsia" w:ascii="仿宋" w:hAnsi="仿宋" w:eastAsia="仿宋" w:cs="仿宋_GB2312"/>
          <w:sz w:val="24"/>
          <w:szCs w:val="24"/>
          <w:u w:val="single"/>
          <w:lang w:eastAsia="zh-CN" w:bidi="ar"/>
        </w:rPr>
        <w:t>糖业</w:t>
      </w:r>
      <w:r>
        <w:rPr>
          <w:rFonts w:ascii="仿宋" w:hAnsi="仿宋" w:eastAsia="仿宋" w:cs="仿宋_GB2312"/>
          <w:sz w:val="24"/>
          <w:szCs w:val="24"/>
          <w:u w:val="single"/>
          <w:lang w:eastAsia="zh-CN" w:bidi="ar"/>
        </w:rPr>
        <w:t xml:space="preserve">                </w:t>
      </w:r>
      <w:r>
        <w:rPr>
          <w:rFonts w:hint="eastAsia" w:ascii="仿宋" w:hAnsi="仿宋" w:eastAsia="仿宋" w:cs="仿宋_GB2312"/>
          <w:sz w:val="24"/>
          <w:szCs w:val="24"/>
          <w:u w:val="single"/>
          <w:lang w:eastAsia="zh-CN" w:bidi="ar"/>
        </w:rPr>
        <w:t>采购项目</w:t>
      </w:r>
      <w:r>
        <w:rPr>
          <w:rFonts w:hint="eastAsia" w:ascii="仿宋" w:hAnsi="仿宋" w:eastAsia="仿宋" w:cs="仿宋_GB2312"/>
          <w:sz w:val="24"/>
          <w:szCs w:val="24"/>
          <w:lang w:eastAsia="zh-CN" w:bidi="ar"/>
        </w:rPr>
        <w:t>的竞标，为了便于贵方公正择优地确定成交供应商及竞标产品和服务，我方就本次竞标有关事项郑重声明如下：</w:t>
      </w: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1、经查询，在规定的查询时间内，“信用中国” 网站上我方未被列入失信执行人、重大税收违法案件当事人名单”；</w:t>
      </w: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2、参加政府采购活动前三年内，在经营活动无严重违法失信行为记录；</w:t>
      </w: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3、没有处于被责令停产停业、暂扣或者吊销执照、暂扣或者吊销许可证、吊销资质证书状态；</w:t>
      </w: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4、没有进入清算程序，或被宣告破产，或其他丧失履约能力的情形；</w:t>
      </w: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5、近三年内（2021年至响应截止日期），未被列入失信执行人对象；</w:t>
      </w: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6、近三年内（2021年至响应截止日期），未有骗取中标（成交）和严重违约及重大质量、安全问题；</w:t>
      </w: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7、以上事项如有虚假或隐瞒，我方愿意承担一切后果，并不再寻求任何旨在减轻或免除法律责任的辩解。</w:t>
      </w:r>
    </w:p>
    <w:p>
      <w:pPr>
        <w:pStyle w:val="12"/>
        <w:spacing w:line="360" w:lineRule="auto"/>
        <w:ind w:left="440" w:right="379" w:firstLine="482"/>
        <w:rPr>
          <w:rFonts w:ascii="仿宋" w:hAnsi="仿宋" w:eastAsia="仿宋" w:cs="仿宋_GB2312"/>
          <w:sz w:val="24"/>
          <w:szCs w:val="24"/>
          <w:lang w:eastAsia="zh-CN" w:bidi="ar"/>
        </w:rPr>
      </w:pPr>
      <w:r>
        <w:rPr>
          <w:rFonts w:hint="eastAsia" w:ascii="仿宋" w:hAnsi="仿宋" w:eastAsia="仿宋" w:cs="仿宋_GB2312"/>
          <w:sz w:val="24"/>
          <w:szCs w:val="24"/>
          <w:lang w:eastAsia="zh-CN" w:bidi="ar"/>
        </w:rPr>
        <w:t>特此承诺！</w:t>
      </w:r>
    </w:p>
    <w:p>
      <w:pPr>
        <w:adjustRightInd w:val="0"/>
        <w:spacing w:line="360" w:lineRule="auto"/>
        <w:ind w:firstLine="3000" w:firstLineChars="1250"/>
        <w:rPr>
          <w:rFonts w:ascii="仿宋" w:hAnsi="仿宋" w:eastAsia="仿宋"/>
          <w:sz w:val="24"/>
          <w:lang w:eastAsia="zh-CN"/>
        </w:rPr>
      </w:pPr>
      <w:r>
        <w:rPr>
          <w:rFonts w:hint="eastAsia" w:ascii="仿宋" w:hAnsi="仿宋" w:eastAsia="仿宋"/>
          <w:sz w:val="24"/>
          <w:lang w:eastAsia="zh-CN"/>
        </w:rPr>
        <w:t>供应商（盖单位公章）：</w:t>
      </w:r>
      <w:r>
        <w:rPr>
          <w:rFonts w:hint="eastAsia" w:ascii="仿宋" w:hAnsi="仿宋" w:eastAsia="仿宋"/>
          <w:sz w:val="24"/>
          <w:u w:val="single"/>
          <w:lang w:eastAsia="zh-CN"/>
        </w:rPr>
        <w:t xml:space="preserve">                     </w:t>
      </w:r>
    </w:p>
    <w:p>
      <w:pPr>
        <w:adjustRightInd w:val="0"/>
        <w:spacing w:line="360" w:lineRule="auto"/>
        <w:ind w:firstLine="3000" w:firstLineChars="1250"/>
        <w:rPr>
          <w:rFonts w:ascii="仿宋" w:hAnsi="仿宋" w:eastAsia="仿宋"/>
          <w:sz w:val="24"/>
          <w:lang w:eastAsia="zh-CN"/>
        </w:rPr>
      </w:pPr>
      <w:r>
        <w:rPr>
          <w:rFonts w:hint="eastAsia" w:ascii="仿宋" w:hAnsi="仿宋" w:eastAsia="仿宋"/>
          <w:sz w:val="24"/>
          <w:lang w:eastAsia="zh-CN"/>
        </w:rPr>
        <w:t>法定代表人或授权代理人（签名）：</w:t>
      </w:r>
      <w:r>
        <w:rPr>
          <w:rFonts w:hint="eastAsia" w:ascii="仿宋" w:hAnsi="仿宋" w:eastAsia="仿宋"/>
          <w:sz w:val="24"/>
          <w:u w:val="single"/>
          <w:lang w:eastAsia="zh-CN"/>
        </w:rPr>
        <w:t xml:space="preserve">           </w:t>
      </w:r>
    </w:p>
    <w:p>
      <w:pPr>
        <w:adjustRightInd w:val="0"/>
        <w:spacing w:line="360" w:lineRule="auto"/>
        <w:ind w:firstLine="3000" w:firstLineChars="1250"/>
        <w:rPr>
          <w:rFonts w:ascii="仿宋" w:hAnsi="仿宋" w:eastAsia="仿宋"/>
          <w:sz w:val="24"/>
        </w:rPr>
      </w:pPr>
      <w:r>
        <w:rPr>
          <w:rFonts w:hint="eastAsia" w:ascii="仿宋" w:hAnsi="仿宋" w:eastAsia="仿宋"/>
          <w:sz w:val="24"/>
        </w:rPr>
        <w:t>日期：</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w:t>
      </w:r>
    </w:p>
    <w:p/>
    <w:p>
      <w:pPr>
        <w:pStyle w:val="12"/>
        <w:spacing w:line="560" w:lineRule="exact"/>
        <w:rPr>
          <w:rFonts w:eastAsia="仿宋" w:asciiTheme="minorEastAsia" w:hAnsiTheme="minorEastAsia"/>
          <w:snapToGrid w:val="0"/>
          <w:sz w:val="24"/>
          <w:szCs w:val="24"/>
          <w:lang w:eastAsia="zh-CN"/>
        </w:rPr>
      </w:pPr>
    </w:p>
    <w:sectPr>
      <w:pgSz w:w="11910" w:h="16840"/>
      <w:pgMar w:top="1191" w:right="1191" w:bottom="1191" w:left="1191" w:header="720" w:footer="720"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badi MT Condensed Light">
    <w:altName w:val="Segoe Print"/>
    <w:panose1 w:val="00000000000000000000"/>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Wingdings 2">
    <w:altName w:val="Wingdings"/>
    <w:panose1 w:val="05020102010507070707"/>
    <w:charset w:val="02"/>
    <w:family w:val="roman"/>
    <w:pitch w:val="default"/>
    <w:sig w:usb0="00000000" w:usb1="00000000" w:usb2="00000000" w:usb3="00000000" w:csb0="80000000" w:csb1="00000000"/>
  </w:font>
  <w:font w:name="方正小标宋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eastAsia="仿宋"/>
      </w:rPr>
    </w:pPr>
    <w:r>
      <w:rPr>
        <w:rFonts w:eastAsia="仿宋"/>
        <w:b/>
        <w:bCs/>
        <w:sz w:val="24"/>
        <w:szCs w:val="24"/>
      </w:rPr>
      <w:fldChar w:fldCharType="begin"/>
    </w:r>
    <w:r>
      <w:rPr>
        <w:rFonts w:eastAsia="仿宋"/>
        <w:b/>
        <w:bCs/>
      </w:rPr>
      <w:instrText xml:space="preserve">PAGE</w:instrText>
    </w:r>
    <w:r>
      <w:rPr>
        <w:rFonts w:eastAsia="仿宋"/>
        <w:b/>
        <w:bCs/>
        <w:sz w:val="24"/>
        <w:szCs w:val="24"/>
      </w:rPr>
      <w:fldChar w:fldCharType="separate"/>
    </w:r>
    <w:r>
      <w:rPr>
        <w:rFonts w:eastAsia="仿宋"/>
        <w:b/>
        <w:bCs/>
      </w:rPr>
      <w:t>39</w:t>
    </w:r>
    <w:r>
      <w:rPr>
        <w:rFonts w:eastAsia="仿宋"/>
        <w:b/>
        <w:bCs/>
        <w:sz w:val="24"/>
        <w:szCs w:val="24"/>
      </w:rPr>
      <w:fldChar w:fldCharType="end"/>
    </w:r>
    <w:r>
      <w:rPr>
        <w:rFonts w:eastAsia="仿宋"/>
        <w:lang w:val="zh-CN" w:eastAsia="zh-CN"/>
      </w:rPr>
      <w:t xml:space="preserve"> / </w:t>
    </w:r>
    <w:r>
      <w:rPr>
        <w:rFonts w:eastAsia="仿宋"/>
        <w:b/>
        <w:bCs/>
        <w:sz w:val="24"/>
        <w:szCs w:val="24"/>
      </w:rPr>
      <w:fldChar w:fldCharType="begin"/>
    </w:r>
    <w:r>
      <w:rPr>
        <w:rFonts w:eastAsia="仿宋"/>
        <w:b/>
        <w:bCs/>
      </w:rPr>
      <w:instrText xml:space="preserve">NUMPAGES</w:instrText>
    </w:r>
    <w:r>
      <w:rPr>
        <w:rFonts w:eastAsia="仿宋"/>
        <w:b/>
        <w:bCs/>
        <w:sz w:val="24"/>
        <w:szCs w:val="24"/>
      </w:rPr>
      <w:fldChar w:fldCharType="separate"/>
    </w:r>
    <w:r>
      <w:rPr>
        <w:rFonts w:eastAsia="仿宋"/>
        <w:b/>
        <w:bCs/>
      </w:rPr>
      <w:t>87</w:t>
    </w:r>
    <w:r>
      <w:rPr>
        <w:rFonts w:eastAsia="仿宋"/>
        <w:b/>
        <w:bCs/>
        <w:sz w:val="24"/>
        <w:szCs w:val="24"/>
      </w:rPr>
      <w:fldChar w:fldCharType="end"/>
    </w:r>
  </w:p>
  <w:p>
    <w:pPr>
      <w:rPr>
        <w:rFonts w:eastAsia="仿宋"/>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b/>
        <w:bCs/>
        <w:sz w:val="24"/>
        <w:szCs w:val="24"/>
      </w:rPr>
      <w:fldChar w:fldCharType="begin"/>
    </w:r>
    <w:r>
      <w:rPr>
        <w:b/>
        <w:bCs/>
      </w:rPr>
      <w:instrText xml:space="preserve">PAGE</w:instrText>
    </w:r>
    <w:r>
      <w:rPr>
        <w:b/>
        <w:bCs/>
        <w:sz w:val="24"/>
        <w:szCs w:val="24"/>
      </w:rPr>
      <w:fldChar w:fldCharType="separate"/>
    </w:r>
    <w:r>
      <w:rPr>
        <w:b/>
        <w:bCs/>
      </w:rPr>
      <w:t>86</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87</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68488"/>
    <w:multiLevelType w:val="singleLevel"/>
    <w:tmpl w:val="9CB68488"/>
    <w:lvl w:ilvl="0" w:tentative="0">
      <w:start w:val="1"/>
      <w:numFmt w:val="chineseCounting"/>
      <w:suff w:val="nothing"/>
      <w:lvlText w:val="%1、"/>
      <w:lvlJc w:val="left"/>
      <w:rPr>
        <w:rFonts w:hint="eastAsia"/>
      </w:rPr>
    </w:lvl>
  </w:abstractNum>
  <w:abstractNum w:abstractNumId="1">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2">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4">
    <w:nsid w:val="1A305725"/>
    <w:multiLevelType w:val="multilevel"/>
    <w:tmpl w:val="1A305725"/>
    <w:lvl w:ilvl="0" w:tentative="0">
      <w:start w:val="1"/>
      <w:numFmt w:val="decimal"/>
      <w:lvlText w:val="(%1)"/>
      <w:lvlJc w:val="left"/>
      <w:pPr>
        <w:ind w:left="628" w:hanging="509"/>
      </w:pPr>
      <w:rPr>
        <w:rFonts w:hint="default" w:ascii="Times New Roman" w:hAnsi="Times New Roman" w:eastAsia="Times New Roman" w:cs="Times New Roman"/>
        <w:w w:val="99"/>
        <w:sz w:val="24"/>
        <w:szCs w:val="24"/>
      </w:rPr>
    </w:lvl>
    <w:lvl w:ilvl="1" w:tentative="0">
      <w:start w:val="0"/>
      <w:numFmt w:val="bullet"/>
      <w:lvlText w:val="•"/>
      <w:lvlJc w:val="left"/>
      <w:pPr>
        <w:ind w:left="3978" w:hanging="144"/>
      </w:pPr>
      <w:rPr>
        <w:rFonts w:hint="default" w:ascii="Times New Roman" w:hAnsi="Times New Roman" w:eastAsia="Times New Roman" w:cs="Times New Roman"/>
        <w:w w:val="99"/>
        <w:sz w:val="24"/>
        <w:szCs w:val="24"/>
      </w:rPr>
    </w:lvl>
    <w:lvl w:ilvl="2" w:tentative="0">
      <w:start w:val="0"/>
      <w:numFmt w:val="bullet"/>
      <w:lvlText w:val="•"/>
      <w:lvlJc w:val="left"/>
      <w:pPr>
        <w:ind w:left="4528" w:hanging="144"/>
      </w:pPr>
      <w:rPr>
        <w:rFonts w:hint="default"/>
      </w:rPr>
    </w:lvl>
    <w:lvl w:ilvl="3" w:tentative="0">
      <w:start w:val="0"/>
      <w:numFmt w:val="bullet"/>
      <w:lvlText w:val="•"/>
      <w:lvlJc w:val="left"/>
      <w:pPr>
        <w:ind w:left="5077" w:hanging="144"/>
      </w:pPr>
      <w:rPr>
        <w:rFonts w:hint="default"/>
      </w:rPr>
    </w:lvl>
    <w:lvl w:ilvl="4" w:tentative="0">
      <w:start w:val="0"/>
      <w:numFmt w:val="bullet"/>
      <w:lvlText w:val="•"/>
      <w:lvlJc w:val="left"/>
      <w:pPr>
        <w:ind w:left="5626" w:hanging="144"/>
      </w:pPr>
      <w:rPr>
        <w:rFonts w:hint="default"/>
      </w:rPr>
    </w:lvl>
    <w:lvl w:ilvl="5" w:tentative="0">
      <w:start w:val="0"/>
      <w:numFmt w:val="bullet"/>
      <w:lvlText w:val="•"/>
      <w:lvlJc w:val="left"/>
      <w:pPr>
        <w:ind w:left="6175" w:hanging="144"/>
      </w:pPr>
      <w:rPr>
        <w:rFonts w:hint="default"/>
      </w:rPr>
    </w:lvl>
    <w:lvl w:ilvl="6" w:tentative="0">
      <w:start w:val="0"/>
      <w:numFmt w:val="bullet"/>
      <w:lvlText w:val="•"/>
      <w:lvlJc w:val="left"/>
      <w:pPr>
        <w:ind w:left="6724" w:hanging="144"/>
      </w:pPr>
      <w:rPr>
        <w:rFonts w:hint="default"/>
      </w:rPr>
    </w:lvl>
    <w:lvl w:ilvl="7" w:tentative="0">
      <w:start w:val="0"/>
      <w:numFmt w:val="bullet"/>
      <w:lvlText w:val="•"/>
      <w:lvlJc w:val="left"/>
      <w:pPr>
        <w:ind w:left="7273" w:hanging="144"/>
      </w:pPr>
      <w:rPr>
        <w:rFonts w:hint="default"/>
      </w:rPr>
    </w:lvl>
    <w:lvl w:ilvl="8" w:tentative="0">
      <w:start w:val="0"/>
      <w:numFmt w:val="bullet"/>
      <w:lvlText w:val="•"/>
      <w:lvlJc w:val="left"/>
      <w:pPr>
        <w:ind w:left="7822" w:hanging="144"/>
      </w:pPr>
      <w:rPr>
        <w:rFonts w:hint="default"/>
      </w:rPr>
    </w:lvl>
  </w:abstractNum>
  <w:abstractNum w:abstractNumId="5">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6">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7">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8">
    <w:nsid w:val="4DCC6CD9"/>
    <w:multiLevelType w:val="singleLevel"/>
    <w:tmpl w:val="4DCC6CD9"/>
    <w:lvl w:ilvl="0" w:tentative="0">
      <w:start w:val="1"/>
      <w:numFmt w:val="chineseCounting"/>
      <w:suff w:val="nothing"/>
      <w:lvlText w:val="%1、"/>
      <w:lvlJc w:val="left"/>
      <w:rPr>
        <w:rFonts w:hint="eastAsia"/>
      </w:rPr>
    </w:lvl>
  </w:abstractNum>
  <w:abstractNum w:abstractNumId="9">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0">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1">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2">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3">
    <w:nsid w:val="6D8A1A7A"/>
    <w:multiLevelType w:val="multilevel"/>
    <w:tmpl w:val="6D8A1A7A"/>
    <w:lvl w:ilvl="0" w:tentative="0">
      <w:start w:val="1"/>
      <w:numFmt w:val="decimal"/>
      <w:lvlText w:val="(%1)"/>
      <w:lvlJc w:val="left"/>
      <w:pPr>
        <w:ind w:left="7881"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10"/>
  </w:num>
  <w:num w:numId="3">
    <w:abstractNumId w:val="5"/>
  </w:num>
  <w:num w:numId="4">
    <w:abstractNumId w:val="1"/>
  </w:num>
  <w:num w:numId="5">
    <w:abstractNumId w:val="2"/>
  </w:num>
  <w:num w:numId="6">
    <w:abstractNumId w:val="13"/>
  </w:num>
  <w:num w:numId="7">
    <w:abstractNumId w:val="8"/>
  </w:num>
  <w:num w:numId="8">
    <w:abstractNumId w:val="0"/>
  </w:num>
  <w:num w:numId="9">
    <w:abstractNumId w:val="9"/>
  </w:num>
  <w:num w:numId="10">
    <w:abstractNumId w:val="3"/>
  </w:num>
  <w:num w:numId="11">
    <w:abstractNumId w:val="11"/>
  </w:num>
  <w:num w:numId="12">
    <w:abstractNumId w:val="7"/>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719"/>
  <w:drawingGridHorizontalSpacing w:val="110"/>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jNWI1M2RjNTU2OGMwYWVkMGI5NDkyMDgwMDJhMWYifQ=="/>
  </w:docVars>
  <w:rsids>
    <w:rsidRoot w:val="00172A27"/>
    <w:rsid w:val="00000F23"/>
    <w:rsid w:val="00001536"/>
    <w:rsid w:val="00002411"/>
    <w:rsid w:val="000034F1"/>
    <w:rsid w:val="00004BB1"/>
    <w:rsid w:val="00007538"/>
    <w:rsid w:val="00007EE5"/>
    <w:rsid w:val="000107F6"/>
    <w:rsid w:val="00011702"/>
    <w:rsid w:val="00011B04"/>
    <w:rsid w:val="0001446B"/>
    <w:rsid w:val="00014D1D"/>
    <w:rsid w:val="000157AC"/>
    <w:rsid w:val="00016CFE"/>
    <w:rsid w:val="00021598"/>
    <w:rsid w:val="0002380B"/>
    <w:rsid w:val="00023CBC"/>
    <w:rsid w:val="00024320"/>
    <w:rsid w:val="00024BC4"/>
    <w:rsid w:val="00030AFF"/>
    <w:rsid w:val="000314E4"/>
    <w:rsid w:val="00031995"/>
    <w:rsid w:val="00031CBC"/>
    <w:rsid w:val="00033E28"/>
    <w:rsid w:val="00037A7A"/>
    <w:rsid w:val="0004007B"/>
    <w:rsid w:val="00040D24"/>
    <w:rsid w:val="0004120C"/>
    <w:rsid w:val="00041B76"/>
    <w:rsid w:val="0004361C"/>
    <w:rsid w:val="000436B5"/>
    <w:rsid w:val="00044AE5"/>
    <w:rsid w:val="000465B1"/>
    <w:rsid w:val="0004664D"/>
    <w:rsid w:val="00051A53"/>
    <w:rsid w:val="00052E2D"/>
    <w:rsid w:val="0005322C"/>
    <w:rsid w:val="00053D78"/>
    <w:rsid w:val="00054196"/>
    <w:rsid w:val="000544E4"/>
    <w:rsid w:val="000567A3"/>
    <w:rsid w:val="00056E53"/>
    <w:rsid w:val="00056F78"/>
    <w:rsid w:val="00060099"/>
    <w:rsid w:val="000605F9"/>
    <w:rsid w:val="00060B26"/>
    <w:rsid w:val="00061821"/>
    <w:rsid w:val="00061944"/>
    <w:rsid w:val="00061CF3"/>
    <w:rsid w:val="00062D94"/>
    <w:rsid w:val="00063B9B"/>
    <w:rsid w:val="00063DD5"/>
    <w:rsid w:val="000642FA"/>
    <w:rsid w:val="00066AA6"/>
    <w:rsid w:val="000673A4"/>
    <w:rsid w:val="00067DAA"/>
    <w:rsid w:val="00067F35"/>
    <w:rsid w:val="00070E65"/>
    <w:rsid w:val="0007367A"/>
    <w:rsid w:val="0007397A"/>
    <w:rsid w:val="00073A9F"/>
    <w:rsid w:val="00074827"/>
    <w:rsid w:val="000762F7"/>
    <w:rsid w:val="00076BE0"/>
    <w:rsid w:val="000770B9"/>
    <w:rsid w:val="0008137C"/>
    <w:rsid w:val="00081B4E"/>
    <w:rsid w:val="00081BF4"/>
    <w:rsid w:val="000840F3"/>
    <w:rsid w:val="00087B13"/>
    <w:rsid w:val="00087DC3"/>
    <w:rsid w:val="0009117D"/>
    <w:rsid w:val="000916CA"/>
    <w:rsid w:val="00092D85"/>
    <w:rsid w:val="000948CC"/>
    <w:rsid w:val="0009539B"/>
    <w:rsid w:val="000960FD"/>
    <w:rsid w:val="00096837"/>
    <w:rsid w:val="00096AD3"/>
    <w:rsid w:val="00097531"/>
    <w:rsid w:val="000A02EE"/>
    <w:rsid w:val="000A0479"/>
    <w:rsid w:val="000A3DEC"/>
    <w:rsid w:val="000A4B84"/>
    <w:rsid w:val="000A4F29"/>
    <w:rsid w:val="000A53C7"/>
    <w:rsid w:val="000A55B9"/>
    <w:rsid w:val="000A6727"/>
    <w:rsid w:val="000B1253"/>
    <w:rsid w:val="000B13EB"/>
    <w:rsid w:val="000B1648"/>
    <w:rsid w:val="000B452D"/>
    <w:rsid w:val="000B55DF"/>
    <w:rsid w:val="000B5A69"/>
    <w:rsid w:val="000B64D1"/>
    <w:rsid w:val="000C07B6"/>
    <w:rsid w:val="000C1B43"/>
    <w:rsid w:val="000C2F78"/>
    <w:rsid w:val="000C3293"/>
    <w:rsid w:val="000C3659"/>
    <w:rsid w:val="000C3AD8"/>
    <w:rsid w:val="000C551E"/>
    <w:rsid w:val="000C5D0B"/>
    <w:rsid w:val="000C71EC"/>
    <w:rsid w:val="000D1D24"/>
    <w:rsid w:val="000D1F03"/>
    <w:rsid w:val="000D2E0E"/>
    <w:rsid w:val="000D31FB"/>
    <w:rsid w:val="000D3291"/>
    <w:rsid w:val="000D48AE"/>
    <w:rsid w:val="000D73DF"/>
    <w:rsid w:val="000E04B4"/>
    <w:rsid w:val="000E0850"/>
    <w:rsid w:val="000E1DFF"/>
    <w:rsid w:val="000E41A1"/>
    <w:rsid w:val="000E4353"/>
    <w:rsid w:val="000E47A6"/>
    <w:rsid w:val="000E4B96"/>
    <w:rsid w:val="000E53D3"/>
    <w:rsid w:val="000E65C6"/>
    <w:rsid w:val="000E69FA"/>
    <w:rsid w:val="000E7095"/>
    <w:rsid w:val="000F1CEF"/>
    <w:rsid w:val="000F21E1"/>
    <w:rsid w:val="000F3C39"/>
    <w:rsid w:val="000F42C2"/>
    <w:rsid w:val="000F45B5"/>
    <w:rsid w:val="000F4699"/>
    <w:rsid w:val="000F59C1"/>
    <w:rsid w:val="0010394B"/>
    <w:rsid w:val="00105A40"/>
    <w:rsid w:val="00106F4A"/>
    <w:rsid w:val="0010728A"/>
    <w:rsid w:val="001072DD"/>
    <w:rsid w:val="00107846"/>
    <w:rsid w:val="00107904"/>
    <w:rsid w:val="00111574"/>
    <w:rsid w:val="00117D55"/>
    <w:rsid w:val="00122A92"/>
    <w:rsid w:val="00123FEA"/>
    <w:rsid w:val="001261C8"/>
    <w:rsid w:val="0012639E"/>
    <w:rsid w:val="00126CD7"/>
    <w:rsid w:val="0012772B"/>
    <w:rsid w:val="00127798"/>
    <w:rsid w:val="00130025"/>
    <w:rsid w:val="001303A0"/>
    <w:rsid w:val="00131896"/>
    <w:rsid w:val="00135E84"/>
    <w:rsid w:val="00136542"/>
    <w:rsid w:val="001368E0"/>
    <w:rsid w:val="00143C76"/>
    <w:rsid w:val="00145734"/>
    <w:rsid w:val="00146417"/>
    <w:rsid w:val="0015008D"/>
    <w:rsid w:val="0015139F"/>
    <w:rsid w:val="0015617D"/>
    <w:rsid w:val="00156522"/>
    <w:rsid w:val="00156D9C"/>
    <w:rsid w:val="001578A4"/>
    <w:rsid w:val="00160EDC"/>
    <w:rsid w:val="001610DD"/>
    <w:rsid w:val="0016160A"/>
    <w:rsid w:val="00163CA9"/>
    <w:rsid w:val="001666DD"/>
    <w:rsid w:val="00172097"/>
    <w:rsid w:val="00172A27"/>
    <w:rsid w:val="00172B3D"/>
    <w:rsid w:val="00175DB1"/>
    <w:rsid w:val="00175FF3"/>
    <w:rsid w:val="00177A4E"/>
    <w:rsid w:val="001801A8"/>
    <w:rsid w:val="001801EB"/>
    <w:rsid w:val="00180A49"/>
    <w:rsid w:val="00180E1A"/>
    <w:rsid w:val="00181D92"/>
    <w:rsid w:val="00183D01"/>
    <w:rsid w:val="00183EF9"/>
    <w:rsid w:val="00190039"/>
    <w:rsid w:val="00190605"/>
    <w:rsid w:val="00190861"/>
    <w:rsid w:val="001912D8"/>
    <w:rsid w:val="00191382"/>
    <w:rsid w:val="00192D03"/>
    <w:rsid w:val="00192D8A"/>
    <w:rsid w:val="001935EF"/>
    <w:rsid w:val="00194DA4"/>
    <w:rsid w:val="001960FE"/>
    <w:rsid w:val="00196357"/>
    <w:rsid w:val="00196A74"/>
    <w:rsid w:val="00197220"/>
    <w:rsid w:val="001A0A45"/>
    <w:rsid w:val="001A2220"/>
    <w:rsid w:val="001A39D2"/>
    <w:rsid w:val="001A4A68"/>
    <w:rsid w:val="001A6AA2"/>
    <w:rsid w:val="001A7315"/>
    <w:rsid w:val="001B15D2"/>
    <w:rsid w:val="001B1613"/>
    <w:rsid w:val="001B2985"/>
    <w:rsid w:val="001B2B23"/>
    <w:rsid w:val="001B3CA6"/>
    <w:rsid w:val="001B4724"/>
    <w:rsid w:val="001B4FFF"/>
    <w:rsid w:val="001B6931"/>
    <w:rsid w:val="001C1706"/>
    <w:rsid w:val="001C23E4"/>
    <w:rsid w:val="001C5CD7"/>
    <w:rsid w:val="001C7572"/>
    <w:rsid w:val="001C77CB"/>
    <w:rsid w:val="001D2D66"/>
    <w:rsid w:val="001D3898"/>
    <w:rsid w:val="001D4387"/>
    <w:rsid w:val="001D533C"/>
    <w:rsid w:val="001D7420"/>
    <w:rsid w:val="001E5559"/>
    <w:rsid w:val="001E6C31"/>
    <w:rsid w:val="001F0B03"/>
    <w:rsid w:val="001F4DD6"/>
    <w:rsid w:val="001F541A"/>
    <w:rsid w:val="001F5CF6"/>
    <w:rsid w:val="001F6317"/>
    <w:rsid w:val="001F6F20"/>
    <w:rsid w:val="001F7194"/>
    <w:rsid w:val="002017B3"/>
    <w:rsid w:val="002033CB"/>
    <w:rsid w:val="00205FF0"/>
    <w:rsid w:val="0020620F"/>
    <w:rsid w:val="00206666"/>
    <w:rsid w:val="00207295"/>
    <w:rsid w:val="00207B35"/>
    <w:rsid w:val="00210D60"/>
    <w:rsid w:val="00213F30"/>
    <w:rsid w:val="00214C24"/>
    <w:rsid w:val="002206AA"/>
    <w:rsid w:val="00220B86"/>
    <w:rsid w:val="00223077"/>
    <w:rsid w:val="00225492"/>
    <w:rsid w:val="00226E75"/>
    <w:rsid w:val="00227CCC"/>
    <w:rsid w:val="0023070F"/>
    <w:rsid w:val="00231AAD"/>
    <w:rsid w:val="00232416"/>
    <w:rsid w:val="00233D92"/>
    <w:rsid w:val="00235B5D"/>
    <w:rsid w:val="00235D33"/>
    <w:rsid w:val="002362E8"/>
    <w:rsid w:val="0023651B"/>
    <w:rsid w:val="0024162C"/>
    <w:rsid w:val="002461DC"/>
    <w:rsid w:val="00246C3F"/>
    <w:rsid w:val="00247558"/>
    <w:rsid w:val="00252B0C"/>
    <w:rsid w:val="0025392F"/>
    <w:rsid w:val="00253BA0"/>
    <w:rsid w:val="002552CA"/>
    <w:rsid w:val="00260060"/>
    <w:rsid w:val="0026089D"/>
    <w:rsid w:val="0026114C"/>
    <w:rsid w:val="002622CC"/>
    <w:rsid w:val="00262793"/>
    <w:rsid w:val="00265C36"/>
    <w:rsid w:val="002670BC"/>
    <w:rsid w:val="00270AB1"/>
    <w:rsid w:val="0027100F"/>
    <w:rsid w:val="00272CD3"/>
    <w:rsid w:val="0027339C"/>
    <w:rsid w:val="00273F34"/>
    <w:rsid w:val="00275093"/>
    <w:rsid w:val="00275DEF"/>
    <w:rsid w:val="00276E88"/>
    <w:rsid w:val="00277D66"/>
    <w:rsid w:val="0028089E"/>
    <w:rsid w:val="00281949"/>
    <w:rsid w:val="00281B05"/>
    <w:rsid w:val="00282278"/>
    <w:rsid w:val="00282E49"/>
    <w:rsid w:val="00284AFC"/>
    <w:rsid w:val="00286B36"/>
    <w:rsid w:val="00286F33"/>
    <w:rsid w:val="002907EA"/>
    <w:rsid w:val="00292CCA"/>
    <w:rsid w:val="00293F31"/>
    <w:rsid w:val="00294909"/>
    <w:rsid w:val="002951E5"/>
    <w:rsid w:val="00295375"/>
    <w:rsid w:val="0029648A"/>
    <w:rsid w:val="00296EBE"/>
    <w:rsid w:val="0029759B"/>
    <w:rsid w:val="002A26D4"/>
    <w:rsid w:val="002A2FD5"/>
    <w:rsid w:val="002A6617"/>
    <w:rsid w:val="002A6CC9"/>
    <w:rsid w:val="002A7F78"/>
    <w:rsid w:val="002B3417"/>
    <w:rsid w:val="002B3BC0"/>
    <w:rsid w:val="002B4EBD"/>
    <w:rsid w:val="002B53FB"/>
    <w:rsid w:val="002B560A"/>
    <w:rsid w:val="002B5991"/>
    <w:rsid w:val="002B7043"/>
    <w:rsid w:val="002B713B"/>
    <w:rsid w:val="002B737A"/>
    <w:rsid w:val="002C0B93"/>
    <w:rsid w:val="002C2B96"/>
    <w:rsid w:val="002C3393"/>
    <w:rsid w:val="002C7206"/>
    <w:rsid w:val="002C74C9"/>
    <w:rsid w:val="002D009A"/>
    <w:rsid w:val="002D2BD8"/>
    <w:rsid w:val="002D2D4C"/>
    <w:rsid w:val="002D36D3"/>
    <w:rsid w:val="002D3BA9"/>
    <w:rsid w:val="002D4206"/>
    <w:rsid w:val="002D5628"/>
    <w:rsid w:val="002D5784"/>
    <w:rsid w:val="002D5AA8"/>
    <w:rsid w:val="002E109D"/>
    <w:rsid w:val="002E2CB8"/>
    <w:rsid w:val="002E2E1A"/>
    <w:rsid w:val="002E464E"/>
    <w:rsid w:val="002E5039"/>
    <w:rsid w:val="002E5199"/>
    <w:rsid w:val="002E51CF"/>
    <w:rsid w:val="002E548A"/>
    <w:rsid w:val="002E7415"/>
    <w:rsid w:val="002E76EC"/>
    <w:rsid w:val="002F3B4E"/>
    <w:rsid w:val="002F3E55"/>
    <w:rsid w:val="002F49ED"/>
    <w:rsid w:val="002F6432"/>
    <w:rsid w:val="002F7CCB"/>
    <w:rsid w:val="003026A6"/>
    <w:rsid w:val="003048D5"/>
    <w:rsid w:val="00304EBB"/>
    <w:rsid w:val="0030757A"/>
    <w:rsid w:val="003102A9"/>
    <w:rsid w:val="003108E7"/>
    <w:rsid w:val="0031131B"/>
    <w:rsid w:val="003130F6"/>
    <w:rsid w:val="00315BA4"/>
    <w:rsid w:val="0031699E"/>
    <w:rsid w:val="0032142D"/>
    <w:rsid w:val="00323E81"/>
    <w:rsid w:val="00324570"/>
    <w:rsid w:val="003253F2"/>
    <w:rsid w:val="003273AD"/>
    <w:rsid w:val="00330FE4"/>
    <w:rsid w:val="003343F8"/>
    <w:rsid w:val="00335041"/>
    <w:rsid w:val="00335469"/>
    <w:rsid w:val="00335473"/>
    <w:rsid w:val="00335843"/>
    <w:rsid w:val="00336D68"/>
    <w:rsid w:val="0034134F"/>
    <w:rsid w:val="0034204F"/>
    <w:rsid w:val="00342A51"/>
    <w:rsid w:val="00344AB0"/>
    <w:rsid w:val="00344B03"/>
    <w:rsid w:val="003454E4"/>
    <w:rsid w:val="00347249"/>
    <w:rsid w:val="0034757C"/>
    <w:rsid w:val="003510D7"/>
    <w:rsid w:val="003515F7"/>
    <w:rsid w:val="0035233D"/>
    <w:rsid w:val="003537C8"/>
    <w:rsid w:val="00354D66"/>
    <w:rsid w:val="00354E85"/>
    <w:rsid w:val="0035772D"/>
    <w:rsid w:val="003605A2"/>
    <w:rsid w:val="00360C5B"/>
    <w:rsid w:val="00360EB8"/>
    <w:rsid w:val="0036383B"/>
    <w:rsid w:val="003639C5"/>
    <w:rsid w:val="003668D8"/>
    <w:rsid w:val="00366C8F"/>
    <w:rsid w:val="003715A2"/>
    <w:rsid w:val="003728C2"/>
    <w:rsid w:val="003731B1"/>
    <w:rsid w:val="0037353E"/>
    <w:rsid w:val="003735A1"/>
    <w:rsid w:val="003739A7"/>
    <w:rsid w:val="00373E0A"/>
    <w:rsid w:val="003740F9"/>
    <w:rsid w:val="0038271C"/>
    <w:rsid w:val="00383660"/>
    <w:rsid w:val="0038694C"/>
    <w:rsid w:val="00387C86"/>
    <w:rsid w:val="003910A0"/>
    <w:rsid w:val="00391114"/>
    <w:rsid w:val="00391B08"/>
    <w:rsid w:val="00392209"/>
    <w:rsid w:val="0039226A"/>
    <w:rsid w:val="00392C1F"/>
    <w:rsid w:val="003941AE"/>
    <w:rsid w:val="00396653"/>
    <w:rsid w:val="0039735C"/>
    <w:rsid w:val="00397BD9"/>
    <w:rsid w:val="00397F64"/>
    <w:rsid w:val="003A02EB"/>
    <w:rsid w:val="003A0488"/>
    <w:rsid w:val="003A2E0A"/>
    <w:rsid w:val="003A3CEE"/>
    <w:rsid w:val="003A4DEC"/>
    <w:rsid w:val="003A5086"/>
    <w:rsid w:val="003A6857"/>
    <w:rsid w:val="003B0736"/>
    <w:rsid w:val="003B2A07"/>
    <w:rsid w:val="003B3B4B"/>
    <w:rsid w:val="003B4125"/>
    <w:rsid w:val="003B43F4"/>
    <w:rsid w:val="003B4700"/>
    <w:rsid w:val="003B4F46"/>
    <w:rsid w:val="003B564B"/>
    <w:rsid w:val="003B63F0"/>
    <w:rsid w:val="003B70DA"/>
    <w:rsid w:val="003B7754"/>
    <w:rsid w:val="003C095D"/>
    <w:rsid w:val="003C38CD"/>
    <w:rsid w:val="003C4604"/>
    <w:rsid w:val="003C4B1D"/>
    <w:rsid w:val="003C4ED7"/>
    <w:rsid w:val="003C55E2"/>
    <w:rsid w:val="003C6225"/>
    <w:rsid w:val="003C6E72"/>
    <w:rsid w:val="003C76EC"/>
    <w:rsid w:val="003C77BB"/>
    <w:rsid w:val="003D0348"/>
    <w:rsid w:val="003D0ADA"/>
    <w:rsid w:val="003D1459"/>
    <w:rsid w:val="003D18E2"/>
    <w:rsid w:val="003D2094"/>
    <w:rsid w:val="003D307C"/>
    <w:rsid w:val="003D32C1"/>
    <w:rsid w:val="003D4767"/>
    <w:rsid w:val="003D66B9"/>
    <w:rsid w:val="003D7363"/>
    <w:rsid w:val="003D7563"/>
    <w:rsid w:val="003E0091"/>
    <w:rsid w:val="003E042A"/>
    <w:rsid w:val="003E07A6"/>
    <w:rsid w:val="003E0819"/>
    <w:rsid w:val="003E18C7"/>
    <w:rsid w:val="003E1A57"/>
    <w:rsid w:val="003E24C5"/>
    <w:rsid w:val="003E255B"/>
    <w:rsid w:val="003E37C2"/>
    <w:rsid w:val="003E3BC4"/>
    <w:rsid w:val="003E67AA"/>
    <w:rsid w:val="003E70F9"/>
    <w:rsid w:val="003F1D44"/>
    <w:rsid w:val="003F1E00"/>
    <w:rsid w:val="003F2179"/>
    <w:rsid w:val="003F2EF6"/>
    <w:rsid w:val="003F3017"/>
    <w:rsid w:val="003F3445"/>
    <w:rsid w:val="003F449A"/>
    <w:rsid w:val="003F4EBE"/>
    <w:rsid w:val="003F6180"/>
    <w:rsid w:val="003F618F"/>
    <w:rsid w:val="003F6BA6"/>
    <w:rsid w:val="003F7F22"/>
    <w:rsid w:val="0040015D"/>
    <w:rsid w:val="00400A29"/>
    <w:rsid w:val="00401A43"/>
    <w:rsid w:val="004023BA"/>
    <w:rsid w:val="0040381C"/>
    <w:rsid w:val="00404442"/>
    <w:rsid w:val="0040449A"/>
    <w:rsid w:val="0040474E"/>
    <w:rsid w:val="0040537D"/>
    <w:rsid w:val="00410817"/>
    <w:rsid w:val="00410B34"/>
    <w:rsid w:val="00411422"/>
    <w:rsid w:val="00411CB2"/>
    <w:rsid w:val="0041293A"/>
    <w:rsid w:val="0041325E"/>
    <w:rsid w:val="004136AB"/>
    <w:rsid w:val="00414F8D"/>
    <w:rsid w:val="00415042"/>
    <w:rsid w:val="00415EB5"/>
    <w:rsid w:val="004167B6"/>
    <w:rsid w:val="004200AA"/>
    <w:rsid w:val="00421E08"/>
    <w:rsid w:val="004248ED"/>
    <w:rsid w:val="00424EBC"/>
    <w:rsid w:val="00425679"/>
    <w:rsid w:val="00426D16"/>
    <w:rsid w:val="004274A1"/>
    <w:rsid w:val="00427D4D"/>
    <w:rsid w:val="00431616"/>
    <w:rsid w:val="004317F5"/>
    <w:rsid w:val="004318AC"/>
    <w:rsid w:val="00433004"/>
    <w:rsid w:val="0043322F"/>
    <w:rsid w:val="004337B2"/>
    <w:rsid w:val="00433A6F"/>
    <w:rsid w:val="0043468E"/>
    <w:rsid w:val="004359DD"/>
    <w:rsid w:val="00440678"/>
    <w:rsid w:val="004425F3"/>
    <w:rsid w:val="004435F8"/>
    <w:rsid w:val="00443761"/>
    <w:rsid w:val="00444E3E"/>
    <w:rsid w:val="00445C2F"/>
    <w:rsid w:val="00446AEA"/>
    <w:rsid w:val="004477E5"/>
    <w:rsid w:val="00454C68"/>
    <w:rsid w:val="004550D9"/>
    <w:rsid w:val="004557C3"/>
    <w:rsid w:val="0045595D"/>
    <w:rsid w:val="00456684"/>
    <w:rsid w:val="00456EA0"/>
    <w:rsid w:val="004612E0"/>
    <w:rsid w:val="0046151C"/>
    <w:rsid w:val="0046530B"/>
    <w:rsid w:val="004654C6"/>
    <w:rsid w:val="004673AE"/>
    <w:rsid w:val="00467903"/>
    <w:rsid w:val="004708E7"/>
    <w:rsid w:val="00474B60"/>
    <w:rsid w:val="00475947"/>
    <w:rsid w:val="004760F8"/>
    <w:rsid w:val="00480200"/>
    <w:rsid w:val="00481E1C"/>
    <w:rsid w:val="00481FA4"/>
    <w:rsid w:val="00483B80"/>
    <w:rsid w:val="004864A0"/>
    <w:rsid w:val="00487EB8"/>
    <w:rsid w:val="00491A36"/>
    <w:rsid w:val="00492603"/>
    <w:rsid w:val="0049379E"/>
    <w:rsid w:val="004947CB"/>
    <w:rsid w:val="004948D9"/>
    <w:rsid w:val="00495C27"/>
    <w:rsid w:val="00496145"/>
    <w:rsid w:val="0049767E"/>
    <w:rsid w:val="004A3B41"/>
    <w:rsid w:val="004A571B"/>
    <w:rsid w:val="004A582C"/>
    <w:rsid w:val="004A5B7E"/>
    <w:rsid w:val="004A5C9E"/>
    <w:rsid w:val="004A790C"/>
    <w:rsid w:val="004A7968"/>
    <w:rsid w:val="004A7B92"/>
    <w:rsid w:val="004B088B"/>
    <w:rsid w:val="004B36F6"/>
    <w:rsid w:val="004B5320"/>
    <w:rsid w:val="004B54BF"/>
    <w:rsid w:val="004B66A2"/>
    <w:rsid w:val="004B6918"/>
    <w:rsid w:val="004B79F8"/>
    <w:rsid w:val="004C0312"/>
    <w:rsid w:val="004C06BC"/>
    <w:rsid w:val="004C0AD1"/>
    <w:rsid w:val="004C21BE"/>
    <w:rsid w:val="004C2477"/>
    <w:rsid w:val="004C27B0"/>
    <w:rsid w:val="004C2B82"/>
    <w:rsid w:val="004C2CFC"/>
    <w:rsid w:val="004C38F4"/>
    <w:rsid w:val="004C3993"/>
    <w:rsid w:val="004C3F9F"/>
    <w:rsid w:val="004C5401"/>
    <w:rsid w:val="004C67FF"/>
    <w:rsid w:val="004D00C0"/>
    <w:rsid w:val="004D0F2B"/>
    <w:rsid w:val="004D19C8"/>
    <w:rsid w:val="004D3B70"/>
    <w:rsid w:val="004D6C77"/>
    <w:rsid w:val="004D7537"/>
    <w:rsid w:val="004E0DFA"/>
    <w:rsid w:val="004E10E1"/>
    <w:rsid w:val="004E1ADD"/>
    <w:rsid w:val="004E5403"/>
    <w:rsid w:val="004E6C49"/>
    <w:rsid w:val="004E71A2"/>
    <w:rsid w:val="004E7E4E"/>
    <w:rsid w:val="004F1BD5"/>
    <w:rsid w:val="004F4925"/>
    <w:rsid w:val="004F5115"/>
    <w:rsid w:val="004F7A61"/>
    <w:rsid w:val="00500ABE"/>
    <w:rsid w:val="00501131"/>
    <w:rsid w:val="00501733"/>
    <w:rsid w:val="005040DB"/>
    <w:rsid w:val="0050524F"/>
    <w:rsid w:val="0050645E"/>
    <w:rsid w:val="005109CB"/>
    <w:rsid w:val="00510A59"/>
    <w:rsid w:val="00511124"/>
    <w:rsid w:val="00516421"/>
    <w:rsid w:val="00524C5A"/>
    <w:rsid w:val="00525A6C"/>
    <w:rsid w:val="00530216"/>
    <w:rsid w:val="005321E6"/>
    <w:rsid w:val="00535439"/>
    <w:rsid w:val="00535B8E"/>
    <w:rsid w:val="00536233"/>
    <w:rsid w:val="005370EC"/>
    <w:rsid w:val="00540021"/>
    <w:rsid w:val="00543751"/>
    <w:rsid w:val="005442F6"/>
    <w:rsid w:val="00547307"/>
    <w:rsid w:val="0055227E"/>
    <w:rsid w:val="00554768"/>
    <w:rsid w:val="00554C9E"/>
    <w:rsid w:val="005646AB"/>
    <w:rsid w:val="005648A7"/>
    <w:rsid w:val="00565B2A"/>
    <w:rsid w:val="00566940"/>
    <w:rsid w:val="005672EE"/>
    <w:rsid w:val="00572792"/>
    <w:rsid w:val="00574ED4"/>
    <w:rsid w:val="005773D2"/>
    <w:rsid w:val="005808B5"/>
    <w:rsid w:val="005820CD"/>
    <w:rsid w:val="00582780"/>
    <w:rsid w:val="0058321B"/>
    <w:rsid w:val="00584AF4"/>
    <w:rsid w:val="00584E2B"/>
    <w:rsid w:val="00585918"/>
    <w:rsid w:val="00585E92"/>
    <w:rsid w:val="00591CB1"/>
    <w:rsid w:val="005940AE"/>
    <w:rsid w:val="0059656B"/>
    <w:rsid w:val="005A39F6"/>
    <w:rsid w:val="005A49D6"/>
    <w:rsid w:val="005A4BFC"/>
    <w:rsid w:val="005A570F"/>
    <w:rsid w:val="005A5CA7"/>
    <w:rsid w:val="005A6C12"/>
    <w:rsid w:val="005A771A"/>
    <w:rsid w:val="005A7C32"/>
    <w:rsid w:val="005B0972"/>
    <w:rsid w:val="005B10C8"/>
    <w:rsid w:val="005B13A3"/>
    <w:rsid w:val="005B227D"/>
    <w:rsid w:val="005B3D11"/>
    <w:rsid w:val="005B4538"/>
    <w:rsid w:val="005B5A02"/>
    <w:rsid w:val="005B67E9"/>
    <w:rsid w:val="005B6FD0"/>
    <w:rsid w:val="005B7B4C"/>
    <w:rsid w:val="005B7B7D"/>
    <w:rsid w:val="005B7C75"/>
    <w:rsid w:val="005C0603"/>
    <w:rsid w:val="005C077D"/>
    <w:rsid w:val="005C0DC8"/>
    <w:rsid w:val="005C20E6"/>
    <w:rsid w:val="005C27E4"/>
    <w:rsid w:val="005C3E7A"/>
    <w:rsid w:val="005C41E5"/>
    <w:rsid w:val="005C43C1"/>
    <w:rsid w:val="005C43F9"/>
    <w:rsid w:val="005C666D"/>
    <w:rsid w:val="005C6D94"/>
    <w:rsid w:val="005C7C48"/>
    <w:rsid w:val="005D08B6"/>
    <w:rsid w:val="005D1140"/>
    <w:rsid w:val="005D2621"/>
    <w:rsid w:val="005D58C5"/>
    <w:rsid w:val="005E006C"/>
    <w:rsid w:val="005E272A"/>
    <w:rsid w:val="005E78D5"/>
    <w:rsid w:val="005E7E9A"/>
    <w:rsid w:val="005F2638"/>
    <w:rsid w:val="005F335C"/>
    <w:rsid w:val="005F3470"/>
    <w:rsid w:val="005F4158"/>
    <w:rsid w:val="005F542C"/>
    <w:rsid w:val="005F65CD"/>
    <w:rsid w:val="005F7083"/>
    <w:rsid w:val="005F7B89"/>
    <w:rsid w:val="00600E3B"/>
    <w:rsid w:val="006019E8"/>
    <w:rsid w:val="0060226B"/>
    <w:rsid w:val="00603B75"/>
    <w:rsid w:val="00603E4A"/>
    <w:rsid w:val="00604363"/>
    <w:rsid w:val="00607F1C"/>
    <w:rsid w:val="006101D5"/>
    <w:rsid w:val="006139C6"/>
    <w:rsid w:val="0061428F"/>
    <w:rsid w:val="0061531B"/>
    <w:rsid w:val="00616068"/>
    <w:rsid w:val="0062056F"/>
    <w:rsid w:val="0062075A"/>
    <w:rsid w:val="00620861"/>
    <w:rsid w:val="00621B24"/>
    <w:rsid w:val="00622530"/>
    <w:rsid w:val="00622E26"/>
    <w:rsid w:val="00625419"/>
    <w:rsid w:val="00626995"/>
    <w:rsid w:val="00627001"/>
    <w:rsid w:val="00627711"/>
    <w:rsid w:val="00630EE9"/>
    <w:rsid w:val="006322CA"/>
    <w:rsid w:val="006328D3"/>
    <w:rsid w:val="00634508"/>
    <w:rsid w:val="00635841"/>
    <w:rsid w:val="006370B7"/>
    <w:rsid w:val="00637D5C"/>
    <w:rsid w:val="0064160E"/>
    <w:rsid w:val="00641FDC"/>
    <w:rsid w:val="006420A4"/>
    <w:rsid w:val="00642FD8"/>
    <w:rsid w:val="00650B10"/>
    <w:rsid w:val="006514BA"/>
    <w:rsid w:val="00653715"/>
    <w:rsid w:val="00655476"/>
    <w:rsid w:val="00655885"/>
    <w:rsid w:val="006560DE"/>
    <w:rsid w:val="00656A37"/>
    <w:rsid w:val="00656DDE"/>
    <w:rsid w:val="006573EC"/>
    <w:rsid w:val="00660043"/>
    <w:rsid w:val="006603FB"/>
    <w:rsid w:val="00664150"/>
    <w:rsid w:val="00664639"/>
    <w:rsid w:val="006651D3"/>
    <w:rsid w:val="0066535A"/>
    <w:rsid w:val="00672DD2"/>
    <w:rsid w:val="00674C1F"/>
    <w:rsid w:val="00674E9E"/>
    <w:rsid w:val="00676605"/>
    <w:rsid w:val="0067700B"/>
    <w:rsid w:val="00681D06"/>
    <w:rsid w:val="0068404D"/>
    <w:rsid w:val="00686B37"/>
    <w:rsid w:val="006905D5"/>
    <w:rsid w:val="00690664"/>
    <w:rsid w:val="00692D08"/>
    <w:rsid w:val="00693610"/>
    <w:rsid w:val="00693E08"/>
    <w:rsid w:val="00694982"/>
    <w:rsid w:val="006958F6"/>
    <w:rsid w:val="00695E2F"/>
    <w:rsid w:val="006966A4"/>
    <w:rsid w:val="00696C9F"/>
    <w:rsid w:val="006A003E"/>
    <w:rsid w:val="006A04CB"/>
    <w:rsid w:val="006A0C73"/>
    <w:rsid w:val="006A19A3"/>
    <w:rsid w:val="006A266E"/>
    <w:rsid w:val="006A3F8A"/>
    <w:rsid w:val="006A42AB"/>
    <w:rsid w:val="006A5397"/>
    <w:rsid w:val="006A56C5"/>
    <w:rsid w:val="006A6DF2"/>
    <w:rsid w:val="006B0F08"/>
    <w:rsid w:val="006B1073"/>
    <w:rsid w:val="006B3A11"/>
    <w:rsid w:val="006B50EB"/>
    <w:rsid w:val="006B5EE3"/>
    <w:rsid w:val="006C03F3"/>
    <w:rsid w:val="006C0F82"/>
    <w:rsid w:val="006C122D"/>
    <w:rsid w:val="006C124F"/>
    <w:rsid w:val="006C1351"/>
    <w:rsid w:val="006C2911"/>
    <w:rsid w:val="006C4DA1"/>
    <w:rsid w:val="006C54D6"/>
    <w:rsid w:val="006C6C46"/>
    <w:rsid w:val="006C7D05"/>
    <w:rsid w:val="006D0749"/>
    <w:rsid w:val="006D187D"/>
    <w:rsid w:val="006D23C2"/>
    <w:rsid w:val="006D2620"/>
    <w:rsid w:val="006D44C2"/>
    <w:rsid w:val="006D47B0"/>
    <w:rsid w:val="006D5D9F"/>
    <w:rsid w:val="006D638E"/>
    <w:rsid w:val="006E0323"/>
    <w:rsid w:val="006E0476"/>
    <w:rsid w:val="006E14DF"/>
    <w:rsid w:val="006E2084"/>
    <w:rsid w:val="006E4DA0"/>
    <w:rsid w:val="006E6577"/>
    <w:rsid w:val="006E66ED"/>
    <w:rsid w:val="006E6764"/>
    <w:rsid w:val="006E71DC"/>
    <w:rsid w:val="006E732C"/>
    <w:rsid w:val="006F0508"/>
    <w:rsid w:val="006F09E0"/>
    <w:rsid w:val="006F343B"/>
    <w:rsid w:val="006F34C6"/>
    <w:rsid w:val="006F3A29"/>
    <w:rsid w:val="006F4C19"/>
    <w:rsid w:val="006F5220"/>
    <w:rsid w:val="006F5322"/>
    <w:rsid w:val="006F5810"/>
    <w:rsid w:val="006F6E6F"/>
    <w:rsid w:val="007002EA"/>
    <w:rsid w:val="0070279C"/>
    <w:rsid w:val="00702DC6"/>
    <w:rsid w:val="00703735"/>
    <w:rsid w:val="007041FF"/>
    <w:rsid w:val="00704BBE"/>
    <w:rsid w:val="00705947"/>
    <w:rsid w:val="00705A3C"/>
    <w:rsid w:val="00705D73"/>
    <w:rsid w:val="00705DB8"/>
    <w:rsid w:val="007064B6"/>
    <w:rsid w:val="00707048"/>
    <w:rsid w:val="007103CB"/>
    <w:rsid w:val="0071122B"/>
    <w:rsid w:val="00712E67"/>
    <w:rsid w:val="00717850"/>
    <w:rsid w:val="0072188F"/>
    <w:rsid w:val="00722A1B"/>
    <w:rsid w:val="00722EBF"/>
    <w:rsid w:val="007230DC"/>
    <w:rsid w:val="00723AA4"/>
    <w:rsid w:val="007243E4"/>
    <w:rsid w:val="00724D73"/>
    <w:rsid w:val="00724E73"/>
    <w:rsid w:val="00732056"/>
    <w:rsid w:val="00733BC8"/>
    <w:rsid w:val="00734A3B"/>
    <w:rsid w:val="00734C66"/>
    <w:rsid w:val="007368F7"/>
    <w:rsid w:val="0073758C"/>
    <w:rsid w:val="007434BF"/>
    <w:rsid w:val="00745473"/>
    <w:rsid w:val="007477B6"/>
    <w:rsid w:val="007503A5"/>
    <w:rsid w:val="00751014"/>
    <w:rsid w:val="00752100"/>
    <w:rsid w:val="00753D00"/>
    <w:rsid w:val="00753E35"/>
    <w:rsid w:val="007553E6"/>
    <w:rsid w:val="00756015"/>
    <w:rsid w:val="00756535"/>
    <w:rsid w:val="00757DA7"/>
    <w:rsid w:val="00761595"/>
    <w:rsid w:val="00762B0D"/>
    <w:rsid w:val="00762C7D"/>
    <w:rsid w:val="00763713"/>
    <w:rsid w:val="007670DD"/>
    <w:rsid w:val="00767A28"/>
    <w:rsid w:val="007702A9"/>
    <w:rsid w:val="00772E2B"/>
    <w:rsid w:val="00773E19"/>
    <w:rsid w:val="0077545D"/>
    <w:rsid w:val="00776247"/>
    <w:rsid w:val="007769DB"/>
    <w:rsid w:val="00780CB2"/>
    <w:rsid w:val="007815E0"/>
    <w:rsid w:val="00782F23"/>
    <w:rsid w:val="00784897"/>
    <w:rsid w:val="00785F7A"/>
    <w:rsid w:val="00785F90"/>
    <w:rsid w:val="00786703"/>
    <w:rsid w:val="007878B9"/>
    <w:rsid w:val="007900AC"/>
    <w:rsid w:val="007909C1"/>
    <w:rsid w:val="0079185B"/>
    <w:rsid w:val="00792438"/>
    <w:rsid w:val="0079328B"/>
    <w:rsid w:val="007979EE"/>
    <w:rsid w:val="007A048D"/>
    <w:rsid w:val="007A4D36"/>
    <w:rsid w:val="007A5964"/>
    <w:rsid w:val="007A61C4"/>
    <w:rsid w:val="007A6B19"/>
    <w:rsid w:val="007B0A60"/>
    <w:rsid w:val="007B36EA"/>
    <w:rsid w:val="007B3965"/>
    <w:rsid w:val="007B5A44"/>
    <w:rsid w:val="007B5DED"/>
    <w:rsid w:val="007B69C7"/>
    <w:rsid w:val="007B765D"/>
    <w:rsid w:val="007B796E"/>
    <w:rsid w:val="007C0B0A"/>
    <w:rsid w:val="007C0D3E"/>
    <w:rsid w:val="007C10C9"/>
    <w:rsid w:val="007C18B3"/>
    <w:rsid w:val="007C2B64"/>
    <w:rsid w:val="007C2C5F"/>
    <w:rsid w:val="007C3BE7"/>
    <w:rsid w:val="007C42B0"/>
    <w:rsid w:val="007C46BA"/>
    <w:rsid w:val="007C5C72"/>
    <w:rsid w:val="007D230F"/>
    <w:rsid w:val="007D2543"/>
    <w:rsid w:val="007D263B"/>
    <w:rsid w:val="007D285F"/>
    <w:rsid w:val="007D2AED"/>
    <w:rsid w:val="007D3131"/>
    <w:rsid w:val="007D431C"/>
    <w:rsid w:val="007D6DAC"/>
    <w:rsid w:val="007D79DC"/>
    <w:rsid w:val="007D7D02"/>
    <w:rsid w:val="007E0F8C"/>
    <w:rsid w:val="007E173E"/>
    <w:rsid w:val="007E2B76"/>
    <w:rsid w:val="007E62A0"/>
    <w:rsid w:val="007F0042"/>
    <w:rsid w:val="007F1631"/>
    <w:rsid w:val="007F1E3E"/>
    <w:rsid w:val="007F307A"/>
    <w:rsid w:val="007F36B7"/>
    <w:rsid w:val="007F4852"/>
    <w:rsid w:val="007F558E"/>
    <w:rsid w:val="007F569F"/>
    <w:rsid w:val="007F6064"/>
    <w:rsid w:val="007F6570"/>
    <w:rsid w:val="007F6E5A"/>
    <w:rsid w:val="007F790B"/>
    <w:rsid w:val="0080189D"/>
    <w:rsid w:val="0080243C"/>
    <w:rsid w:val="008040AA"/>
    <w:rsid w:val="00804D2C"/>
    <w:rsid w:val="00804E8C"/>
    <w:rsid w:val="00804FF1"/>
    <w:rsid w:val="0081045E"/>
    <w:rsid w:val="00812DEE"/>
    <w:rsid w:val="00813115"/>
    <w:rsid w:val="008146C3"/>
    <w:rsid w:val="008150F2"/>
    <w:rsid w:val="00815966"/>
    <w:rsid w:val="00815D8F"/>
    <w:rsid w:val="00815FB1"/>
    <w:rsid w:val="0081691B"/>
    <w:rsid w:val="00817096"/>
    <w:rsid w:val="00817D6D"/>
    <w:rsid w:val="0082081E"/>
    <w:rsid w:val="008212C5"/>
    <w:rsid w:val="00821B33"/>
    <w:rsid w:val="00821DCD"/>
    <w:rsid w:val="00822ED3"/>
    <w:rsid w:val="008238EC"/>
    <w:rsid w:val="00824771"/>
    <w:rsid w:val="00824B17"/>
    <w:rsid w:val="00825D7F"/>
    <w:rsid w:val="008307C3"/>
    <w:rsid w:val="00834059"/>
    <w:rsid w:val="008340E3"/>
    <w:rsid w:val="0083599F"/>
    <w:rsid w:val="00840972"/>
    <w:rsid w:val="00845396"/>
    <w:rsid w:val="00845B97"/>
    <w:rsid w:val="00846D7B"/>
    <w:rsid w:val="00846E16"/>
    <w:rsid w:val="0084758F"/>
    <w:rsid w:val="008479CE"/>
    <w:rsid w:val="00851550"/>
    <w:rsid w:val="00852B68"/>
    <w:rsid w:val="00856DFB"/>
    <w:rsid w:val="00857653"/>
    <w:rsid w:val="00857989"/>
    <w:rsid w:val="00857D57"/>
    <w:rsid w:val="00861B63"/>
    <w:rsid w:val="00861E5D"/>
    <w:rsid w:val="00862566"/>
    <w:rsid w:val="008635EB"/>
    <w:rsid w:val="00864268"/>
    <w:rsid w:val="00865478"/>
    <w:rsid w:val="00866E52"/>
    <w:rsid w:val="008675FC"/>
    <w:rsid w:val="00871A20"/>
    <w:rsid w:val="00875837"/>
    <w:rsid w:val="0088052F"/>
    <w:rsid w:val="00880FC5"/>
    <w:rsid w:val="0088150A"/>
    <w:rsid w:val="00881BD3"/>
    <w:rsid w:val="00883EBA"/>
    <w:rsid w:val="00884E4B"/>
    <w:rsid w:val="00885609"/>
    <w:rsid w:val="00885615"/>
    <w:rsid w:val="0088694D"/>
    <w:rsid w:val="00891BDF"/>
    <w:rsid w:val="00893076"/>
    <w:rsid w:val="00894178"/>
    <w:rsid w:val="00894E5A"/>
    <w:rsid w:val="0089509A"/>
    <w:rsid w:val="00896C88"/>
    <w:rsid w:val="00896D5E"/>
    <w:rsid w:val="00897455"/>
    <w:rsid w:val="00897AEE"/>
    <w:rsid w:val="008A11B2"/>
    <w:rsid w:val="008A1688"/>
    <w:rsid w:val="008A1B3D"/>
    <w:rsid w:val="008A2A44"/>
    <w:rsid w:val="008A3C53"/>
    <w:rsid w:val="008A5D7A"/>
    <w:rsid w:val="008A5EFD"/>
    <w:rsid w:val="008A76AB"/>
    <w:rsid w:val="008A7F44"/>
    <w:rsid w:val="008B02EE"/>
    <w:rsid w:val="008B2EA7"/>
    <w:rsid w:val="008B40C0"/>
    <w:rsid w:val="008B5A47"/>
    <w:rsid w:val="008C0017"/>
    <w:rsid w:val="008C14C7"/>
    <w:rsid w:val="008C1F6E"/>
    <w:rsid w:val="008C4EB0"/>
    <w:rsid w:val="008C50D6"/>
    <w:rsid w:val="008D04C1"/>
    <w:rsid w:val="008D0DA7"/>
    <w:rsid w:val="008D15DC"/>
    <w:rsid w:val="008D161C"/>
    <w:rsid w:val="008D3978"/>
    <w:rsid w:val="008D4850"/>
    <w:rsid w:val="008D6609"/>
    <w:rsid w:val="008E0076"/>
    <w:rsid w:val="008E167C"/>
    <w:rsid w:val="008E1D0E"/>
    <w:rsid w:val="008E1DC9"/>
    <w:rsid w:val="008E5393"/>
    <w:rsid w:val="008E6141"/>
    <w:rsid w:val="008E71C3"/>
    <w:rsid w:val="008E75E3"/>
    <w:rsid w:val="008F055C"/>
    <w:rsid w:val="008F234A"/>
    <w:rsid w:val="008F2866"/>
    <w:rsid w:val="008F3516"/>
    <w:rsid w:val="008F3A29"/>
    <w:rsid w:val="008F3E89"/>
    <w:rsid w:val="008F6221"/>
    <w:rsid w:val="008F6B32"/>
    <w:rsid w:val="00901D5A"/>
    <w:rsid w:val="00901D97"/>
    <w:rsid w:val="00901DF1"/>
    <w:rsid w:val="00903B7A"/>
    <w:rsid w:val="00904C4A"/>
    <w:rsid w:val="00905AEA"/>
    <w:rsid w:val="00906A56"/>
    <w:rsid w:val="009118B5"/>
    <w:rsid w:val="0091288D"/>
    <w:rsid w:val="0091311A"/>
    <w:rsid w:val="009132CF"/>
    <w:rsid w:val="00914308"/>
    <w:rsid w:val="00916B7D"/>
    <w:rsid w:val="0091796D"/>
    <w:rsid w:val="00917CC4"/>
    <w:rsid w:val="00921090"/>
    <w:rsid w:val="0092296B"/>
    <w:rsid w:val="0092668E"/>
    <w:rsid w:val="00926776"/>
    <w:rsid w:val="0093117F"/>
    <w:rsid w:val="00933F13"/>
    <w:rsid w:val="0093410F"/>
    <w:rsid w:val="00934406"/>
    <w:rsid w:val="00934A56"/>
    <w:rsid w:val="009355F1"/>
    <w:rsid w:val="00935AFA"/>
    <w:rsid w:val="00935C3A"/>
    <w:rsid w:val="00936502"/>
    <w:rsid w:val="00937AB4"/>
    <w:rsid w:val="0094331D"/>
    <w:rsid w:val="0094464A"/>
    <w:rsid w:val="00944943"/>
    <w:rsid w:val="00946933"/>
    <w:rsid w:val="00946BFA"/>
    <w:rsid w:val="00947216"/>
    <w:rsid w:val="00950D0A"/>
    <w:rsid w:val="0095172A"/>
    <w:rsid w:val="00952884"/>
    <w:rsid w:val="00952EC2"/>
    <w:rsid w:val="00953727"/>
    <w:rsid w:val="00953ABB"/>
    <w:rsid w:val="00954AF4"/>
    <w:rsid w:val="00954C6B"/>
    <w:rsid w:val="00957FC1"/>
    <w:rsid w:val="00960BDD"/>
    <w:rsid w:val="00960F40"/>
    <w:rsid w:val="00961748"/>
    <w:rsid w:val="00961820"/>
    <w:rsid w:val="009628AF"/>
    <w:rsid w:val="00965B4C"/>
    <w:rsid w:val="00967E1B"/>
    <w:rsid w:val="00970C30"/>
    <w:rsid w:val="0097193C"/>
    <w:rsid w:val="00973315"/>
    <w:rsid w:val="009737F8"/>
    <w:rsid w:val="00973DC3"/>
    <w:rsid w:val="00974D25"/>
    <w:rsid w:val="0098068F"/>
    <w:rsid w:val="009818B2"/>
    <w:rsid w:val="009831DF"/>
    <w:rsid w:val="009847C1"/>
    <w:rsid w:val="00984C3B"/>
    <w:rsid w:val="009851C8"/>
    <w:rsid w:val="009856B6"/>
    <w:rsid w:val="00985AF8"/>
    <w:rsid w:val="009865E9"/>
    <w:rsid w:val="00986A7A"/>
    <w:rsid w:val="00987556"/>
    <w:rsid w:val="009875CE"/>
    <w:rsid w:val="00987BDD"/>
    <w:rsid w:val="00987F7E"/>
    <w:rsid w:val="00992600"/>
    <w:rsid w:val="00992E3F"/>
    <w:rsid w:val="00992FE3"/>
    <w:rsid w:val="00994FDA"/>
    <w:rsid w:val="00996273"/>
    <w:rsid w:val="009A0FB5"/>
    <w:rsid w:val="009A53AF"/>
    <w:rsid w:val="009B15E4"/>
    <w:rsid w:val="009B3B8B"/>
    <w:rsid w:val="009B430D"/>
    <w:rsid w:val="009B593E"/>
    <w:rsid w:val="009B6641"/>
    <w:rsid w:val="009B6D9D"/>
    <w:rsid w:val="009B6E00"/>
    <w:rsid w:val="009C12D4"/>
    <w:rsid w:val="009C1695"/>
    <w:rsid w:val="009C1C8F"/>
    <w:rsid w:val="009C5D1A"/>
    <w:rsid w:val="009D0425"/>
    <w:rsid w:val="009D0DDF"/>
    <w:rsid w:val="009D2423"/>
    <w:rsid w:val="009D5D66"/>
    <w:rsid w:val="009D6991"/>
    <w:rsid w:val="009D6B93"/>
    <w:rsid w:val="009D70A4"/>
    <w:rsid w:val="009E18D7"/>
    <w:rsid w:val="009E1C42"/>
    <w:rsid w:val="009E22F5"/>
    <w:rsid w:val="009E3FD8"/>
    <w:rsid w:val="009E5AE9"/>
    <w:rsid w:val="009E6528"/>
    <w:rsid w:val="009E6598"/>
    <w:rsid w:val="009E72B8"/>
    <w:rsid w:val="009E7BB2"/>
    <w:rsid w:val="009F177B"/>
    <w:rsid w:val="009F2DCE"/>
    <w:rsid w:val="009F44B3"/>
    <w:rsid w:val="009F4E1B"/>
    <w:rsid w:val="009F7EEA"/>
    <w:rsid w:val="00A02193"/>
    <w:rsid w:val="00A03795"/>
    <w:rsid w:val="00A03E77"/>
    <w:rsid w:val="00A04750"/>
    <w:rsid w:val="00A0528B"/>
    <w:rsid w:val="00A0602B"/>
    <w:rsid w:val="00A10824"/>
    <w:rsid w:val="00A10A5D"/>
    <w:rsid w:val="00A1132B"/>
    <w:rsid w:val="00A12E16"/>
    <w:rsid w:val="00A12F34"/>
    <w:rsid w:val="00A14F39"/>
    <w:rsid w:val="00A1736C"/>
    <w:rsid w:val="00A17EC4"/>
    <w:rsid w:val="00A17F78"/>
    <w:rsid w:val="00A17FFD"/>
    <w:rsid w:val="00A21BE8"/>
    <w:rsid w:val="00A22DA1"/>
    <w:rsid w:val="00A23F97"/>
    <w:rsid w:val="00A2458C"/>
    <w:rsid w:val="00A24A92"/>
    <w:rsid w:val="00A2672B"/>
    <w:rsid w:val="00A269D0"/>
    <w:rsid w:val="00A279A0"/>
    <w:rsid w:val="00A279ED"/>
    <w:rsid w:val="00A27E0F"/>
    <w:rsid w:val="00A30216"/>
    <w:rsid w:val="00A31B5D"/>
    <w:rsid w:val="00A31D38"/>
    <w:rsid w:val="00A325C8"/>
    <w:rsid w:val="00A32A1E"/>
    <w:rsid w:val="00A32BC5"/>
    <w:rsid w:val="00A35E9D"/>
    <w:rsid w:val="00A366AB"/>
    <w:rsid w:val="00A40879"/>
    <w:rsid w:val="00A40C0F"/>
    <w:rsid w:val="00A40EC0"/>
    <w:rsid w:val="00A418A8"/>
    <w:rsid w:val="00A41EBA"/>
    <w:rsid w:val="00A42AFA"/>
    <w:rsid w:val="00A436F6"/>
    <w:rsid w:val="00A43BEF"/>
    <w:rsid w:val="00A458AC"/>
    <w:rsid w:val="00A45980"/>
    <w:rsid w:val="00A47DFC"/>
    <w:rsid w:val="00A50FBC"/>
    <w:rsid w:val="00A5256F"/>
    <w:rsid w:val="00A535FE"/>
    <w:rsid w:val="00A53C14"/>
    <w:rsid w:val="00A55255"/>
    <w:rsid w:val="00A57E72"/>
    <w:rsid w:val="00A612F8"/>
    <w:rsid w:val="00A6179F"/>
    <w:rsid w:val="00A617A0"/>
    <w:rsid w:val="00A63E89"/>
    <w:rsid w:val="00A64D86"/>
    <w:rsid w:val="00A65655"/>
    <w:rsid w:val="00A659E1"/>
    <w:rsid w:val="00A6707B"/>
    <w:rsid w:val="00A70C52"/>
    <w:rsid w:val="00A70E40"/>
    <w:rsid w:val="00A71475"/>
    <w:rsid w:val="00A735FE"/>
    <w:rsid w:val="00A74051"/>
    <w:rsid w:val="00A74430"/>
    <w:rsid w:val="00A74604"/>
    <w:rsid w:val="00A75204"/>
    <w:rsid w:val="00A75F63"/>
    <w:rsid w:val="00A80589"/>
    <w:rsid w:val="00A825DD"/>
    <w:rsid w:val="00A82802"/>
    <w:rsid w:val="00A82E1D"/>
    <w:rsid w:val="00A833FE"/>
    <w:rsid w:val="00A86174"/>
    <w:rsid w:val="00A8660A"/>
    <w:rsid w:val="00A9128A"/>
    <w:rsid w:val="00A91BC5"/>
    <w:rsid w:val="00A95167"/>
    <w:rsid w:val="00A95CD1"/>
    <w:rsid w:val="00A9737A"/>
    <w:rsid w:val="00AA3532"/>
    <w:rsid w:val="00AA478E"/>
    <w:rsid w:val="00AA4CA6"/>
    <w:rsid w:val="00AA4DAE"/>
    <w:rsid w:val="00AA4E68"/>
    <w:rsid w:val="00AA548A"/>
    <w:rsid w:val="00AB130C"/>
    <w:rsid w:val="00AB28A3"/>
    <w:rsid w:val="00AB3CF3"/>
    <w:rsid w:val="00AB6D94"/>
    <w:rsid w:val="00AB7E04"/>
    <w:rsid w:val="00AC02EF"/>
    <w:rsid w:val="00AC42BA"/>
    <w:rsid w:val="00AC5304"/>
    <w:rsid w:val="00AC6EA8"/>
    <w:rsid w:val="00AC6F11"/>
    <w:rsid w:val="00AC70A6"/>
    <w:rsid w:val="00AC70F0"/>
    <w:rsid w:val="00AC7A08"/>
    <w:rsid w:val="00AC7BB9"/>
    <w:rsid w:val="00AD0FA3"/>
    <w:rsid w:val="00AD10AC"/>
    <w:rsid w:val="00AD1E01"/>
    <w:rsid w:val="00AD2105"/>
    <w:rsid w:val="00AD3B6E"/>
    <w:rsid w:val="00AD6222"/>
    <w:rsid w:val="00AD66C6"/>
    <w:rsid w:val="00AD697A"/>
    <w:rsid w:val="00AD7097"/>
    <w:rsid w:val="00AD75FE"/>
    <w:rsid w:val="00AE0572"/>
    <w:rsid w:val="00AE29D5"/>
    <w:rsid w:val="00AE2A0F"/>
    <w:rsid w:val="00AE2D21"/>
    <w:rsid w:val="00AE455C"/>
    <w:rsid w:val="00AE5026"/>
    <w:rsid w:val="00AE6B15"/>
    <w:rsid w:val="00AF03BC"/>
    <w:rsid w:val="00AF0D51"/>
    <w:rsid w:val="00AF0E03"/>
    <w:rsid w:val="00AF1140"/>
    <w:rsid w:val="00AF1AB5"/>
    <w:rsid w:val="00AF1FE9"/>
    <w:rsid w:val="00AF276E"/>
    <w:rsid w:val="00AF2F69"/>
    <w:rsid w:val="00AF3138"/>
    <w:rsid w:val="00AF35CC"/>
    <w:rsid w:val="00AF43AC"/>
    <w:rsid w:val="00AF463B"/>
    <w:rsid w:val="00AF472A"/>
    <w:rsid w:val="00AF726C"/>
    <w:rsid w:val="00B005B5"/>
    <w:rsid w:val="00B0171B"/>
    <w:rsid w:val="00B02627"/>
    <w:rsid w:val="00B02F12"/>
    <w:rsid w:val="00B02F1F"/>
    <w:rsid w:val="00B0302E"/>
    <w:rsid w:val="00B049F9"/>
    <w:rsid w:val="00B05177"/>
    <w:rsid w:val="00B055DB"/>
    <w:rsid w:val="00B065D4"/>
    <w:rsid w:val="00B06E2A"/>
    <w:rsid w:val="00B076B7"/>
    <w:rsid w:val="00B0787B"/>
    <w:rsid w:val="00B100E3"/>
    <w:rsid w:val="00B10754"/>
    <w:rsid w:val="00B118DF"/>
    <w:rsid w:val="00B121C2"/>
    <w:rsid w:val="00B1363E"/>
    <w:rsid w:val="00B13A8D"/>
    <w:rsid w:val="00B15B9A"/>
    <w:rsid w:val="00B15FAE"/>
    <w:rsid w:val="00B20256"/>
    <w:rsid w:val="00B20DCE"/>
    <w:rsid w:val="00B23DB0"/>
    <w:rsid w:val="00B25AAE"/>
    <w:rsid w:val="00B26FEF"/>
    <w:rsid w:val="00B27FB7"/>
    <w:rsid w:val="00B3017B"/>
    <w:rsid w:val="00B30464"/>
    <w:rsid w:val="00B32D09"/>
    <w:rsid w:val="00B342A4"/>
    <w:rsid w:val="00B37141"/>
    <w:rsid w:val="00B377AF"/>
    <w:rsid w:val="00B378EF"/>
    <w:rsid w:val="00B4118B"/>
    <w:rsid w:val="00B41665"/>
    <w:rsid w:val="00B44408"/>
    <w:rsid w:val="00B44DBE"/>
    <w:rsid w:val="00B458AF"/>
    <w:rsid w:val="00B46B59"/>
    <w:rsid w:val="00B5098F"/>
    <w:rsid w:val="00B52B93"/>
    <w:rsid w:val="00B54C55"/>
    <w:rsid w:val="00B57450"/>
    <w:rsid w:val="00B57513"/>
    <w:rsid w:val="00B60D86"/>
    <w:rsid w:val="00B616DE"/>
    <w:rsid w:val="00B61B55"/>
    <w:rsid w:val="00B62789"/>
    <w:rsid w:val="00B627E4"/>
    <w:rsid w:val="00B64D46"/>
    <w:rsid w:val="00B651B1"/>
    <w:rsid w:val="00B65332"/>
    <w:rsid w:val="00B66FCC"/>
    <w:rsid w:val="00B676D7"/>
    <w:rsid w:val="00B67A5A"/>
    <w:rsid w:val="00B704D8"/>
    <w:rsid w:val="00B7059C"/>
    <w:rsid w:val="00B74354"/>
    <w:rsid w:val="00B751F6"/>
    <w:rsid w:val="00B75D7A"/>
    <w:rsid w:val="00B76B99"/>
    <w:rsid w:val="00B76C31"/>
    <w:rsid w:val="00B76E58"/>
    <w:rsid w:val="00B7793A"/>
    <w:rsid w:val="00B81AD7"/>
    <w:rsid w:val="00B81E97"/>
    <w:rsid w:val="00B834A7"/>
    <w:rsid w:val="00B83F5B"/>
    <w:rsid w:val="00B8525B"/>
    <w:rsid w:val="00B85488"/>
    <w:rsid w:val="00B85560"/>
    <w:rsid w:val="00B87F15"/>
    <w:rsid w:val="00B92551"/>
    <w:rsid w:val="00B937C5"/>
    <w:rsid w:val="00B94A88"/>
    <w:rsid w:val="00B95CAD"/>
    <w:rsid w:val="00B961CC"/>
    <w:rsid w:val="00B96E44"/>
    <w:rsid w:val="00BA110E"/>
    <w:rsid w:val="00BA2860"/>
    <w:rsid w:val="00BA7F85"/>
    <w:rsid w:val="00BB235C"/>
    <w:rsid w:val="00BB2708"/>
    <w:rsid w:val="00BB434F"/>
    <w:rsid w:val="00BB4C92"/>
    <w:rsid w:val="00BB560C"/>
    <w:rsid w:val="00BB5FD0"/>
    <w:rsid w:val="00BB6F83"/>
    <w:rsid w:val="00BC1399"/>
    <w:rsid w:val="00BC3B08"/>
    <w:rsid w:val="00BC3C1D"/>
    <w:rsid w:val="00BC406E"/>
    <w:rsid w:val="00BC4E71"/>
    <w:rsid w:val="00BC62DD"/>
    <w:rsid w:val="00BD049F"/>
    <w:rsid w:val="00BD1189"/>
    <w:rsid w:val="00BD1759"/>
    <w:rsid w:val="00BD2A7E"/>
    <w:rsid w:val="00BD321A"/>
    <w:rsid w:val="00BD44BB"/>
    <w:rsid w:val="00BD44E8"/>
    <w:rsid w:val="00BD4D53"/>
    <w:rsid w:val="00BD633F"/>
    <w:rsid w:val="00BE0C80"/>
    <w:rsid w:val="00BE2079"/>
    <w:rsid w:val="00BE768C"/>
    <w:rsid w:val="00BE7955"/>
    <w:rsid w:val="00BF1155"/>
    <w:rsid w:val="00BF125B"/>
    <w:rsid w:val="00BF38F9"/>
    <w:rsid w:val="00BF3BBF"/>
    <w:rsid w:val="00BF4552"/>
    <w:rsid w:val="00BF4744"/>
    <w:rsid w:val="00BF5668"/>
    <w:rsid w:val="00BF750D"/>
    <w:rsid w:val="00C01B8C"/>
    <w:rsid w:val="00C02135"/>
    <w:rsid w:val="00C03C1F"/>
    <w:rsid w:val="00C046AF"/>
    <w:rsid w:val="00C07222"/>
    <w:rsid w:val="00C10252"/>
    <w:rsid w:val="00C10C19"/>
    <w:rsid w:val="00C10EED"/>
    <w:rsid w:val="00C13092"/>
    <w:rsid w:val="00C142ED"/>
    <w:rsid w:val="00C14C30"/>
    <w:rsid w:val="00C154AB"/>
    <w:rsid w:val="00C2063C"/>
    <w:rsid w:val="00C22DE0"/>
    <w:rsid w:val="00C2463B"/>
    <w:rsid w:val="00C24F97"/>
    <w:rsid w:val="00C2583A"/>
    <w:rsid w:val="00C25B38"/>
    <w:rsid w:val="00C25C77"/>
    <w:rsid w:val="00C300B3"/>
    <w:rsid w:val="00C3335C"/>
    <w:rsid w:val="00C343B5"/>
    <w:rsid w:val="00C376D5"/>
    <w:rsid w:val="00C37B81"/>
    <w:rsid w:val="00C40401"/>
    <w:rsid w:val="00C410CB"/>
    <w:rsid w:val="00C411F7"/>
    <w:rsid w:val="00C43E04"/>
    <w:rsid w:val="00C44DBF"/>
    <w:rsid w:val="00C4557D"/>
    <w:rsid w:val="00C46331"/>
    <w:rsid w:val="00C515C4"/>
    <w:rsid w:val="00C53625"/>
    <w:rsid w:val="00C5553A"/>
    <w:rsid w:val="00C55B49"/>
    <w:rsid w:val="00C56D31"/>
    <w:rsid w:val="00C56D40"/>
    <w:rsid w:val="00C60132"/>
    <w:rsid w:val="00C601DE"/>
    <w:rsid w:val="00C605E5"/>
    <w:rsid w:val="00C6088D"/>
    <w:rsid w:val="00C60BD9"/>
    <w:rsid w:val="00C63530"/>
    <w:rsid w:val="00C63D28"/>
    <w:rsid w:val="00C64012"/>
    <w:rsid w:val="00C64343"/>
    <w:rsid w:val="00C67935"/>
    <w:rsid w:val="00C701A0"/>
    <w:rsid w:val="00C71E37"/>
    <w:rsid w:val="00C72732"/>
    <w:rsid w:val="00C735B3"/>
    <w:rsid w:val="00C748B0"/>
    <w:rsid w:val="00C74CC5"/>
    <w:rsid w:val="00C75178"/>
    <w:rsid w:val="00C7584A"/>
    <w:rsid w:val="00C76D62"/>
    <w:rsid w:val="00C80F49"/>
    <w:rsid w:val="00C81BA9"/>
    <w:rsid w:val="00C8488A"/>
    <w:rsid w:val="00C8579E"/>
    <w:rsid w:val="00C85D3A"/>
    <w:rsid w:val="00C912D0"/>
    <w:rsid w:val="00C918F2"/>
    <w:rsid w:val="00C91F88"/>
    <w:rsid w:val="00C93CAC"/>
    <w:rsid w:val="00C94835"/>
    <w:rsid w:val="00C961F0"/>
    <w:rsid w:val="00C96285"/>
    <w:rsid w:val="00C96746"/>
    <w:rsid w:val="00C96C0A"/>
    <w:rsid w:val="00CA1073"/>
    <w:rsid w:val="00CA1E54"/>
    <w:rsid w:val="00CA261C"/>
    <w:rsid w:val="00CA3A5A"/>
    <w:rsid w:val="00CA5A2B"/>
    <w:rsid w:val="00CA5B39"/>
    <w:rsid w:val="00CA5CDF"/>
    <w:rsid w:val="00CA63CA"/>
    <w:rsid w:val="00CA6E51"/>
    <w:rsid w:val="00CB14A7"/>
    <w:rsid w:val="00CB5675"/>
    <w:rsid w:val="00CB58C9"/>
    <w:rsid w:val="00CB70D6"/>
    <w:rsid w:val="00CB76D4"/>
    <w:rsid w:val="00CC06EC"/>
    <w:rsid w:val="00CC40F8"/>
    <w:rsid w:val="00CC6066"/>
    <w:rsid w:val="00CD1886"/>
    <w:rsid w:val="00CD1FD3"/>
    <w:rsid w:val="00CD469E"/>
    <w:rsid w:val="00CD7159"/>
    <w:rsid w:val="00CD7D88"/>
    <w:rsid w:val="00CE0233"/>
    <w:rsid w:val="00CE166D"/>
    <w:rsid w:val="00CE2F44"/>
    <w:rsid w:val="00CE32F0"/>
    <w:rsid w:val="00CE3D86"/>
    <w:rsid w:val="00CE3F3B"/>
    <w:rsid w:val="00CE4CD7"/>
    <w:rsid w:val="00CE4D20"/>
    <w:rsid w:val="00CE63A8"/>
    <w:rsid w:val="00CE6CE8"/>
    <w:rsid w:val="00CE789E"/>
    <w:rsid w:val="00CF03A6"/>
    <w:rsid w:val="00CF115C"/>
    <w:rsid w:val="00CF2C88"/>
    <w:rsid w:val="00CF3057"/>
    <w:rsid w:val="00D002E0"/>
    <w:rsid w:val="00D0045D"/>
    <w:rsid w:val="00D00984"/>
    <w:rsid w:val="00D01BF7"/>
    <w:rsid w:val="00D0388C"/>
    <w:rsid w:val="00D038BB"/>
    <w:rsid w:val="00D049FD"/>
    <w:rsid w:val="00D0579C"/>
    <w:rsid w:val="00D06D9C"/>
    <w:rsid w:val="00D1062F"/>
    <w:rsid w:val="00D10FBB"/>
    <w:rsid w:val="00D110DF"/>
    <w:rsid w:val="00D116DC"/>
    <w:rsid w:val="00D1262D"/>
    <w:rsid w:val="00D132FA"/>
    <w:rsid w:val="00D162D9"/>
    <w:rsid w:val="00D16C84"/>
    <w:rsid w:val="00D20198"/>
    <w:rsid w:val="00D20B38"/>
    <w:rsid w:val="00D21044"/>
    <w:rsid w:val="00D225EB"/>
    <w:rsid w:val="00D2338B"/>
    <w:rsid w:val="00D25547"/>
    <w:rsid w:val="00D25BD1"/>
    <w:rsid w:val="00D3035F"/>
    <w:rsid w:val="00D330B5"/>
    <w:rsid w:val="00D348B7"/>
    <w:rsid w:val="00D34A97"/>
    <w:rsid w:val="00D352C7"/>
    <w:rsid w:val="00D36A86"/>
    <w:rsid w:val="00D36C1A"/>
    <w:rsid w:val="00D41B47"/>
    <w:rsid w:val="00D43BD9"/>
    <w:rsid w:val="00D4441B"/>
    <w:rsid w:val="00D444BB"/>
    <w:rsid w:val="00D44832"/>
    <w:rsid w:val="00D452CD"/>
    <w:rsid w:val="00D46518"/>
    <w:rsid w:val="00D47131"/>
    <w:rsid w:val="00D47296"/>
    <w:rsid w:val="00D5069E"/>
    <w:rsid w:val="00D51D18"/>
    <w:rsid w:val="00D5234D"/>
    <w:rsid w:val="00D5300F"/>
    <w:rsid w:val="00D53342"/>
    <w:rsid w:val="00D547B5"/>
    <w:rsid w:val="00D57464"/>
    <w:rsid w:val="00D62FEB"/>
    <w:rsid w:val="00D632F0"/>
    <w:rsid w:val="00D65402"/>
    <w:rsid w:val="00D6637C"/>
    <w:rsid w:val="00D70683"/>
    <w:rsid w:val="00D7074D"/>
    <w:rsid w:val="00D70901"/>
    <w:rsid w:val="00D70C4A"/>
    <w:rsid w:val="00D70E64"/>
    <w:rsid w:val="00D751DE"/>
    <w:rsid w:val="00D763BD"/>
    <w:rsid w:val="00D7791A"/>
    <w:rsid w:val="00D81B11"/>
    <w:rsid w:val="00D821A6"/>
    <w:rsid w:val="00D82715"/>
    <w:rsid w:val="00D82FF7"/>
    <w:rsid w:val="00D8572E"/>
    <w:rsid w:val="00D85A77"/>
    <w:rsid w:val="00D87BDB"/>
    <w:rsid w:val="00D90447"/>
    <w:rsid w:val="00D90972"/>
    <w:rsid w:val="00D910DF"/>
    <w:rsid w:val="00D91F20"/>
    <w:rsid w:val="00D93CEE"/>
    <w:rsid w:val="00D965D4"/>
    <w:rsid w:val="00D96771"/>
    <w:rsid w:val="00D96F1A"/>
    <w:rsid w:val="00D97262"/>
    <w:rsid w:val="00D97637"/>
    <w:rsid w:val="00DA0865"/>
    <w:rsid w:val="00DA0AAD"/>
    <w:rsid w:val="00DA168A"/>
    <w:rsid w:val="00DA1B3D"/>
    <w:rsid w:val="00DA2653"/>
    <w:rsid w:val="00DA365C"/>
    <w:rsid w:val="00DA3CAD"/>
    <w:rsid w:val="00DA4C66"/>
    <w:rsid w:val="00DA4C9D"/>
    <w:rsid w:val="00DA4E51"/>
    <w:rsid w:val="00DA73AB"/>
    <w:rsid w:val="00DB0D99"/>
    <w:rsid w:val="00DB16FA"/>
    <w:rsid w:val="00DB1B06"/>
    <w:rsid w:val="00DB2B82"/>
    <w:rsid w:val="00DB4119"/>
    <w:rsid w:val="00DB53D4"/>
    <w:rsid w:val="00DB571B"/>
    <w:rsid w:val="00DB6527"/>
    <w:rsid w:val="00DC02BD"/>
    <w:rsid w:val="00DC197A"/>
    <w:rsid w:val="00DC3364"/>
    <w:rsid w:val="00DC41CA"/>
    <w:rsid w:val="00DC48B8"/>
    <w:rsid w:val="00DC5481"/>
    <w:rsid w:val="00DC5F26"/>
    <w:rsid w:val="00DC73BD"/>
    <w:rsid w:val="00DC775D"/>
    <w:rsid w:val="00DC77AE"/>
    <w:rsid w:val="00DD1EC9"/>
    <w:rsid w:val="00DD2D47"/>
    <w:rsid w:val="00DD3EAC"/>
    <w:rsid w:val="00DE007C"/>
    <w:rsid w:val="00DE0EED"/>
    <w:rsid w:val="00DE19FA"/>
    <w:rsid w:val="00DE228E"/>
    <w:rsid w:val="00DE2B50"/>
    <w:rsid w:val="00DE35AE"/>
    <w:rsid w:val="00DE539B"/>
    <w:rsid w:val="00DE6DDB"/>
    <w:rsid w:val="00DE6EDC"/>
    <w:rsid w:val="00DE70A2"/>
    <w:rsid w:val="00DE7F9F"/>
    <w:rsid w:val="00DF5C90"/>
    <w:rsid w:val="00DF658D"/>
    <w:rsid w:val="00E007CA"/>
    <w:rsid w:val="00E0229B"/>
    <w:rsid w:val="00E02949"/>
    <w:rsid w:val="00E0354F"/>
    <w:rsid w:val="00E043B4"/>
    <w:rsid w:val="00E063BB"/>
    <w:rsid w:val="00E06744"/>
    <w:rsid w:val="00E0770A"/>
    <w:rsid w:val="00E148D9"/>
    <w:rsid w:val="00E162CD"/>
    <w:rsid w:val="00E163DE"/>
    <w:rsid w:val="00E16A05"/>
    <w:rsid w:val="00E222AD"/>
    <w:rsid w:val="00E226DD"/>
    <w:rsid w:val="00E228F9"/>
    <w:rsid w:val="00E24D66"/>
    <w:rsid w:val="00E24F2C"/>
    <w:rsid w:val="00E2553B"/>
    <w:rsid w:val="00E31447"/>
    <w:rsid w:val="00E3241E"/>
    <w:rsid w:val="00E32B76"/>
    <w:rsid w:val="00E331E0"/>
    <w:rsid w:val="00E33739"/>
    <w:rsid w:val="00E33742"/>
    <w:rsid w:val="00E352FD"/>
    <w:rsid w:val="00E35497"/>
    <w:rsid w:val="00E370E6"/>
    <w:rsid w:val="00E37E5F"/>
    <w:rsid w:val="00E40485"/>
    <w:rsid w:val="00E40D4C"/>
    <w:rsid w:val="00E41A5F"/>
    <w:rsid w:val="00E42091"/>
    <w:rsid w:val="00E420C2"/>
    <w:rsid w:val="00E42E05"/>
    <w:rsid w:val="00E43DD3"/>
    <w:rsid w:val="00E45052"/>
    <w:rsid w:val="00E45AC8"/>
    <w:rsid w:val="00E464B2"/>
    <w:rsid w:val="00E46C53"/>
    <w:rsid w:val="00E46DC7"/>
    <w:rsid w:val="00E471A6"/>
    <w:rsid w:val="00E50E08"/>
    <w:rsid w:val="00E52259"/>
    <w:rsid w:val="00E535C6"/>
    <w:rsid w:val="00E558C4"/>
    <w:rsid w:val="00E57965"/>
    <w:rsid w:val="00E610FC"/>
    <w:rsid w:val="00E61BD9"/>
    <w:rsid w:val="00E64A3F"/>
    <w:rsid w:val="00E655F0"/>
    <w:rsid w:val="00E71233"/>
    <w:rsid w:val="00E71DCB"/>
    <w:rsid w:val="00E71E8F"/>
    <w:rsid w:val="00E737DC"/>
    <w:rsid w:val="00E74060"/>
    <w:rsid w:val="00E768C0"/>
    <w:rsid w:val="00E76FEA"/>
    <w:rsid w:val="00E77701"/>
    <w:rsid w:val="00E81069"/>
    <w:rsid w:val="00E812C9"/>
    <w:rsid w:val="00E81C4B"/>
    <w:rsid w:val="00E82D20"/>
    <w:rsid w:val="00E82D2A"/>
    <w:rsid w:val="00E84523"/>
    <w:rsid w:val="00E85B96"/>
    <w:rsid w:val="00E8774A"/>
    <w:rsid w:val="00E87808"/>
    <w:rsid w:val="00E87D5F"/>
    <w:rsid w:val="00E9039F"/>
    <w:rsid w:val="00E90851"/>
    <w:rsid w:val="00E90F92"/>
    <w:rsid w:val="00E9122C"/>
    <w:rsid w:val="00E91391"/>
    <w:rsid w:val="00E938EA"/>
    <w:rsid w:val="00E93CB5"/>
    <w:rsid w:val="00E93DB4"/>
    <w:rsid w:val="00E93DEA"/>
    <w:rsid w:val="00E93E02"/>
    <w:rsid w:val="00E94BA4"/>
    <w:rsid w:val="00E94F66"/>
    <w:rsid w:val="00E94F67"/>
    <w:rsid w:val="00E9698F"/>
    <w:rsid w:val="00E96F80"/>
    <w:rsid w:val="00EA0252"/>
    <w:rsid w:val="00EA085D"/>
    <w:rsid w:val="00EA0D41"/>
    <w:rsid w:val="00EA1FCB"/>
    <w:rsid w:val="00EA24C4"/>
    <w:rsid w:val="00EA4226"/>
    <w:rsid w:val="00EA57B9"/>
    <w:rsid w:val="00EA7597"/>
    <w:rsid w:val="00EA7D62"/>
    <w:rsid w:val="00EB14B6"/>
    <w:rsid w:val="00EB1F98"/>
    <w:rsid w:val="00EB2581"/>
    <w:rsid w:val="00EB6778"/>
    <w:rsid w:val="00EB696F"/>
    <w:rsid w:val="00EC2FA7"/>
    <w:rsid w:val="00EC4F2B"/>
    <w:rsid w:val="00EC5A18"/>
    <w:rsid w:val="00EC6A3A"/>
    <w:rsid w:val="00EC6D90"/>
    <w:rsid w:val="00EC7CCE"/>
    <w:rsid w:val="00ED024A"/>
    <w:rsid w:val="00ED05F7"/>
    <w:rsid w:val="00ED2C60"/>
    <w:rsid w:val="00ED2F24"/>
    <w:rsid w:val="00ED379E"/>
    <w:rsid w:val="00ED5033"/>
    <w:rsid w:val="00ED6958"/>
    <w:rsid w:val="00ED7701"/>
    <w:rsid w:val="00EE09E1"/>
    <w:rsid w:val="00EE510D"/>
    <w:rsid w:val="00EE5A94"/>
    <w:rsid w:val="00EE6A25"/>
    <w:rsid w:val="00EF0630"/>
    <w:rsid w:val="00EF2145"/>
    <w:rsid w:val="00EF5F95"/>
    <w:rsid w:val="00F02761"/>
    <w:rsid w:val="00F03AB0"/>
    <w:rsid w:val="00F047D7"/>
    <w:rsid w:val="00F06AF8"/>
    <w:rsid w:val="00F072AD"/>
    <w:rsid w:val="00F079E5"/>
    <w:rsid w:val="00F1139C"/>
    <w:rsid w:val="00F12DC2"/>
    <w:rsid w:val="00F12F44"/>
    <w:rsid w:val="00F23DEB"/>
    <w:rsid w:val="00F23EA8"/>
    <w:rsid w:val="00F252F8"/>
    <w:rsid w:val="00F26DD9"/>
    <w:rsid w:val="00F271B8"/>
    <w:rsid w:val="00F31103"/>
    <w:rsid w:val="00F32CDB"/>
    <w:rsid w:val="00F33291"/>
    <w:rsid w:val="00F35C1E"/>
    <w:rsid w:val="00F36EC5"/>
    <w:rsid w:val="00F36F84"/>
    <w:rsid w:val="00F4046D"/>
    <w:rsid w:val="00F41351"/>
    <w:rsid w:val="00F424FB"/>
    <w:rsid w:val="00F42946"/>
    <w:rsid w:val="00F429D8"/>
    <w:rsid w:val="00F42FA9"/>
    <w:rsid w:val="00F51B11"/>
    <w:rsid w:val="00F52C3A"/>
    <w:rsid w:val="00F52C9C"/>
    <w:rsid w:val="00F53669"/>
    <w:rsid w:val="00F53B15"/>
    <w:rsid w:val="00F55E70"/>
    <w:rsid w:val="00F57328"/>
    <w:rsid w:val="00F57FD0"/>
    <w:rsid w:val="00F61607"/>
    <w:rsid w:val="00F636DE"/>
    <w:rsid w:val="00F64100"/>
    <w:rsid w:val="00F67732"/>
    <w:rsid w:val="00F70CD3"/>
    <w:rsid w:val="00F72967"/>
    <w:rsid w:val="00F73145"/>
    <w:rsid w:val="00F7328C"/>
    <w:rsid w:val="00F73B7B"/>
    <w:rsid w:val="00F74684"/>
    <w:rsid w:val="00F75AA7"/>
    <w:rsid w:val="00F768CB"/>
    <w:rsid w:val="00F80E3E"/>
    <w:rsid w:val="00F82F2F"/>
    <w:rsid w:val="00F82F30"/>
    <w:rsid w:val="00F840BE"/>
    <w:rsid w:val="00F859B1"/>
    <w:rsid w:val="00F8689C"/>
    <w:rsid w:val="00F86F83"/>
    <w:rsid w:val="00F87026"/>
    <w:rsid w:val="00F87D9F"/>
    <w:rsid w:val="00F90D2D"/>
    <w:rsid w:val="00F92310"/>
    <w:rsid w:val="00F926EB"/>
    <w:rsid w:val="00F937C5"/>
    <w:rsid w:val="00F938A4"/>
    <w:rsid w:val="00F943A5"/>
    <w:rsid w:val="00F95E02"/>
    <w:rsid w:val="00F96336"/>
    <w:rsid w:val="00F96684"/>
    <w:rsid w:val="00F96FCD"/>
    <w:rsid w:val="00F972B0"/>
    <w:rsid w:val="00FA3003"/>
    <w:rsid w:val="00FA3B22"/>
    <w:rsid w:val="00FA5F3B"/>
    <w:rsid w:val="00FA6BD1"/>
    <w:rsid w:val="00FB0362"/>
    <w:rsid w:val="00FB1F69"/>
    <w:rsid w:val="00FB4F00"/>
    <w:rsid w:val="00FB5407"/>
    <w:rsid w:val="00FB5CCE"/>
    <w:rsid w:val="00FB6EB6"/>
    <w:rsid w:val="00FB738F"/>
    <w:rsid w:val="00FB73DE"/>
    <w:rsid w:val="00FC1E60"/>
    <w:rsid w:val="00FC2722"/>
    <w:rsid w:val="00FC3F46"/>
    <w:rsid w:val="00FC40BB"/>
    <w:rsid w:val="00FC4966"/>
    <w:rsid w:val="00FC7494"/>
    <w:rsid w:val="00FC7586"/>
    <w:rsid w:val="00FC7DCD"/>
    <w:rsid w:val="00FD01BC"/>
    <w:rsid w:val="00FD13A0"/>
    <w:rsid w:val="00FD257B"/>
    <w:rsid w:val="00FD5167"/>
    <w:rsid w:val="00FD6DF5"/>
    <w:rsid w:val="00FE0C8B"/>
    <w:rsid w:val="00FE10F9"/>
    <w:rsid w:val="00FE1FBD"/>
    <w:rsid w:val="00FE5C49"/>
    <w:rsid w:val="00FE617B"/>
    <w:rsid w:val="00FE6F5A"/>
    <w:rsid w:val="00FE78FF"/>
    <w:rsid w:val="00FE79E1"/>
    <w:rsid w:val="00FF0E70"/>
    <w:rsid w:val="00FF1792"/>
    <w:rsid w:val="00FF1B5E"/>
    <w:rsid w:val="00FF1EE7"/>
    <w:rsid w:val="00FF464D"/>
    <w:rsid w:val="00FF4C2B"/>
    <w:rsid w:val="00FF4F1B"/>
    <w:rsid w:val="00FF59FA"/>
    <w:rsid w:val="00FF6266"/>
    <w:rsid w:val="011C626C"/>
    <w:rsid w:val="012A73B7"/>
    <w:rsid w:val="01C8641E"/>
    <w:rsid w:val="01E274B5"/>
    <w:rsid w:val="021B7243"/>
    <w:rsid w:val="023615AF"/>
    <w:rsid w:val="025103CB"/>
    <w:rsid w:val="02581525"/>
    <w:rsid w:val="027F4D04"/>
    <w:rsid w:val="02826542"/>
    <w:rsid w:val="02A30942"/>
    <w:rsid w:val="02B33C2A"/>
    <w:rsid w:val="02EB05EB"/>
    <w:rsid w:val="02F949FE"/>
    <w:rsid w:val="0329795E"/>
    <w:rsid w:val="036F3883"/>
    <w:rsid w:val="037333D2"/>
    <w:rsid w:val="03870314"/>
    <w:rsid w:val="03CA0201"/>
    <w:rsid w:val="0402799B"/>
    <w:rsid w:val="04293179"/>
    <w:rsid w:val="048670A4"/>
    <w:rsid w:val="048D643D"/>
    <w:rsid w:val="04C11604"/>
    <w:rsid w:val="04CD61FB"/>
    <w:rsid w:val="04DE06F3"/>
    <w:rsid w:val="04F217BD"/>
    <w:rsid w:val="05137F5A"/>
    <w:rsid w:val="054144F3"/>
    <w:rsid w:val="05B253F0"/>
    <w:rsid w:val="05D215EF"/>
    <w:rsid w:val="05F4078D"/>
    <w:rsid w:val="05F73F18"/>
    <w:rsid w:val="06896151"/>
    <w:rsid w:val="06A44D39"/>
    <w:rsid w:val="06C73779"/>
    <w:rsid w:val="06E45A7E"/>
    <w:rsid w:val="06F61486"/>
    <w:rsid w:val="07322345"/>
    <w:rsid w:val="0765096C"/>
    <w:rsid w:val="076646E5"/>
    <w:rsid w:val="07794418"/>
    <w:rsid w:val="07A34FF1"/>
    <w:rsid w:val="07A5643B"/>
    <w:rsid w:val="07F65A68"/>
    <w:rsid w:val="08000038"/>
    <w:rsid w:val="080A5070"/>
    <w:rsid w:val="0829023B"/>
    <w:rsid w:val="083640B7"/>
    <w:rsid w:val="083E4D1A"/>
    <w:rsid w:val="087150EF"/>
    <w:rsid w:val="088C1F29"/>
    <w:rsid w:val="08BC0C40"/>
    <w:rsid w:val="08EB30F3"/>
    <w:rsid w:val="09132327"/>
    <w:rsid w:val="09505600"/>
    <w:rsid w:val="09523172"/>
    <w:rsid w:val="0955056D"/>
    <w:rsid w:val="097529BD"/>
    <w:rsid w:val="098350DA"/>
    <w:rsid w:val="09B96D4E"/>
    <w:rsid w:val="09CD45A7"/>
    <w:rsid w:val="09D516AE"/>
    <w:rsid w:val="0A051860"/>
    <w:rsid w:val="0A61118B"/>
    <w:rsid w:val="0A820A57"/>
    <w:rsid w:val="0A8B3C45"/>
    <w:rsid w:val="0AF53DB5"/>
    <w:rsid w:val="0B035220"/>
    <w:rsid w:val="0B366ED2"/>
    <w:rsid w:val="0B53731F"/>
    <w:rsid w:val="0B9354FB"/>
    <w:rsid w:val="0BA871AF"/>
    <w:rsid w:val="0BB377CC"/>
    <w:rsid w:val="0BB46A91"/>
    <w:rsid w:val="0BBC48D3"/>
    <w:rsid w:val="0C9213B8"/>
    <w:rsid w:val="0CB657C6"/>
    <w:rsid w:val="0CB87790"/>
    <w:rsid w:val="0CBD0903"/>
    <w:rsid w:val="0CCE2B10"/>
    <w:rsid w:val="0D0A2848"/>
    <w:rsid w:val="0D0E73B0"/>
    <w:rsid w:val="0D234873"/>
    <w:rsid w:val="0D613984"/>
    <w:rsid w:val="0DBF06AB"/>
    <w:rsid w:val="0DED16BC"/>
    <w:rsid w:val="0E0742D0"/>
    <w:rsid w:val="0E0802A4"/>
    <w:rsid w:val="0E3015A8"/>
    <w:rsid w:val="0EA325B7"/>
    <w:rsid w:val="0EA855E3"/>
    <w:rsid w:val="0EC45568"/>
    <w:rsid w:val="0EF820C6"/>
    <w:rsid w:val="0F022F45"/>
    <w:rsid w:val="0F1862C4"/>
    <w:rsid w:val="0F1E7653"/>
    <w:rsid w:val="0F256112"/>
    <w:rsid w:val="0F275EAA"/>
    <w:rsid w:val="0F3B6457"/>
    <w:rsid w:val="0F956BB3"/>
    <w:rsid w:val="0FA25AF2"/>
    <w:rsid w:val="0FD44104"/>
    <w:rsid w:val="0FDF4C2F"/>
    <w:rsid w:val="0FEC4358"/>
    <w:rsid w:val="101B0E4C"/>
    <w:rsid w:val="10342369"/>
    <w:rsid w:val="103B6D46"/>
    <w:rsid w:val="10B62239"/>
    <w:rsid w:val="11052878"/>
    <w:rsid w:val="110C1E59"/>
    <w:rsid w:val="111420FB"/>
    <w:rsid w:val="11537A88"/>
    <w:rsid w:val="11665A0D"/>
    <w:rsid w:val="11692E07"/>
    <w:rsid w:val="11B03549"/>
    <w:rsid w:val="11B85B3D"/>
    <w:rsid w:val="11DD37F5"/>
    <w:rsid w:val="122B630F"/>
    <w:rsid w:val="124915FF"/>
    <w:rsid w:val="127759F8"/>
    <w:rsid w:val="127A5769"/>
    <w:rsid w:val="12A460C1"/>
    <w:rsid w:val="12F232D0"/>
    <w:rsid w:val="12F9640D"/>
    <w:rsid w:val="13245429"/>
    <w:rsid w:val="133B07D3"/>
    <w:rsid w:val="13806526"/>
    <w:rsid w:val="13B62550"/>
    <w:rsid w:val="13BD38DE"/>
    <w:rsid w:val="14005E12"/>
    <w:rsid w:val="14096B23"/>
    <w:rsid w:val="143D1F5C"/>
    <w:rsid w:val="145A5976"/>
    <w:rsid w:val="14755F67"/>
    <w:rsid w:val="150B2F60"/>
    <w:rsid w:val="15236B6A"/>
    <w:rsid w:val="15B036FB"/>
    <w:rsid w:val="160E7BD1"/>
    <w:rsid w:val="162C08A7"/>
    <w:rsid w:val="16445BF1"/>
    <w:rsid w:val="164E4553"/>
    <w:rsid w:val="16610551"/>
    <w:rsid w:val="16873D30"/>
    <w:rsid w:val="16B4099C"/>
    <w:rsid w:val="173F4516"/>
    <w:rsid w:val="174E7AEF"/>
    <w:rsid w:val="175B58E8"/>
    <w:rsid w:val="17F11DA8"/>
    <w:rsid w:val="181A6E47"/>
    <w:rsid w:val="18882144"/>
    <w:rsid w:val="18CC24A3"/>
    <w:rsid w:val="18FE477D"/>
    <w:rsid w:val="190D49C0"/>
    <w:rsid w:val="199C6459"/>
    <w:rsid w:val="19A867CC"/>
    <w:rsid w:val="19C47BB6"/>
    <w:rsid w:val="19D13C3F"/>
    <w:rsid w:val="19E576EB"/>
    <w:rsid w:val="19E85712"/>
    <w:rsid w:val="19FF69FF"/>
    <w:rsid w:val="1A0F39EE"/>
    <w:rsid w:val="1A1339B2"/>
    <w:rsid w:val="1A3F1E57"/>
    <w:rsid w:val="1A98475D"/>
    <w:rsid w:val="1B32165D"/>
    <w:rsid w:val="1B634D6B"/>
    <w:rsid w:val="1B66485B"/>
    <w:rsid w:val="1BDB6FF7"/>
    <w:rsid w:val="1BFE5601"/>
    <w:rsid w:val="1C32539C"/>
    <w:rsid w:val="1C667D1D"/>
    <w:rsid w:val="1C6F704E"/>
    <w:rsid w:val="1C8651B5"/>
    <w:rsid w:val="1C9176B6"/>
    <w:rsid w:val="1CE05AC6"/>
    <w:rsid w:val="1CF71C0F"/>
    <w:rsid w:val="1D30774C"/>
    <w:rsid w:val="1D383FD6"/>
    <w:rsid w:val="1D81772B"/>
    <w:rsid w:val="1D976F4E"/>
    <w:rsid w:val="1DCA7323"/>
    <w:rsid w:val="1DF76028"/>
    <w:rsid w:val="1E234C86"/>
    <w:rsid w:val="1E470974"/>
    <w:rsid w:val="1E8C45D9"/>
    <w:rsid w:val="1ED54DF8"/>
    <w:rsid w:val="1F106FB8"/>
    <w:rsid w:val="1FE65F6B"/>
    <w:rsid w:val="20062169"/>
    <w:rsid w:val="20084116"/>
    <w:rsid w:val="20390790"/>
    <w:rsid w:val="20825B9D"/>
    <w:rsid w:val="20CE712B"/>
    <w:rsid w:val="21A97250"/>
    <w:rsid w:val="22484CD3"/>
    <w:rsid w:val="224E6146"/>
    <w:rsid w:val="225778F0"/>
    <w:rsid w:val="22910410"/>
    <w:rsid w:val="22A30143"/>
    <w:rsid w:val="22AE0FC2"/>
    <w:rsid w:val="22C02AA3"/>
    <w:rsid w:val="22C32593"/>
    <w:rsid w:val="22F97D63"/>
    <w:rsid w:val="230C3F3A"/>
    <w:rsid w:val="23490CEA"/>
    <w:rsid w:val="23887A65"/>
    <w:rsid w:val="239F2DEC"/>
    <w:rsid w:val="23CD71CE"/>
    <w:rsid w:val="240F0EF6"/>
    <w:rsid w:val="241412F8"/>
    <w:rsid w:val="24A70983"/>
    <w:rsid w:val="24AD7057"/>
    <w:rsid w:val="24B108F5"/>
    <w:rsid w:val="24C83167"/>
    <w:rsid w:val="24D665AE"/>
    <w:rsid w:val="24E0567E"/>
    <w:rsid w:val="2500680C"/>
    <w:rsid w:val="252A06A8"/>
    <w:rsid w:val="25451DA5"/>
    <w:rsid w:val="256516E0"/>
    <w:rsid w:val="25822292"/>
    <w:rsid w:val="259501CB"/>
    <w:rsid w:val="259D645F"/>
    <w:rsid w:val="25B032A3"/>
    <w:rsid w:val="269C3827"/>
    <w:rsid w:val="26A83F7A"/>
    <w:rsid w:val="26AC3A6A"/>
    <w:rsid w:val="26B172D2"/>
    <w:rsid w:val="26BB3CAD"/>
    <w:rsid w:val="26CF7759"/>
    <w:rsid w:val="26DB7EAB"/>
    <w:rsid w:val="270B215E"/>
    <w:rsid w:val="270E1B1F"/>
    <w:rsid w:val="274E2D73"/>
    <w:rsid w:val="275D58BB"/>
    <w:rsid w:val="2792043F"/>
    <w:rsid w:val="27A177D4"/>
    <w:rsid w:val="27E77AE7"/>
    <w:rsid w:val="288B5901"/>
    <w:rsid w:val="288B76AF"/>
    <w:rsid w:val="28AF15F0"/>
    <w:rsid w:val="28FE4325"/>
    <w:rsid w:val="292518B2"/>
    <w:rsid w:val="2927387C"/>
    <w:rsid w:val="296028EA"/>
    <w:rsid w:val="29A9541B"/>
    <w:rsid w:val="2A4A387B"/>
    <w:rsid w:val="2A5F0DF4"/>
    <w:rsid w:val="2A6E1037"/>
    <w:rsid w:val="2AB63A79"/>
    <w:rsid w:val="2AC05B2B"/>
    <w:rsid w:val="2B0025D7"/>
    <w:rsid w:val="2B142C50"/>
    <w:rsid w:val="2B307F76"/>
    <w:rsid w:val="2B65243A"/>
    <w:rsid w:val="2C1B760D"/>
    <w:rsid w:val="2C3C763E"/>
    <w:rsid w:val="2C66392C"/>
    <w:rsid w:val="2C66430D"/>
    <w:rsid w:val="2C932FD6"/>
    <w:rsid w:val="2C950AFD"/>
    <w:rsid w:val="2CD5539D"/>
    <w:rsid w:val="2D517119"/>
    <w:rsid w:val="2D672D4A"/>
    <w:rsid w:val="2D6A7F4C"/>
    <w:rsid w:val="2D7B23E8"/>
    <w:rsid w:val="2D8F19F0"/>
    <w:rsid w:val="2DEC0BF0"/>
    <w:rsid w:val="2E6C1D31"/>
    <w:rsid w:val="2EFE6E2D"/>
    <w:rsid w:val="2F0B154A"/>
    <w:rsid w:val="2F0D52C2"/>
    <w:rsid w:val="2F2D7712"/>
    <w:rsid w:val="2F66459C"/>
    <w:rsid w:val="2FA379D4"/>
    <w:rsid w:val="2FAD2601"/>
    <w:rsid w:val="2FB67708"/>
    <w:rsid w:val="2FEB7B4D"/>
    <w:rsid w:val="2FF008DC"/>
    <w:rsid w:val="30696528"/>
    <w:rsid w:val="309C68FD"/>
    <w:rsid w:val="30DB28E0"/>
    <w:rsid w:val="30E57CC3"/>
    <w:rsid w:val="30ED7159"/>
    <w:rsid w:val="30FA7AC8"/>
    <w:rsid w:val="31296FF6"/>
    <w:rsid w:val="314F2DD7"/>
    <w:rsid w:val="316D3DF6"/>
    <w:rsid w:val="3179422E"/>
    <w:rsid w:val="31973569"/>
    <w:rsid w:val="31A57A34"/>
    <w:rsid w:val="31A862A3"/>
    <w:rsid w:val="31D67BED"/>
    <w:rsid w:val="321921D0"/>
    <w:rsid w:val="32364B30"/>
    <w:rsid w:val="32535B26"/>
    <w:rsid w:val="32800195"/>
    <w:rsid w:val="32867865"/>
    <w:rsid w:val="32882D2A"/>
    <w:rsid w:val="32957AA8"/>
    <w:rsid w:val="32C83002"/>
    <w:rsid w:val="32F01183"/>
    <w:rsid w:val="32FD564D"/>
    <w:rsid w:val="330118BA"/>
    <w:rsid w:val="33136C1F"/>
    <w:rsid w:val="336A6E4E"/>
    <w:rsid w:val="337E053C"/>
    <w:rsid w:val="339E2040"/>
    <w:rsid w:val="33A45AC9"/>
    <w:rsid w:val="34473024"/>
    <w:rsid w:val="34963664"/>
    <w:rsid w:val="34C6218A"/>
    <w:rsid w:val="34FD1935"/>
    <w:rsid w:val="35696FCA"/>
    <w:rsid w:val="358362DE"/>
    <w:rsid w:val="358E4243"/>
    <w:rsid w:val="35AD335B"/>
    <w:rsid w:val="35B844E0"/>
    <w:rsid w:val="35CD1307"/>
    <w:rsid w:val="3623039D"/>
    <w:rsid w:val="36251143"/>
    <w:rsid w:val="36415851"/>
    <w:rsid w:val="36966C5B"/>
    <w:rsid w:val="36A428BE"/>
    <w:rsid w:val="370074BA"/>
    <w:rsid w:val="3765344A"/>
    <w:rsid w:val="37DB239E"/>
    <w:rsid w:val="38767A34"/>
    <w:rsid w:val="388F0AF6"/>
    <w:rsid w:val="38EC2A1E"/>
    <w:rsid w:val="390037A2"/>
    <w:rsid w:val="393B0C7E"/>
    <w:rsid w:val="39810D86"/>
    <w:rsid w:val="39B61F39"/>
    <w:rsid w:val="39C42A21"/>
    <w:rsid w:val="39D7388E"/>
    <w:rsid w:val="3A5E69D2"/>
    <w:rsid w:val="3A6769F0"/>
    <w:rsid w:val="3A700E88"/>
    <w:rsid w:val="3A881CA1"/>
    <w:rsid w:val="3A914FF9"/>
    <w:rsid w:val="3ABE56C2"/>
    <w:rsid w:val="3AEC0481"/>
    <w:rsid w:val="3B2013FF"/>
    <w:rsid w:val="3B2F5CDC"/>
    <w:rsid w:val="3B980AE4"/>
    <w:rsid w:val="3BAE5737"/>
    <w:rsid w:val="3BE5285E"/>
    <w:rsid w:val="3BF770DE"/>
    <w:rsid w:val="3C3A6FCB"/>
    <w:rsid w:val="3C4542ED"/>
    <w:rsid w:val="3C8539D6"/>
    <w:rsid w:val="3CC50F8A"/>
    <w:rsid w:val="3CCE36D3"/>
    <w:rsid w:val="3D8C5F4C"/>
    <w:rsid w:val="3DCB0DE1"/>
    <w:rsid w:val="3DD84CED"/>
    <w:rsid w:val="3E0B5154"/>
    <w:rsid w:val="3E173A67"/>
    <w:rsid w:val="3E1C4AF4"/>
    <w:rsid w:val="3E263BB9"/>
    <w:rsid w:val="3E412892"/>
    <w:rsid w:val="3ED656D0"/>
    <w:rsid w:val="3EDA0AFC"/>
    <w:rsid w:val="3EF93827"/>
    <w:rsid w:val="3EFE69D5"/>
    <w:rsid w:val="3F012022"/>
    <w:rsid w:val="3F185CE9"/>
    <w:rsid w:val="3F855A6C"/>
    <w:rsid w:val="3F9D61EE"/>
    <w:rsid w:val="3FF42C45"/>
    <w:rsid w:val="402C30CE"/>
    <w:rsid w:val="404262D8"/>
    <w:rsid w:val="40C41559"/>
    <w:rsid w:val="40C652D1"/>
    <w:rsid w:val="40C854ED"/>
    <w:rsid w:val="40E91602"/>
    <w:rsid w:val="40F47DB5"/>
    <w:rsid w:val="410D3296"/>
    <w:rsid w:val="41322966"/>
    <w:rsid w:val="41605725"/>
    <w:rsid w:val="416A2100"/>
    <w:rsid w:val="418F1252"/>
    <w:rsid w:val="41A53138"/>
    <w:rsid w:val="41CA2B9F"/>
    <w:rsid w:val="4235270E"/>
    <w:rsid w:val="424B0183"/>
    <w:rsid w:val="42586B9E"/>
    <w:rsid w:val="427A2817"/>
    <w:rsid w:val="42997141"/>
    <w:rsid w:val="42D80B91"/>
    <w:rsid w:val="43503578"/>
    <w:rsid w:val="43697F90"/>
    <w:rsid w:val="436D4129"/>
    <w:rsid w:val="43A0005B"/>
    <w:rsid w:val="43ED0DC6"/>
    <w:rsid w:val="440A3726"/>
    <w:rsid w:val="442944F4"/>
    <w:rsid w:val="44486501"/>
    <w:rsid w:val="446B0669"/>
    <w:rsid w:val="449673FB"/>
    <w:rsid w:val="449D459A"/>
    <w:rsid w:val="44C81D5F"/>
    <w:rsid w:val="44EC107E"/>
    <w:rsid w:val="44F02D0E"/>
    <w:rsid w:val="45123F34"/>
    <w:rsid w:val="45264590"/>
    <w:rsid w:val="45423923"/>
    <w:rsid w:val="454B3DE0"/>
    <w:rsid w:val="458A116E"/>
    <w:rsid w:val="45905EAD"/>
    <w:rsid w:val="46024B8A"/>
    <w:rsid w:val="465D0485"/>
    <w:rsid w:val="465D66D7"/>
    <w:rsid w:val="466E61EE"/>
    <w:rsid w:val="46D06EA9"/>
    <w:rsid w:val="46D85D5E"/>
    <w:rsid w:val="475E2707"/>
    <w:rsid w:val="47640D88"/>
    <w:rsid w:val="47C167F2"/>
    <w:rsid w:val="48026875"/>
    <w:rsid w:val="482E032B"/>
    <w:rsid w:val="48313978"/>
    <w:rsid w:val="483E069D"/>
    <w:rsid w:val="488C5052"/>
    <w:rsid w:val="48B60321"/>
    <w:rsid w:val="48C60564"/>
    <w:rsid w:val="48E861DE"/>
    <w:rsid w:val="491C1915"/>
    <w:rsid w:val="49566AFF"/>
    <w:rsid w:val="496D09DF"/>
    <w:rsid w:val="49C36851"/>
    <w:rsid w:val="4A9D460A"/>
    <w:rsid w:val="4AB443EC"/>
    <w:rsid w:val="4AFA08D5"/>
    <w:rsid w:val="4B172510"/>
    <w:rsid w:val="4B201A81"/>
    <w:rsid w:val="4B2772B4"/>
    <w:rsid w:val="4B667DDC"/>
    <w:rsid w:val="4BDE0179"/>
    <w:rsid w:val="4C177328"/>
    <w:rsid w:val="4C3A6B73"/>
    <w:rsid w:val="4C6A7458"/>
    <w:rsid w:val="4C7E1155"/>
    <w:rsid w:val="4CC176FC"/>
    <w:rsid w:val="4CFB27A6"/>
    <w:rsid w:val="4D3857A8"/>
    <w:rsid w:val="4D7C0F6E"/>
    <w:rsid w:val="4DA223BC"/>
    <w:rsid w:val="4DA8648A"/>
    <w:rsid w:val="4DF64422"/>
    <w:rsid w:val="4E281379"/>
    <w:rsid w:val="4E296E9F"/>
    <w:rsid w:val="4E4837C9"/>
    <w:rsid w:val="4E5008D0"/>
    <w:rsid w:val="4E525304"/>
    <w:rsid w:val="4E5B3EE6"/>
    <w:rsid w:val="4E6C5709"/>
    <w:rsid w:val="4EAE33B1"/>
    <w:rsid w:val="4EB4172E"/>
    <w:rsid w:val="4EBB399D"/>
    <w:rsid w:val="4ED17C62"/>
    <w:rsid w:val="4F073684"/>
    <w:rsid w:val="4F0771E0"/>
    <w:rsid w:val="4F0A0A7E"/>
    <w:rsid w:val="4F9071D6"/>
    <w:rsid w:val="50003008"/>
    <w:rsid w:val="50132F01"/>
    <w:rsid w:val="5017429F"/>
    <w:rsid w:val="504A004A"/>
    <w:rsid w:val="50812FC2"/>
    <w:rsid w:val="50836D3A"/>
    <w:rsid w:val="514B3CFC"/>
    <w:rsid w:val="51736DAF"/>
    <w:rsid w:val="519D4926"/>
    <w:rsid w:val="51BF0246"/>
    <w:rsid w:val="51F53D5C"/>
    <w:rsid w:val="5257429C"/>
    <w:rsid w:val="5268268C"/>
    <w:rsid w:val="52A03D78"/>
    <w:rsid w:val="52BC6534"/>
    <w:rsid w:val="52CB182B"/>
    <w:rsid w:val="532C36B9"/>
    <w:rsid w:val="533C1422"/>
    <w:rsid w:val="534053B7"/>
    <w:rsid w:val="53B84F4D"/>
    <w:rsid w:val="541008E5"/>
    <w:rsid w:val="54132291"/>
    <w:rsid w:val="55115745"/>
    <w:rsid w:val="551408A9"/>
    <w:rsid w:val="553E1482"/>
    <w:rsid w:val="554107DA"/>
    <w:rsid w:val="55E42029"/>
    <w:rsid w:val="55E53FF3"/>
    <w:rsid w:val="55F75928"/>
    <w:rsid w:val="56342F97"/>
    <w:rsid w:val="564A4807"/>
    <w:rsid w:val="56616D4A"/>
    <w:rsid w:val="567D612E"/>
    <w:rsid w:val="56A17F1A"/>
    <w:rsid w:val="56A93273"/>
    <w:rsid w:val="57154464"/>
    <w:rsid w:val="57160908"/>
    <w:rsid w:val="575E405D"/>
    <w:rsid w:val="579161E1"/>
    <w:rsid w:val="57B258B6"/>
    <w:rsid w:val="57BB325E"/>
    <w:rsid w:val="58005114"/>
    <w:rsid w:val="58065464"/>
    <w:rsid w:val="5822508B"/>
    <w:rsid w:val="58847AF3"/>
    <w:rsid w:val="589073B9"/>
    <w:rsid w:val="58E058B5"/>
    <w:rsid w:val="58F66B70"/>
    <w:rsid w:val="598A2EE8"/>
    <w:rsid w:val="598C3104"/>
    <w:rsid w:val="599A6FAF"/>
    <w:rsid w:val="59B368E2"/>
    <w:rsid w:val="59C53F20"/>
    <w:rsid w:val="5A1874CA"/>
    <w:rsid w:val="5A427C66"/>
    <w:rsid w:val="5A5D05FC"/>
    <w:rsid w:val="5A8F6E94"/>
    <w:rsid w:val="5A956531"/>
    <w:rsid w:val="5AB26B9A"/>
    <w:rsid w:val="5AB53F94"/>
    <w:rsid w:val="5AC97A40"/>
    <w:rsid w:val="5B137D34"/>
    <w:rsid w:val="5B5277F7"/>
    <w:rsid w:val="5BF2528B"/>
    <w:rsid w:val="5BF46D3E"/>
    <w:rsid w:val="5C1E3DBB"/>
    <w:rsid w:val="5C3C025E"/>
    <w:rsid w:val="5C403D31"/>
    <w:rsid w:val="5C814A76"/>
    <w:rsid w:val="5C9522CF"/>
    <w:rsid w:val="5C9A41EB"/>
    <w:rsid w:val="5CBD35D4"/>
    <w:rsid w:val="5D1A7C60"/>
    <w:rsid w:val="5D494E68"/>
    <w:rsid w:val="5D4F6922"/>
    <w:rsid w:val="5D6F0D72"/>
    <w:rsid w:val="5D79311B"/>
    <w:rsid w:val="5D867E6A"/>
    <w:rsid w:val="5D9E7ED1"/>
    <w:rsid w:val="5DC866D4"/>
    <w:rsid w:val="5DDB1F64"/>
    <w:rsid w:val="5E1F13BF"/>
    <w:rsid w:val="5E26554A"/>
    <w:rsid w:val="5E6F6B50"/>
    <w:rsid w:val="5EA467FA"/>
    <w:rsid w:val="5EBA601D"/>
    <w:rsid w:val="5F5C5326"/>
    <w:rsid w:val="5F9745B0"/>
    <w:rsid w:val="5FB24F46"/>
    <w:rsid w:val="5FCE38DA"/>
    <w:rsid w:val="601531F9"/>
    <w:rsid w:val="601F0D79"/>
    <w:rsid w:val="603040BD"/>
    <w:rsid w:val="604D4C6F"/>
    <w:rsid w:val="60F670B5"/>
    <w:rsid w:val="60FE55EE"/>
    <w:rsid w:val="61001CE1"/>
    <w:rsid w:val="611539DF"/>
    <w:rsid w:val="61333E65"/>
    <w:rsid w:val="61BA6082"/>
    <w:rsid w:val="62043E0F"/>
    <w:rsid w:val="622C5484"/>
    <w:rsid w:val="623F6839"/>
    <w:rsid w:val="62967011"/>
    <w:rsid w:val="62B114E5"/>
    <w:rsid w:val="62CD2097"/>
    <w:rsid w:val="62E715B9"/>
    <w:rsid w:val="63021D41"/>
    <w:rsid w:val="636410B2"/>
    <w:rsid w:val="64177BDB"/>
    <w:rsid w:val="64234664"/>
    <w:rsid w:val="642D7291"/>
    <w:rsid w:val="64406FC4"/>
    <w:rsid w:val="64616F3B"/>
    <w:rsid w:val="64801AB7"/>
    <w:rsid w:val="64D65427"/>
    <w:rsid w:val="64DA2ADC"/>
    <w:rsid w:val="650F1289"/>
    <w:rsid w:val="65366619"/>
    <w:rsid w:val="655A40B6"/>
    <w:rsid w:val="656C203B"/>
    <w:rsid w:val="6592268F"/>
    <w:rsid w:val="65AB66C0"/>
    <w:rsid w:val="65B92A25"/>
    <w:rsid w:val="65FB3538"/>
    <w:rsid w:val="6609788A"/>
    <w:rsid w:val="66236B9E"/>
    <w:rsid w:val="6659436D"/>
    <w:rsid w:val="668A0DFC"/>
    <w:rsid w:val="668D2269"/>
    <w:rsid w:val="66C7577B"/>
    <w:rsid w:val="66E77BCB"/>
    <w:rsid w:val="66EA1469"/>
    <w:rsid w:val="67840CA7"/>
    <w:rsid w:val="67A25863"/>
    <w:rsid w:val="67A96C2F"/>
    <w:rsid w:val="67B51A77"/>
    <w:rsid w:val="67C223E6"/>
    <w:rsid w:val="68456F93"/>
    <w:rsid w:val="684E58C1"/>
    <w:rsid w:val="688356D2"/>
    <w:rsid w:val="68D0468F"/>
    <w:rsid w:val="68D979E8"/>
    <w:rsid w:val="68EC149F"/>
    <w:rsid w:val="690D143F"/>
    <w:rsid w:val="69112CDD"/>
    <w:rsid w:val="69390486"/>
    <w:rsid w:val="69766BEB"/>
    <w:rsid w:val="69BF30D1"/>
    <w:rsid w:val="69E623BC"/>
    <w:rsid w:val="6A06480C"/>
    <w:rsid w:val="6A741B4E"/>
    <w:rsid w:val="6A9A31A7"/>
    <w:rsid w:val="6AB51D8E"/>
    <w:rsid w:val="6B040620"/>
    <w:rsid w:val="6B07083C"/>
    <w:rsid w:val="6B1D5AFE"/>
    <w:rsid w:val="6B225676"/>
    <w:rsid w:val="6B64117C"/>
    <w:rsid w:val="6B7D121F"/>
    <w:rsid w:val="6BC95CE6"/>
    <w:rsid w:val="6C1B30FD"/>
    <w:rsid w:val="6C4C04D0"/>
    <w:rsid w:val="6C8D4D71"/>
    <w:rsid w:val="6CC26200"/>
    <w:rsid w:val="6CE24244"/>
    <w:rsid w:val="6D0A0937"/>
    <w:rsid w:val="6D4A15BA"/>
    <w:rsid w:val="6DA34120"/>
    <w:rsid w:val="6DE210EC"/>
    <w:rsid w:val="6E433B5F"/>
    <w:rsid w:val="6E453429"/>
    <w:rsid w:val="6E4D0069"/>
    <w:rsid w:val="6E775CD9"/>
    <w:rsid w:val="6E7D7067"/>
    <w:rsid w:val="6E91041D"/>
    <w:rsid w:val="6ED62DF7"/>
    <w:rsid w:val="6ED6350D"/>
    <w:rsid w:val="6F03756C"/>
    <w:rsid w:val="6F0642DD"/>
    <w:rsid w:val="6F907417"/>
    <w:rsid w:val="70131A31"/>
    <w:rsid w:val="70353D3F"/>
    <w:rsid w:val="709541F4"/>
    <w:rsid w:val="70BC4B64"/>
    <w:rsid w:val="70DA60AB"/>
    <w:rsid w:val="711E68DF"/>
    <w:rsid w:val="712B6906"/>
    <w:rsid w:val="71357431"/>
    <w:rsid w:val="71662034"/>
    <w:rsid w:val="716B764B"/>
    <w:rsid w:val="71763EDA"/>
    <w:rsid w:val="717C7162"/>
    <w:rsid w:val="71926986"/>
    <w:rsid w:val="71AD1A11"/>
    <w:rsid w:val="720B5E9F"/>
    <w:rsid w:val="7280501E"/>
    <w:rsid w:val="729130E1"/>
    <w:rsid w:val="729A01E8"/>
    <w:rsid w:val="72DA05E4"/>
    <w:rsid w:val="731A30D6"/>
    <w:rsid w:val="731C0BFD"/>
    <w:rsid w:val="73334198"/>
    <w:rsid w:val="735F0AE9"/>
    <w:rsid w:val="742448B0"/>
    <w:rsid w:val="742C4E6F"/>
    <w:rsid w:val="745A6E83"/>
    <w:rsid w:val="74620891"/>
    <w:rsid w:val="74774775"/>
    <w:rsid w:val="7491561A"/>
    <w:rsid w:val="74AE18FC"/>
    <w:rsid w:val="74B3733F"/>
    <w:rsid w:val="74D8065D"/>
    <w:rsid w:val="75631380"/>
    <w:rsid w:val="75CB303F"/>
    <w:rsid w:val="760D0CD1"/>
    <w:rsid w:val="76402E5F"/>
    <w:rsid w:val="765B5EE0"/>
    <w:rsid w:val="76733229"/>
    <w:rsid w:val="768076F4"/>
    <w:rsid w:val="76937BA1"/>
    <w:rsid w:val="76C04A85"/>
    <w:rsid w:val="771D13E7"/>
    <w:rsid w:val="776D40C1"/>
    <w:rsid w:val="777A2396"/>
    <w:rsid w:val="7782124A"/>
    <w:rsid w:val="778D031B"/>
    <w:rsid w:val="77AB515F"/>
    <w:rsid w:val="77C03053"/>
    <w:rsid w:val="77CD4BBB"/>
    <w:rsid w:val="77E8017E"/>
    <w:rsid w:val="77F008AA"/>
    <w:rsid w:val="781A446B"/>
    <w:rsid w:val="783A640D"/>
    <w:rsid w:val="784D5DC1"/>
    <w:rsid w:val="788F3C1F"/>
    <w:rsid w:val="789B0078"/>
    <w:rsid w:val="78A05E2C"/>
    <w:rsid w:val="78AF2513"/>
    <w:rsid w:val="78C23FF4"/>
    <w:rsid w:val="78D930EC"/>
    <w:rsid w:val="7949408E"/>
    <w:rsid w:val="795310F0"/>
    <w:rsid w:val="7995742F"/>
    <w:rsid w:val="79BB7B93"/>
    <w:rsid w:val="79C14961"/>
    <w:rsid w:val="79F71A7C"/>
    <w:rsid w:val="7A4F18B8"/>
    <w:rsid w:val="7A7B2E7E"/>
    <w:rsid w:val="7A804167"/>
    <w:rsid w:val="7A94551C"/>
    <w:rsid w:val="7A9D6AC7"/>
    <w:rsid w:val="7AE01263"/>
    <w:rsid w:val="7B2460A7"/>
    <w:rsid w:val="7B5919EC"/>
    <w:rsid w:val="7BD2596F"/>
    <w:rsid w:val="7BE14791"/>
    <w:rsid w:val="7BF81ADB"/>
    <w:rsid w:val="7C283401"/>
    <w:rsid w:val="7C6B49A3"/>
    <w:rsid w:val="7C792C1C"/>
    <w:rsid w:val="7CD04806"/>
    <w:rsid w:val="7CF3470C"/>
    <w:rsid w:val="7CF46A5B"/>
    <w:rsid w:val="7D1D403E"/>
    <w:rsid w:val="7D4F7E21"/>
    <w:rsid w:val="7D515947"/>
    <w:rsid w:val="7D60202E"/>
    <w:rsid w:val="7D6531A0"/>
    <w:rsid w:val="7D847ACA"/>
    <w:rsid w:val="7DA56991"/>
    <w:rsid w:val="7DE00530"/>
    <w:rsid w:val="7E3D5ECB"/>
    <w:rsid w:val="7E685957"/>
    <w:rsid w:val="7E7F4735"/>
    <w:rsid w:val="7E9E4BBC"/>
    <w:rsid w:val="7EBC3294"/>
    <w:rsid w:val="7EF7251E"/>
    <w:rsid w:val="7F266624"/>
    <w:rsid w:val="7F2A28F3"/>
    <w:rsid w:val="7F364DF4"/>
    <w:rsid w:val="7F547970"/>
    <w:rsid w:val="7F5D4A77"/>
    <w:rsid w:val="7F7513EC"/>
    <w:rsid w:val="7F916950"/>
    <w:rsid w:val="7FA701F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99" w:semiHidden="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sz w:val="22"/>
      <w:szCs w:val="22"/>
      <w:lang w:val="en-US" w:eastAsia="en-US" w:bidi="ar-SA"/>
    </w:rPr>
  </w:style>
  <w:style w:type="paragraph" w:styleId="4">
    <w:name w:val="heading 1"/>
    <w:basedOn w:val="1"/>
    <w:next w:val="1"/>
    <w:autoRedefine/>
    <w:qFormat/>
    <w:uiPriority w:val="0"/>
    <w:pPr>
      <w:spacing w:line="276" w:lineRule="auto"/>
      <w:jc w:val="center"/>
      <w:outlineLvl w:val="0"/>
    </w:pPr>
    <w:rPr>
      <w:b/>
      <w:bCs/>
      <w:snapToGrid w:val="0"/>
      <w:sz w:val="32"/>
      <w:szCs w:val="32"/>
      <w:lang w:eastAsia="zh-CN"/>
    </w:rPr>
  </w:style>
  <w:style w:type="paragraph" w:styleId="5">
    <w:name w:val="heading 2"/>
    <w:basedOn w:val="1"/>
    <w:next w:val="1"/>
    <w:autoRedefine/>
    <w:unhideWhenUsed/>
    <w:qFormat/>
    <w:uiPriority w:val="0"/>
    <w:pPr>
      <w:outlineLvl w:val="1"/>
    </w:pPr>
    <w:rPr>
      <w:sz w:val="40"/>
      <w:szCs w:val="40"/>
    </w:rPr>
  </w:style>
  <w:style w:type="paragraph" w:styleId="6">
    <w:name w:val="heading 3"/>
    <w:basedOn w:val="1"/>
    <w:next w:val="1"/>
    <w:link w:val="38"/>
    <w:autoRedefine/>
    <w:unhideWhenUsed/>
    <w:qFormat/>
    <w:uiPriority w:val="0"/>
    <w:pPr>
      <w:spacing w:line="360" w:lineRule="auto"/>
      <w:ind w:left="2041"/>
      <w:outlineLvl w:val="2"/>
    </w:pPr>
    <w:rPr>
      <w:sz w:val="34"/>
      <w:szCs w:val="34"/>
    </w:rPr>
  </w:style>
  <w:style w:type="paragraph" w:styleId="3">
    <w:name w:val="heading 4"/>
    <w:basedOn w:val="1"/>
    <w:next w:val="1"/>
    <w:autoRedefine/>
    <w:unhideWhenUsed/>
    <w:qFormat/>
    <w:uiPriority w:val="0"/>
    <w:pPr>
      <w:ind w:left="2268"/>
      <w:jc w:val="center"/>
      <w:outlineLvl w:val="3"/>
    </w:pPr>
    <w:rPr>
      <w:sz w:val="24"/>
      <w:szCs w:val="30"/>
    </w:rPr>
  </w:style>
  <w:style w:type="paragraph" w:styleId="7">
    <w:name w:val="heading 5"/>
    <w:basedOn w:val="1"/>
    <w:next w:val="1"/>
    <w:autoRedefine/>
    <w:unhideWhenUsed/>
    <w:qFormat/>
    <w:uiPriority w:val="0"/>
    <w:pPr>
      <w:spacing w:line="360" w:lineRule="auto"/>
      <w:ind w:left="600" w:leftChars="600"/>
      <w:outlineLvl w:val="4"/>
    </w:pPr>
    <w:rPr>
      <w:rFonts w:ascii="Times New Roman" w:hAnsi="Times New Roman" w:eastAsia="Times New Roman" w:cs="Times New Roman"/>
      <w:sz w:val="24"/>
      <w:szCs w:val="24"/>
    </w:rPr>
  </w:style>
  <w:style w:type="paragraph" w:styleId="8">
    <w:name w:val="heading 6"/>
    <w:basedOn w:val="1"/>
    <w:next w:val="1"/>
    <w:autoRedefine/>
    <w:unhideWhenUsed/>
    <w:qFormat/>
    <w:uiPriority w:val="9"/>
    <w:pPr>
      <w:spacing w:line="360" w:lineRule="auto"/>
      <w:ind w:left="978" w:leftChars="700" w:hanging="278"/>
      <w:outlineLvl w:val="5"/>
    </w:pPr>
    <w:rPr>
      <w:bCs/>
      <w:sz w:val="24"/>
      <w:szCs w:val="20"/>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58"/>
    <w:autoRedefine/>
    <w:qFormat/>
    <w:uiPriority w:val="0"/>
    <w:pPr>
      <w:autoSpaceDE/>
      <w:autoSpaceDN/>
      <w:jc w:val="both"/>
    </w:pPr>
    <w:rPr>
      <w:rFonts w:hAnsi="Courier New" w:cstheme="minorBidi"/>
      <w:kern w:val="2"/>
      <w:sz w:val="24"/>
      <w:szCs w:val="24"/>
      <w:lang w:eastAsia="zh-CN"/>
    </w:rPr>
  </w:style>
  <w:style w:type="paragraph" w:styleId="9">
    <w:name w:val="toc 7"/>
    <w:basedOn w:val="1"/>
    <w:next w:val="1"/>
    <w:autoRedefine/>
    <w:unhideWhenUsed/>
    <w:qFormat/>
    <w:uiPriority w:val="39"/>
    <w:pPr>
      <w:autoSpaceDE/>
      <w:autoSpaceDN/>
      <w:ind w:left="2520" w:leftChars="1200"/>
      <w:jc w:val="both"/>
    </w:pPr>
    <w:rPr>
      <w:rFonts w:asciiTheme="minorHAnsi" w:hAnsiTheme="minorHAnsi" w:eastAsiaTheme="minorEastAsia" w:cstheme="minorBidi"/>
      <w:kern w:val="2"/>
      <w:sz w:val="21"/>
      <w:lang w:eastAsia="zh-CN"/>
    </w:rPr>
  </w:style>
  <w:style w:type="paragraph" w:styleId="10">
    <w:name w:val="Normal Indent"/>
    <w:basedOn w:val="1"/>
    <w:link w:val="63"/>
    <w:autoRedefine/>
    <w:qFormat/>
    <w:uiPriority w:val="0"/>
    <w:pPr>
      <w:autoSpaceDE/>
      <w:autoSpaceDN/>
      <w:ind w:firstLine="420"/>
      <w:jc w:val="both"/>
    </w:pPr>
    <w:rPr>
      <w:rFonts w:ascii="Abadi MT Condensed Light" w:hAnsi="Abadi MT Condensed Light" w:eastAsia="仿宋_GB2312" w:cs="Times New Roman"/>
      <w:kern w:val="2"/>
      <w:sz w:val="10"/>
      <w:szCs w:val="20"/>
      <w:lang w:eastAsia="zh-CN"/>
    </w:rPr>
  </w:style>
  <w:style w:type="paragraph" w:styleId="11">
    <w:name w:val="annotation text"/>
    <w:basedOn w:val="1"/>
    <w:link w:val="49"/>
    <w:autoRedefine/>
    <w:qFormat/>
    <w:uiPriority w:val="0"/>
    <w:pPr>
      <w:autoSpaceDE/>
      <w:autoSpaceDN/>
    </w:pPr>
  </w:style>
  <w:style w:type="paragraph" w:styleId="12">
    <w:name w:val="Body Text"/>
    <w:basedOn w:val="1"/>
    <w:link w:val="40"/>
    <w:autoRedefine/>
    <w:qFormat/>
    <w:uiPriority w:val="99"/>
    <w:rPr>
      <w:sz w:val="20"/>
      <w:szCs w:val="20"/>
    </w:rPr>
  </w:style>
  <w:style w:type="paragraph" w:styleId="13">
    <w:name w:val="Body Text Indent"/>
    <w:basedOn w:val="1"/>
    <w:link w:val="50"/>
    <w:autoRedefine/>
    <w:semiHidden/>
    <w:unhideWhenUsed/>
    <w:qFormat/>
    <w:uiPriority w:val="99"/>
    <w:pPr>
      <w:spacing w:after="120"/>
      <w:ind w:left="420" w:leftChars="200"/>
    </w:pPr>
  </w:style>
  <w:style w:type="paragraph" w:styleId="14">
    <w:name w:val="Block Text"/>
    <w:basedOn w:val="1"/>
    <w:autoRedefine/>
    <w:qFormat/>
    <w:uiPriority w:val="0"/>
    <w:pPr>
      <w:autoSpaceDE/>
      <w:autoSpaceDN/>
      <w:adjustRightInd w:val="0"/>
      <w:ind w:left="420" w:right="33"/>
      <w:jc w:val="both"/>
      <w:textAlignment w:val="baseline"/>
    </w:pPr>
    <w:rPr>
      <w:rFonts w:ascii="Times New Roman" w:hAnsi="Times New Roman" w:cs="Times New Roman"/>
      <w:kern w:val="2"/>
      <w:sz w:val="24"/>
      <w:szCs w:val="20"/>
      <w:lang w:eastAsia="zh-CN"/>
    </w:rPr>
  </w:style>
  <w:style w:type="paragraph" w:styleId="15">
    <w:name w:val="toc 5"/>
    <w:basedOn w:val="1"/>
    <w:next w:val="1"/>
    <w:autoRedefine/>
    <w:unhideWhenUsed/>
    <w:qFormat/>
    <w:uiPriority w:val="39"/>
    <w:pPr>
      <w:autoSpaceDE/>
      <w:autoSpaceDN/>
      <w:ind w:left="1680" w:leftChars="800"/>
      <w:jc w:val="both"/>
    </w:pPr>
    <w:rPr>
      <w:rFonts w:asciiTheme="minorHAnsi" w:hAnsiTheme="minorHAnsi" w:eastAsiaTheme="minorEastAsia" w:cstheme="minorBidi"/>
      <w:kern w:val="2"/>
      <w:sz w:val="21"/>
      <w:lang w:eastAsia="zh-CN"/>
    </w:rPr>
  </w:style>
  <w:style w:type="paragraph" w:styleId="16">
    <w:name w:val="toc 3"/>
    <w:basedOn w:val="1"/>
    <w:next w:val="1"/>
    <w:autoRedefine/>
    <w:unhideWhenUsed/>
    <w:qFormat/>
    <w:uiPriority w:val="39"/>
    <w:pPr>
      <w:widowControl/>
      <w:tabs>
        <w:tab w:val="right" w:leader="dot" w:pos="9350"/>
      </w:tabs>
      <w:autoSpaceDE/>
      <w:autoSpaceDN/>
      <w:spacing w:after="100" w:line="259" w:lineRule="auto"/>
      <w:ind w:left="440"/>
    </w:pPr>
    <w:rPr>
      <w:rFonts w:cs="Times New Roman" w:asciiTheme="minorHAnsi" w:hAnsiTheme="minorHAnsi" w:eastAsiaTheme="minorEastAsia"/>
      <w:lang w:eastAsia="zh-CN"/>
    </w:rPr>
  </w:style>
  <w:style w:type="paragraph" w:styleId="17">
    <w:name w:val="toc 8"/>
    <w:basedOn w:val="1"/>
    <w:next w:val="1"/>
    <w:autoRedefine/>
    <w:unhideWhenUsed/>
    <w:qFormat/>
    <w:uiPriority w:val="39"/>
    <w:pPr>
      <w:autoSpaceDE/>
      <w:autoSpaceDN/>
      <w:ind w:left="2940" w:leftChars="1400"/>
      <w:jc w:val="both"/>
    </w:pPr>
    <w:rPr>
      <w:rFonts w:asciiTheme="minorHAnsi" w:hAnsiTheme="minorHAnsi" w:eastAsiaTheme="minorEastAsia" w:cstheme="minorBidi"/>
      <w:kern w:val="2"/>
      <w:sz w:val="21"/>
      <w:lang w:eastAsia="zh-CN"/>
    </w:rPr>
  </w:style>
  <w:style w:type="paragraph" w:styleId="18">
    <w:name w:val="Date"/>
    <w:basedOn w:val="1"/>
    <w:next w:val="1"/>
    <w:link w:val="62"/>
    <w:autoRedefine/>
    <w:semiHidden/>
    <w:unhideWhenUsed/>
    <w:qFormat/>
    <w:uiPriority w:val="99"/>
    <w:pPr>
      <w:ind w:left="100" w:leftChars="2500"/>
    </w:pPr>
  </w:style>
  <w:style w:type="paragraph" w:styleId="19">
    <w:name w:val="Balloon Text"/>
    <w:basedOn w:val="1"/>
    <w:link w:val="55"/>
    <w:autoRedefine/>
    <w:unhideWhenUsed/>
    <w:qFormat/>
    <w:uiPriority w:val="0"/>
    <w:rPr>
      <w:sz w:val="18"/>
      <w:szCs w:val="18"/>
    </w:rPr>
  </w:style>
  <w:style w:type="paragraph" w:styleId="20">
    <w:name w:val="footer"/>
    <w:basedOn w:val="1"/>
    <w:link w:val="44"/>
    <w:autoRedefine/>
    <w:unhideWhenUsed/>
    <w:qFormat/>
    <w:uiPriority w:val="0"/>
    <w:pPr>
      <w:tabs>
        <w:tab w:val="center" w:pos="4153"/>
        <w:tab w:val="right" w:pos="8306"/>
      </w:tabs>
      <w:snapToGrid w:val="0"/>
    </w:pPr>
    <w:rPr>
      <w:sz w:val="18"/>
      <w:szCs w:val="18"/>
    </w:rPr>
  </w:style>
  <w:style w:type="paragraph" w:styleId="21">
    <w:name w:val="header"/>
    <w:basedOn w:val="1"/>
    <w:link w:val="4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widowControl/>
      <w:tabs>
        <w:tab w:val="right" w:leader="dot" w:pos="9350"/>
      </w:tabs>
      <w:autoSpaceDE/>
      <w:autoSpaceDN/>
      <w:spacing w:after="100" w:line="259" w:lineRule="auto"/>
    </w:pPr>
    <w:rPr>
      <w:rFonts w:cs="Times New Roman" w:asciiTheme="minorHAnsi" w:hAnsiTheme="minorHAnsi" w:eastAsiaTheme="minorEastAsia"/>
      <w:lang w:eastAsia="zh-CN"/>
    </w:rPr>
  </w:style>
  <w:style w:type="paragraph" w:styleId="23">
    <w:name w:val="toc 4"/>
    <w:basedOn w:val="1"/>
    <w:next w:val="1"/>
    <w:autoRedefine/>
    <w:unhideWhenUsed/>
    <w:qFormat/>
    <w:uiPriority w:val="39"/>
    <w:pPr>
      <w:autoSpaceDE/>
      <w:autoSpaceDN/>
      <w:ind w:left="1260" w:leftChars="600"/>
      <w:jc w:val="both"/>
    </w:pPr>
    <w:rPr>
      <w:rFonts w:asciiTheme="minorHAnsi" w:hAnsiTheme="minorHAnsi" w:eastAsiaTheme="minorEastAsia" w:cstheme="minorBidi"/>
      <w:kern w:val="2"/>
      <w:sz w:val="21"/>
      <w:lang w:eastAsia="zh-CN"/>
    </w:rPr>
  </w:style>
  <w:style w:type="paragraph" w:styleId="24">
    <w:name w:val="footnote text"/>
    <w:basedOn w:val="1"/>
    <w:link w:val="48"/>
    <w:autoRedefine/>
    <w:semiHidden/>
    <w:qFormat/>
    <w:uiPriority w:val="0"/>
    <w:pPr>
      <w:autoSpaceDE/>
      <w:autoSpaceDN/>
      <w:snapToGrid w:val="0"/>
    </w:pPr>
    <w:rPr>
      <w:rFonts w:ascii="Times New Roman" w:hAnsi="Times New Roman" w:cs="Times New Roman"/>
      <w:kern w:val="2"/>
      <w:sz w:val="18"/>
      <w:szCs w:val="18"/>
      <w:lang w:eastAsia="zh-CN"/>
    </w:rPr>
  </w:style>
  <w:style w:type="paragraph" w:styleId="25">
    <w:name w:val="toc 6"/>
    <w:basedOn w:val="1"/>
    <w:next w:val="1"/>
    <w:autoRedefine/>
    <w:unhideWhenUsed/>
    <w:qFormat/>
    <w:uiPriority w:val="39"/>
    <w:pPr>
      <w:autoSpaceDE/>
      <w:autoSpaceDN/>
      <w:ind w:left="2100" w:leftChars="1000"/>
      <w:jc w:val="both"/>
    </w:pPr>
    <w:rPr>
      <w:rFonts w:asciiTheme="minorHAnsi" w:hAnsiTheme="minorHAnsi" w:eastAsiaTheme="minorEastAsia" w:cstheme="minorBidi"/>
      <w:kern w:val="2"/>
      <w:sz w:val="21"/>
      <w:lang w:eastAsia="zh-CN"/>
    </w:rPr>
  </w:style>
  <w:style w:type="paragraph" w:styleId="26">
    <w:name w:val="toc 2"/>
    <w:basedOn w:val="1"/>
    <w:next w:val="1"/>
    <w:autoRedefine/>
    <w:unhideWhenUsed/>
    <w:qFormat/>
    <w:uiPriority w:val="39"/>
    <w:pPr>
      <w:widowControl/>
      <w:autoSpaceDE/>
      <w:autoSpaceDN/>
      <w:spacing w:after="100" w:line="259" w:lineRule="auto"/>
      <w:ind w:left="220"/>
    </w:pPr>
    <w:rPr>
      <w:rFonts w:cs="Times New Roman" w:asciiTheme="minorHAnsi" w:hAnsiTheme="minorHAnsi" w:eastAsiaTheme="minorEastAsia"/>
      <w:lang w:eastAsia="zh-CN"/>
    </w:rPr>
  </w:style>
  <w:style w:type="paragraph" w:styleId="27">
    <w:name w:val="toc 9"/>
    <w:basedOn w:val="1"/>
    <w:next w:val="1"/>
    <w:autoRedefine/>
    <w:unhideWhenUsed/>
    <w:qFormat/>
    <w:uiPriority w:val="39"/>
    <w:pPr>
      <w:autoSpaceDE/>
      <w:autoSpaceDN/>
      <w:ind w:left="3360" w:leftChars="1600"/>
      <w:jc w:val="both"/>
    </w:pPr>
    <w:rPr>
      <w:rFonts w:asciiTheme="minorHAnsi" w:hAnsiTheme="minorHAnsi" w:eastAsiaTheme="minorEastAsia" w:cstheme="minorBidi"/>
      <w:kern w:val="2"/>
      <w:sz w:val="21"/>
      <w:lang w:eastAsia="zh-CN"/>
    </w:rPr>
  </w:style>
  <w:style w:type="paragraph" w:styleId="28">
    <w:name w:val="Normal (Web)"/>
    <w:basedOn w:val="1"/>
    <w:autoRedefine/>
    <w:qFormat/>
    <w:uiPriority w:val="99"/>
    <w:pPr>
      <w:autoSpaceDE/>
      <w:autoSpaceDN/>
      <w:adjustRightInd w:val="0"/>
      <w:spacing w:line="360" w:lineRule="atLeast"/>
    </w:pPr>
    <w:rPr>
      <w:rFonts w:hAnsi="Courier New" w:cs="Courier New"/>
      <w:sz w:val="21"/>
      <w:szCs w:val="21"/>
      <w:lang w:eastAsia="zh-CN"/>
    </w:rPr>
  </w:style>
  <w:style w:type="paragraph" w:styleId="29">
    <w:name w:val="annotation subject"/>
    <w:basedOn w:val="11"/>
    <w:next w:val="11"/>
    <w:link w:val="52"/>
    <w:autoRedefine/>
    <w:unhideWhenUsed/>
    <w:qFormat/>
    <w:uiPriority w:val="0"/>
    <w:pPr>
      <w:autoSpaceDE w:val="0"/>
      <w:autoSpaceDN w:val="0"/>
    </w:pPr>
    <w:rPr>
      <w:b/>
      <w:bCs/>
    </w:rPr>
  </w:style>
  <w:style w:type="paragraph" w:styleId="30">
    <w:name w:val="Body Text First Indent 2"/>
    <w:basedOn w:val="13"/>
    <w:next w:val="1"/>
    <w:link w:val="51"/>
    <w:autoRedefine/>
    <w:qFormat/>
    <w:uiPriority w:val="99"/>
    <w:pPr>
      <w:autoSpaceDE/>
      <w:autoSpaceDN/>
      <w:ind w:firstLine="420" w:firstLineChars="200"/>
    </w:pPr>
  </w:style>
  <w:style w:type="table" w:styleId="32">
    <w:name w:val="Table Grid"/>
    <w:basedOn w:val="3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autoRedefine/>
    <w:semiHidden/>
    <w:unhideWhenUsed/>
    <w:qFormat/>
    <w:uiPriority w:val="99"/>
    <w:rPr>
      <w:color w:val="800080" w:themeColor="followedHyperlink"/>
      <w:u w:val="single"/>
      <w14:textFill>
        <w14:solidFill>
          <w14:schemeClr w14:val="folHlink"/>
        </w14:solidFill>
      </w14:textFill>
    </w:rPr>
  </w:style>
  <w:style w:type="character" w:styleId="35">
    <w:name w:val="Hyperlink"/>
    <w:basedOn w:val="33"/>
    <w:autoRedefine/>
    <w:unhideWhenUsed/>
    <w:qFormat/>
    <w:uiPriority w:val="99"/>
    <w:rPr>
      <w:color w:val="0000FF" w:themeColor="hyperlink"/>
      <w:u w:val="single"/>
      <w14:textFill>
        <w14:solidFill>
          <w14:schemeClr w14:val="hlink"/>
        </w14:solidFill>
      </w14:textFill>
    </w:rPr>
  </w:style>
  <w:style w:type="character" w:styleId="36">
    <w:name w:val="annotation reference"/>
    <w:basedOn w:val="33"/>
    <w:autoRedefine/>
    <w:qFormat/>
    <w:uiPriority w:val="99"/>
    <w:rPr>
      <w:rFonts w:cs="Times New Roman"/>
      <w:sz w:val="21"/>
      <w:szCs w:val="21"/>
    </w:rPr>
  </w:style>
  <w:style w:type="character" w:styleId="37">
    <w:name w:val="footnote reference"/>
    <w:autoRedefine/>
    <w:semiHidden/>
    <w:qFormat/>
    <w:uiPriority w:val="0"/>
    <w:rPr>
      <w:vertAlign w:val="superscript"/>
    </w:rPr>
  </w:style>
  <w:style w:type="character" w:customStyle="1" w:styleId="38">
    <w:name w:val="标题 3 字符"/>
    <w:basedOn w:val="33"/>
    <w:link w:val="6"/>
    <w:autoRedefine/>
    <w:qFormat/>
    <w:uiPriority w:val="9"/>
    <w:rPr>
      <w:rFonts w:ascii="宋体" w:hAnsi="宋体" w:eastAsia="宋体" w:cs="宋体"/>
      <w:sz w:val="34"/>
      <w:szCs w:val="34"/>
    </w:rPr>
  </w:style>
  <w:style w:type="table" w:customStyle="1" w:styleId="39">
    <w:name w:val="Table Normal"/>
    <w:autoRedefine/>
    <w:semiHidden/>
    <w:unhideWhenUsed/>
    <w:qFormat/>
    <w:uiPriority w:val="2"/>
    <w:tblPr>
      <w:tblCellMar>
        <w:top w:w="0" w:type="dxa"/>
        <w:left w:w="0" w:type="dxa"/>
        <w:bottom w:w="0" w:type="dxa"/>
        <w:right w:w="0" w:type="dxa"/>
      </w:tblCellMar>
    </w:tblPr>
  </w:style>
  <w:style w:type="character" w:customStyle="1" w:styleId="40">
    <w:name w:val="正文文本 字符"/>
    <w:basedOn w:val="33"/>
    <w:link w:val="12"/>
    <w:autoRedefine/>
    <w:qFormat/>
    <w:uiPriority w:val="99"/>
    <w:rPr>
      <w:rFonts w:ascii="宋体" w:hAnsi="宋体" w:eastAsia="宋体" w:cs="宋体"/>
      <w:sz w:val="20"/>
      <w:szCs w:val="20"/>
    </w:rPr>
  </w:style>
  <w:style w:type="paragraph" w:styleId="41">
    <w:name w:val="List Paragraph"/>
    <w:basedOn w:val="1"/>
    <w:autoRedefine/>
    <w:qFormat/>
    <w:uiPriority w:val="1"/>
    <w:pPr>
      <w:ind w:left="390" w:hanging="276"/>
    </w:pPr>
  </w:style>
  <w:style w:type="paragraph" w:customStyle="1" w:styleId="42">
    <w:name w:val="Table Paragraph"/>
    <w:basedOn w:val="1"/>
    <w:autoRedefine/>
    <w:qFormat/>
    <w:uiPriority w:val="1"/>
  </w:style>
  <w:style w:type="character" w:customStyle="1" w:styleId="43">
    <w:name w:val="页眉 字符"/>
    <w:basedOn w:val="33"/>
    <w:link w:val="21"/>
    <w:autoRedefine/>
    <w:qFormat/>
    <w:uiPriority w:val="0"/>
    <w:rPr>
      <w:rFonts w:ascii="宋体" w:hAnsi="宋体" w:eastAsia="宋体" w:cs="宋体"/>
      <w:sz w:val="18"/>
      <w:szCs w:val="18"/>
    </w:rPr>
  </w:style>
  <w:style w:type="character" w:customStyle="1" w:styleId="44">
    <w:name w:val="页脚 字符"/>
    <w:basedOn w:val="33"/>
    <w:link w:val="20"/>
    <w:autoRedefine/>
    <w:qFormat/>
    <w:uiPriority w:val="0"/>
    <w:rPr>
      <w:rFonts w:ascii="宋体" w:hAnsi="宋体" w:eastAsia="宋体" w:cs="宋体"/>
      <w:sz w:val="18"/>
      <w:szCs w:val="18"/>
    </w:rPr>
  </w:style>
  <w:style w:type="paragraph" w:customStyle="1" w:styleId="45">
    <w:name w:val="样式 标题 2 + 新宋体"/>
    <w:basedOn w:val="5"/>
    <w:autoRedefine/>
    <w:qFormat/>
    <w:uiPriority w:val="0"/>
    <w:pPr>
      <w:keepNext/>
      <w:widowControl/>
      <w:autoSpaceDE/>
      <w:autoSpaceDN/>
      <w:adjustRightInd w:val="0"/>
      <w:snapToGrid w:val="0"/>
      <w:spacing w:before="240" w:after="240" w:line="360" w:lineRule="auto"/>
      <w:jc w:val="center"/>
      <w:textAlignment w:val="baseline"/>
    </w:pPr>
    <w:rPr>
      <w:rFonts w:ascii="新宋体" w:hAnsi="新宋体" w:eastAsia="黑体" w:cs="Times New Roman"/>
      <w:b/>
      <w:bCs/>
      <w:color w:val="000000"/>
      <w:sz w:val="30"/>
      <w:szCs w:val="20"/>
    </w:rPr>
  </w:style>
  <w:style w:type="paragraph" w:customStyle="1" w:styleId="46">
    <w:name w:val="样式 标题 3 + 新宋体"/>
    <w:basedOn w:val="6"/>
    <w:link w:val="47"/>
    <w:autoRedefine/>
    <w:qFormat/>
    <w:uiPriority w:val="0"/>
    <w:pPr>
      <w:keepNext/>
      <w:keepLines/>
      <w:autoSpaceDE/>
      <w:autoSpaceDN/>
      <w:jc w:val="both"/>
    </w:pPr>
    <w:rPr>
      <w:rFonts w:ascii="新宋体" w:hAnsi="新宋体" w:cs="Times New Roman"/>
      <w:sz w:val="21"/>
      <w:szCs w:val="32"/>
    </w:rPr>
  </w:style>
  <w:style w:type="character" w:customStyle="1" w:styleId="47">
    <w:name w:val="样式 标题 3 + 新宋体 Char"/>
    <w:link w:val="46"/>
    <w:autoRedefine/>
    <w:qFormat/>
    <w:uiPriority w:val="0"/>
    <w:rPr>
      <w:rFonts w:ascii="新宋体" w:hAnsi="新宋体" w:eastAsia="宋体" w:cs="Times New Roman"/>
      <w:sz w:val="21"/>
      <w:szCs w:val="32"/>
    </w:rPr>
  </w:style>
  <w:style w:type="character" w:customStyle="1" w:styleId="48">
    <w:name w:val="脚注文本 字符"/>
    <w:basedOn w:val="33"/>
    <w:link w:val="24"/>
    <w:autoRedefine/>
    <w:semiHidden/>
    <w:qFormat/>
    <w:uiPriority w:val="0"/>
    <w:rPr>
      <w:rFonts w:ascii="Times New Roman" w:hAnsi="Times New Roman" w:eastAsia="宋体" w:cs="Times New Roman"/>
      <w:kern w:val="2"/>
      <w:sz w:val="18"/>
      <w:szCs w:val="18"/>
      <w:lang w:eastAsia="zh-CN"/>
    </w:rPr>
  </w:style>
  <w:style w:type="character" w:customStyle="1" w:styleId="49">
    <w:name w:val="批注文字 字符"/>
    <w:basedOn w:val="33"/>
    <w:link w:val="11"/>
    <w:autoRedefine/>
    <w:qFormat/>
    <w:uiPriority w:val="0"/>
    <w:rPr>
      <w:rFonts w:ascii="宋体" w:hAnsi="宋体" w:eastAsia="宋体" w:cs="宋体"/>
    </w:rPr>
  </w:style>
  <w:style w:type="character" w:customStyle="1" w:styleId="50">
    <w:name w:val="正文文本缩进 字符"/>
    <w:basedOn w:val="33"/>
    <w:link w:val="13"/>
    <w:autoRedefine/>
    <w:semiHidden/>
    <w:qFormat/>
    <w:uiPriority w:val="99"/>
    <w:rPr>
      <w:rFonts w:ascii="宋体" w:hAnsi="宋体" w:eastAsia="宋体" w:cs="宋体"/>
    </w:rPr>
  </w:style>
  <w:style w:type="character" w:customStyle="1" w:styleId="51">
    <w:name w:val="正文首行缩进 2 字符"/>
    <w:basedOn w:val="50"/>
    <w:link w:val="30"/>
    <w:autoRedefine/>
    <w:qFormat/>
    <w:uiPriority w:val="99"/>
    <w:rPr>
      <w:rFonts w:ascii="宋体" w:hAnsi="宋体" w:eastAsia="宋体" w:cs="宋体"/>
    </w:rPr>
  </w:style>
  <w:style w:type="character" w:customStyle="1" w:styleId="52">
    <w:name w:val="批注主题 字符"/>
    <w:basedOn w:val="49"/>
    <w:link w:val="29"/>
    <w:autoRedefine/>
    <w:qFormat/>
    <w:uiPriority w:val="0"/>
    <w:rPr>
      <w:rFonts w:ascii="宋体" w:hAnsi="宋体" w:eastAsia="宋体" w:cs="宋体"/>
      <w:b/>
      <w:bCs/>
    </w:rPr>
  </w:style>
  <w:style w:type="paragraph" w:customStyle="1" w:styleId="53">
    <w:name w:val="TOC 标题1"/>
    <w:basedOn w:val="4"/>
    <w:next w:val="1"/>
    <w:autoRedefine/>
    <w:unhideWhenUsed/>
    <w:qFormat/>
    <w:uiPriority w:val="39"/>
    <w:pPr>
      <w:keepNext/>
      <w:keepLines/>
      <w:widowControl/>
      <w:autoSpaceDE/>
      <w:autoSpaceDN/>
      <w:spacing w:before="240" w:line="259" w:lineRule="auto"/>
      <w:jc w:val="left"/>
      <w:outlineLvl w:val="9"/>
    </w:pPr>
    <w:rPr>
      <w:rFonts w:asciiTheme="majorHAnsi" w:hAnsiTheme="majorHAnsi" w:eastAsiaTheme="majorEastAsia" w:cstheme="majorBidi"/>
      <w:color w:val="376092" w:themeColor="accent1" w:themeShade="BF"/>
    </w:rPr>
  </w:style>
  <w:style w:type="character" w:customStyle="1" w:styleId="54">
    <w:name w:val="未处理的提及1"/>
    <w:basedOn w:val="33"/>
    <w:autoRedefine/>
    <w:semiHidden/>
    <w:unhideWhenUsed/>
    <w:qFormat/>
    <w:uiPriority w:val="99"/>
    <w:rPr>
      <w:color w:val="605E5C"/>
      <w:shd w:val="clear" w:color="auto" w:fill="E1DFDD"/>
    </w:rPr>
  </w:style>
  <w:style w:type="character" w:customStyle="1" w:styleId="55">
    <w:name w:val="批注框文本 字符"/>
    <w:basedOn w:val="33"/>
    <w:link w:val="19"/>
    <w:autoRedefine/>
    <w:qFormat/>
    <w:uiPriority w:val="0"/>
    <w:rPr>
      <w:rFonts w:ascii="宋体" w:hAnsi="宋体" w:eastAsia="宋体" w:cs="宋体"/>
      <w:sz w:val="18"/>
      <w:szCs w:val="18"/>
    </w:rPr>
  </w:style>
  <w:style w:type="paragraph" w:customStyle="1" w:styleId="56">
    <w:name w:val="修订1"/>
    <w:autoRedefine/>
    <w:hidden/>
    <w:semiHidden/>
    <w:qFormat/>
    <w:uiPriority w:val="99"/>
    <w:rPr>
      <w:rFonts w:ascii="宋体" w:hAnsi="宋体" w:eastAsia="宋体" w:cs="宋体"/>
      <w:sz w:val="22"/>
      <w:szCs w:val="22"/>
      <w:lang w:val="en-US" w:eastAsia="en-US" w:bidi="ar-SA"/>
    </w:rPr>
  </w:style>
  <w:style w:type="character" w:customStyle="1" w:styleId="57">
    <w:name w:val="未处理的提及2"/>
    <w:basedOn w:val="33"/>
    <w:autoRedefine/>
    <w:semiHidden/>
    <w:unhideWhenUsed/>
    <w:qFormat/>
    <w:uiPriority w:val="99"/>
    <w:rPr>
      <w:color w:val="605E5C"/>
      <w:shd w:val="clear" w:color="auto" w:fill="E1DFDD"/>
    </w:rPr>
  </w:style>
  <w:style w:type="character" w:customStyle="1" w:styleId="58">
    <w:name w:val="纯文本 字符"/>
    <w:link w:val="2"/>
    <w:autoRedefine/>
    <w:qFormat/>
    <w:uiPriority w:val="0"/>
    <w:rPr>
      <w:rFonts w:ascii="宋体" w:hAnsi="Courier New" w:eastAsia="宋体"/>
      <w:kern w:val="2"/>
      <w:sz w:val="24"/>
      <w:szCs w:val="24"/>
      <w:lang w:eastAsia="zh-CN"/>
    </w:rPr>
  </w:style>
  <w:style w:type="character" w:customStyle="1" w:styleId="59">
    <w:name w:val="纯文本 字符1"/>
    <w:basedOn w:val="33"/>
    <w:autoRedefine/>
    <w:semiHidden/>
    <w:qFormat/>
    <w:uiPriority w:val="99"/>
    <w:rPr>
      <w:rFonts w:hAnsi="Courier New" w:cs="Courier New" w:asciiTheme="minorEastAsia"/>
    </w:rPr>
  </w:style>
  <w:style w:type="character" w:customStyle="1" w:styleId="60">
    <w:name w:val="未处理的提及3"/>
    <w:basedOn w:val="33"/>
    <w:autoRedefine/>
    <w:semiHidden/>
    <w:unhideWhenUsed/>
    <w:qFormat/>
    <w:uiPriority w:val="99"/>
    <w:rPr>
      <w:color w:val="605E5C"/>
      <w:shd w:val="clear" w:color="auto" w:fill="E1DFDD"/>
    </w:rPr>
  </w:style>
  <w:style w:type="paragraph" w:customStyle="1" w:styleId="61">
    <w:name w:val="正文_小四1.5行距首行空俩格"/>
    <w:basedOn w:val="1"/>
    <w:autoRedefine/>
    <w:qFormat/>
    <w:uiPriority w:val="0"/>
    <w:pPr>
      <w:autoSpaceDE/>
      <w:autoSpaceDN/>
      <w:spacing w:line="360" w:lineRule="auto"/>
      <w:ind w:firstLine="640" w:firstLineChars="200"/>
    </w:pPr>
    <w:rPr>
      <w:rFonts w:asciiTheme="minorHAnsi" w:hAnsiTheme="minorHAnsi" w:cstheme="minorBidi"/>
      <w:kern w:val="2"/>
      <w:sz w:val="24"/>
      <w:szCs w:val="24"/>
      <w:lang w:eastAsia="zh-CN"/>
    </w:rPr>
  </w:style>
  <w:style w:type="character" w:customStyle="1" w:styleId="62">
    <w:name w:val="日期 字符"/>
    <w:basedOn w:val="33"/>
    <w:link w:val="18"/>
    <w:autoRedefine/>
    <w:semiHidden/>
    <w:qFormat/>
    <w:uiPriority w:val="99"/>
    <w:rPr>
      <w:rFonts w:ascii="宋体" w:hAnsi="宋体" w:eastAsia="宋体" w:cs="宋体"/>
    </w:rPr>
  </w:style>
  <w:style w:type="character" w:customStyle="1" w:styleId="63">
    <w:name w:val="正文缩进 字符"/>
    <w:link w:val="10"/>
    <w:autoRedefine/>
    <w:qFormat/>
    <w:locked/>
    <w:uiPriority w:val="0"/>
    <w:rPr>
      <w:rFonts w:ascii="Abadi MT Condensed Light" w:hAnsi="Abadi MT Condensed Light" w:eastAsia="仿宋_GB2312" w:cs="Times New Roman"/>
      <w:kern w:val="2"/>
      <w:sz w:val="10"/>
      <w:szCs w:val="20"/>
      <w:lang w:eastAsia="zh-CN"/>
    </w:rPr>
  </w:style>
  <w:style w:type="paragraph" w:customStyle="1" w:styleId="64">
    <w:name w:val="列表段落1"/>
    <w:basedOn w:val="1"/>
    <w:autoRedefine/>
    <w:qFormat/>
    <w:uiPriority w:val="34"/>
    <w:pPr>
      <w:autoSpaceDE/>
      <w:autoSpaceDN/>
      <w:ind w:firstLine="420" w:firstLineChars="200"/>
      <w:jc w:val="both"/>
    </w:pPr>
    <w:rPr>
      <w:rFonts w:ascii="Calibri" w:hAnsi="Calibri" w:cs="Times New Roman"/>
      <w:kern w:val="2"/>
      <w:sz w:val="21"/>
      <w:lang w:eastAsia="zh-CN"/>
    </w:rPr>
  </w:style>
  <w:style w:type="paragraph" w:customStyle="1" w:styleId="65">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66">
    <w:name w:val="MsoBodyText"/>
    <w:basedOn w:val="1"/>
    <w:autoRedefine/>
    <w:qFormat/>
    <w:uiPriority w:val="0"/>
    <w:pPr>
      <w:widowControl/>
      <w:autoSpaceDE/>
      <w:autoSpaceDN/>
    </w:pPr>
    <w:rPr>
      <w:rFonts w:ascii="Times New Roman" w:hAnsi="Times New Roman" w:cs="Times New Roman" w:eastAsiaTheme="minorEastAsia"/>
      <w:sz w:val="24"/>
      <w:szCs w:val="24"/>
      <w:lang w:eastAsia="zh-CN"/>
    </w:rPr>
  </w:style>
  <w:style w:type="table" w:customStyle="1" w:styleId="67">
    <w:name w:val="MsoNormalTable"/>
    <w:basedOn w:val="31"/>
    <w:autoRedefine/>
    <w:qFormat/>
    <w:uiPriority w:val="0"/>
  </w:style>
  <w:style w:type="paragraph" w:customStyle="1" w:styleId="68">
    <w:name w:val="MsoNormal"/>
    <w:basedOn w:val="1"/>
    <w:autoRedefine/>
    <w:qFormat/>
    <w:uiPriority w:val="0"/>
    <w:pPr>
      <w:widowControl/>
      <w:autoSpaceDE/>
      <w:autoSpaceDN/>
    </w:pPr>
    <w:rPr>
      <w:rFonts w:ascii="Times New Roman" w:hAnsi="Times New Roman" w:cs="Times New Roman" w:eastAsiaTheme="minorEastAsia"/>
      <w:sz w:val="24"/>
      <w:szCs w:val="24"/>
      <w:lang w:eastAsia="zh-CN"/>
    </w:rPr>
  </w:style>
  <w:style w:type="paragraph" w:customStyle="1" w:styleId="69">
    <w:name w:val="正文1"/>
    <w:basedOn w:val="1"/>
    <w:autoRedefine/>
    <w:qFormat/>
    <w:uiPriority w:val="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paragraph" w:customStyle="1" w:styleId="70">
    <w:name w:val="正文 A"/>
    <w:autoRedefine/>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71">
    <w:name w:val="reader-word-layer"/>
    <w:basedOn w:val="1"/>
    <w:autoRedefine/>
    <w:qFormat/>
    <w:uiPriority w:val="0"/>
    <w:pPr>
      <w:widowControl/>
      <w:autoSpaceDE/>
      <w:autoSpaceDN/>
      <w:spacing w:before="100" w:beforeAutospacing="1" w:after="100" w:afterAutospacing="1"/>
    </w:pPr>
    <w:rPr>
      <w:sz w:val="24"/>
      <w:szCs w:val="24"/>
      <w:lang w:eastAsia="zh-CN"/>
    </w:rPr>
  </w:style>
  <w:style w:type="paragraph" w:customStyle="1" w:styleId="72">
    <w:name w:val="0正文"/>
    <w:autoRedefine/>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73">
    <w:name w:val="font31"/>
    <w:basedOn w:val="33"/>
    <w:autoRedefine/>
    <w:qFormat/>
    <w:uiPriority w:val="0"/>
    <w:rPr>
      <w:rFonts w:hint="eastAsia" w:ascii="宋体" w:hAnsi="宋体" w:eastAsia="宋体" w:cs="宋体"/>
      <w:color w:val="FF0000"/>
      <w:sz w:val="22"/>
      <w:szCs w:val="22"/>
      <w:u w:val="none"/>
    </w:rPr>
  </w:style>
  <w:style w:type="character" w:customStyle="1" w:styleId="74">
    <w:name w:val="font11"/>
    <w:basedOn w:val="33"/>
    <w:autoRedefine/>
    <w:qFormat/>
    <w:uiPriority w:val="0"/>
    <w:rPr>
      <w:rFonts w:hint="eastAsia" w:ascii="宋体" w:hAnsi="宋体" w:eastAsia="宋体" w:cs="宋体"/>
      <w:color w:val="000000"/>
      <w:sz w:val="22"/>
      <w:szCs w:val="22"/>
      <w:u w:val="none"/>
    </w:rPr>
  </w:style>
  <w:style w:type="character" w:customStyle="1" w:styleId="75">
    <w:name w:val="font21"/>
    <w:basedOn w:val="33"/>
    <w:autoRedefine/>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emf"/><Relationship Id="rId27" Type="http://schemas.openxmlformats.org/officeDocument/2006/relationships/image" Target="media/image20.png"/><Relationship Id="rId26" Type="http://schemas.openxmlformats.org/officeDocument/2006/relationships/image" Target="media/image19.emf"/><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emf"/><Relationship Id="rId22" Type="http://schemas.openxmlformats.org/officeDocument/2006/relationships/image" Target="media/image15.png"/><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70E40B-1795-44DD-AE60-F275A41EB25B}">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87</Pages>
  <Words>43127</Words>
  <Characters>46127</Characters>
  <Lines>399</Lines>
  <Paragraphs>112</Paragraphs>
  <TotalTime>0</TotalTime>
  <ScaleCrop>false</ScaleCrop>
  <LinksUpToDate>false</LinksUpToDate>
  <CharactersWithSpaces>47633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2022-10-19T02:08:00Z</dcterms:created>
  <dc:creator>毛雪梅</dc:creator>
  <cp:lastModifiedBy>白鹿</cp:lastModifiedBy>
  <cp:lastPrinted>2024-06-11T01:21:00Z</cp:lastPrinted>
  <dcterms:modified xsi:type="dcterms:W3CDTF">2024-08-13T00:27:54Z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2052-12.1.0.16929</vt:lpwstr>
  </property>
  <property fmtid="{D5CDD505-2E9C-101B-9397-08002B2CF9AE}" pid="6" name="ICV">
    <vt:lpwstr>CE71964BB7194AC2837025E14CDAF085_13</vt:lpwstr>
  </property>
</Properties>
</file>