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23</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w:t>
      </w:r>
      <w:r>
        <w:rPr>
          <w:rFonts w:hint="eastAsia"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eastAsia="zh-CN"/>
        </w:rPr>
        <w:t>中粮北海糖业工厂汽轮机转子运输询价项目进行询比采购，请各供应商根据项目要求进行报名报价。具体要求如下：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2"/>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21"/>
        <w:gridCol w:w="1766"/>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sz w:val="24"/>
                <w:szCs w:val="32"/>
                <w:lang w:eastAsia="zh-CN"/>
              </w:rPr>
              <w:t>物资描述</w:t>
            </w:r>
          </w:p>
        </w:tc>
        <w:tc>
          <w:tcPr>
            <w:tcW w:w="2121"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sz w:val="24"/>
                <w:szCs w:val="32"/>
                <w:lang w:eastAsia="zh-CN"/>
              </w:rPr>
              <w:t>起始地</w:t>
            </w:r>
          </w:p>
        </w:tc>
        <w:tc>
          <w:tcPr>
            <w:tcW w:w="1766" w:type="dxa"/>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sz w:val="24"/>
                <w:szCs w:val="32"/>
              </w:rPr>
              <w:t>目的地</w:t>
            </w:r>
          </w:p>
        </w:tc>
        <w:tc>
          <w:tcPr>
            <w:tcW w:w="675"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单位</w:t>
            </w:r>
          </w:p>
        </w:tc>
        <w:tc>
          <w:tcPr>
            <w:tcW w:w="810"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数量</w:t>
            </w:r>
          </w:p>
        </w:tc>
        <w:tc>
          <w:tcPr>
            <w:tcW w:w="1110"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增值税专用发票税率</w:t>
            </w:r>
          </w:p>
        </w:tc>
        <w:tc>
          <w:tcPr>
            <w:tcW w:w="855" w:type="dxa"/>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eastAsia="zh-CN"/>
              </w:rPr>
              <w:t>含税</w:t>
            </w:r>
            <w:r>
              <w:rPr>
                <w:rFonts w:hint="eastAsia" w:ascii="仿宋_GB2312" w:hAnsi="仿宋_GB2312" w:eastAsia="仿宋_GB2312" w:cs="仿宋_GB2312"/>
                <w:color w:val="auto"/>
                <w:sz w:val="24"/>
                <w:szCs w:val="32"/>
              </w:rPr>
              <w:t>单价</w:t>
            </w:r>
          </w:p>
        </w:tc>
        <w:tc>
          <w:tcPr>
            <w:tcW w:w="1200"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含税</w:t>
            </w:r>
            <w:r>
              <w:rPr>
                <w:rFonts w:hint="eastAsia" w:ascii="仿宋_GB2312" w:hAnsi="仿宋_GB2312" w:eastAsia="仿宋_GB2312" w:cs="仿宋_GB2312"/>
                <w:color w:val="auto"/>
                <w:sz w:val="24"/>
                <w:szCs w:val="32"/>
              </w:rPr>
              <w:t>金额</w:t>
            </w:r>
            <w:r>
              <w:rPr>
                <w:rFonts w:hint="eastAsia" w:ascii="仿宋_GB2312" w:hAnsi="仿宋_GB2312" w:eastAsia="仿宋_GB2312" w:cs="仿宋_GB2312"/>
                <w:color w:val="auto"/>
                <w:sz w:val="24"/>
                <w:szCs w:val="32"/>
                <w:lang w:eastAsia="zh-CN"/>
              </w:rPr>
              <w:t>（元）</w:t>
            </w:r>
          </w:p>
        </w:tc>
        <w:tc>
          <w:tcPr>
            <w:tcW w:w="1366" w:type="dxa"/>
            <w:vAlign w:val="center"/>
          </w:tcPr>
          <w:p>
            <w:pPr>
              <w:jc w:val="center"/>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center"/>
              <w:textAlignment w:val="bottom"/>
              <w:rPr>
                <w:rFonts w:hint="default" w:eastAsia="仿宋_GB2312" w:cs="Times New Roman"/>
                <w:color w:val="auto"/>
                <w:kern w:val="2"/>
                <w:sz w:val="24"/>
                <w:szCs w:val="24"/>
                <w:lang w:val="en-US" w:eastAsia="zh-CN" w:bidi="ar-SA"/>
              </w:rPr>
            </w:pPr>
            <w:r>
              <w:rPr>
                <w:rFonts w:hint="eastAsia" w:ascii="Arial" w:hAnsi="Arial" w:cs="Arial"/>
                <w:i w:val="0"/>
                <w:color w:val="000000"/>
                <w:kern w:val="0"/>
                <w:sz w:val="20"/>
                <w:szCs w:val="20"/>
                <w:u w:val="none"/>
                <w:lang w:val="en-US" w:eastAsia="zh-CN" w:bidi="ar"/>
              </w:rPr>
              <w:t>汽轮机转子</w:t>
            </w:r>
          </w:p>
        </w:tc>
        <w:tc>
          <w:tcPr>
            <w:tcW w:w="2121" w:type="dxa"/>
            <w:vAlign w:val="center"/>
          </w:tcPr>
          <w:p>
            <w:pPr>
              <w:keepNext w:val="0"/>
              <w:keepLines w:val="0"/>
              <w:widowControl/>
              <w:suppressLineNumbers w:val="0"/>
              <w:jc w:val="left"/>
              <w:textAlignment w:val="center"/>
              <w:rPr>
                <w:rFonts w:hint="eastAsia" w:eastAsia="仿宋_GB2312" w:cs="Times New Roman"/>
                <w:color w:val="auto"/>
                <w:kern w:val="2"/>
                <w:sz w:val="24"/>
                <w:szCs w:val="24"/>
                <w:lang w:val="en-US" w:eastAsia="zh-CN" w:bidi="ar-SA"/>
              </w:rPr>
            </w:pPr>
            <w:r>
              <w:rPr>
                <w:rFonts w:ascii="Arial" w:hAnsi="Arial" w:eastAsia="宋体" w:cs="Arial"/>
                <w:i w:val="0"/>
                <w:caps w:val="0"/>
                <w:color w:val="333333"/>
                <w:spacing w:val="0"/>
                <w:sz w:val="19"/>
                <w:szCs w:val="19"/>
                <w:shd w:val="clear" w:fill="FFFFFF"/>
              </w:rPr>
              <w:t>四川省德阳市高新技术产业园区金沙江西路666号</w:t>
            </w:r>
            <w:r>
              <w:rPr>
                <w:rFonts w:hint="eastAsia" w:ascii="宋体" w:hAnsi="宋体" w:cs="宋体"/>
                <w:i w:val="0"/>
                <w:color w:val="000000"/>
                <w:kern w:val="0"/>
                <w:sz w:val="22"/>
                <w:szCs w:val="22"/>
                <w:u w:val="none"/>
                <w:lang w:val="en-US" w:eastAsia="zh-CN" w:bidi="ar"/>
              </w:rPr>
              <w:t>（东方电气集团东方汽轮机有限公司）</w:t>
            </w:r>
          </w:p>
        </w:tc>
        <w:tc>
          <w:tcPr>
            <w:tcW w:w="1766" w:type="dxa"/>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北海市铁山港区南康镇富康路166号</w:t>
            </w:r>
            <w:r>
              <w:rPr>
                <w:rFonts w:hint="eastAsia" w:ascii="宋体" w:hAnsi="宋体" w:cs="宋体"/>
                <w:i w:val="0"/>
                <w:color w:val="000000"/>
                <w:kern w:val="0"/>
                <w:sz w:val="22"/>
                <w:szCs w:val="22"/>
                <w:u w:val="none"/>
                <w:lang w:val="en-US" w:eastAsia="zh-CN" w:bidi="ar"/>
              </w:rPr>
              <w:t>（中粮北海糖业有限公司工厂内）</w:t>
            </w:r>
          </w:p>
        </w:tc>
        <w:tc>
          <w:tcPr>
            <w:tcW w:w="675" w:type="dxa"/>
            <w:vAlign w:val="top"/>
          </w:tcPr>
          <w:p>
            <w:pPr>
              <w:keepNext w:val="0"/>
              <w:keepLines w:val="0"/>
              <w:widowControl/>
              <w:suppressLineNumbers w:val="0"/>
              <w:jc w:val="center"/>
              <w:textAlignment w:val="top"/>
              <w:rPr>
                <w:rFonts w:hint="eastAsia"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项</w:t>
            </w:r>
          </w:p>
        </w:tc>
        <w:tc>
          <w:tcPr>
            <w:tcW w:w="810" w:type="dxa"/>
            <w:vAlign w:val="top"/>
          </w:tcPr>
          <w:p>
            <w:pPr>
              <w:keepNext w:val="0"/>
              <w:keepLines w:val="0"/>
              <w:widowControl/>
              <w:suppressLineNumbers w:val="0"/>
              <w:jc w:val="center"/>
              <w:textAlignment w:val="top"/>
              <w:rPr>
                <w:rFonts w:hint="default"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1</w:t>
            </w:r>
          </w:p>
        </w:tc>
        <w:tc>
          <w:tcPr>
            <w:tcW w:w="1110" w:type="dxa"/>
            <w:vAlign w:val="top"/>
          </w:tcPr>
          <w:p>
            <w:pPr>
              <w:jc w:val="center"/>
              <w:rPr>
                <w:rFonts w:hint="eastAsia" w:eastAsia="仿宋_GB2312" w:cs="Times New Roman"/>
                <w:color w:val="auto"/>
                <w:kern w:val="2"/>
                <w:sz w:val="24"/>
                <w:szCs w:val="24"/>
                <w:lang w:val="en-US" w:eastAsia="zh-CN" w:bidi="ar-SA"/>
              </w:rPr>
            </w:pPr>
          </w:p>
        </w:tc>
        <w:tc>
          <w:tcPr>
            <w:tcW w:w="855" w:type="dxa"/>
            <w:vAlign w:val="top"/>
          </w:tcPr>
          <w:p>
            <w:pPr>
              <w:jc w:val="center"/>
              <w:rPr>
                <w:rFonts w:hint="eastAsia" w:eastAsia="仿宋_GB2312" w:cs="Times New Roman"/>
                <w:color w:val="auto"/>
                <w:kern w:val="2"/>
                <w:sz w:val="24"/>
                <w:szCs w:val="24"/>
                <w:lang w:val="en-US" w:eastAsia="zh-CN" w:bidi="ar-SA"/>
              </w:rPr>
            </w:pPr>
          </w:p>
        </w:tc>
        <w:tc>
          <w:tcPr>
            <w:tcW w:w="1200" w:type="dxa"/>
            <w:vAlign w:val="center"/>
          </w:tcPr>
          <w:p>
            <w:pPr>
              <w:jc w:val="right"/>
              <w:rPr>
                <w:rFonts w:hint="eastAsia" w:eastAsia="仿宋_GB2312" w:cs="Times New Roman"/>
                <w:color w:val="auto"/>
                <w:kern w:val="2"/>
                <w:sz w:val="24"/>
                <w:szCs w:val="24"/>
                <w:lang w:val="en-US" w:eastAsia="zh-CN" w:bidi="ar-SA"/>
              </w:rPr>
            </w:pPr>
          </w:p>
        </w:tc>
        <w:tc>
          <w:tcPr>
            <w:tcW w:w="1366" w:type="dxa"/>
            <w:vAlign w:val="top"/>
          </w:tcPr>
          <w:p>
            <w:pPr>
              <w:numPr>
                <w:ilvl w:val="0"/>
                <w:numId w:val="0"/>
              </w:numPr>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1.单程运输</w:t>
            </w:r>
          </w:p>
          <w:p>
            <w:pPr>
              <w:numPr>
                <w:ilvl w:val="0"/>
                <w:numId w:val="0"/>
              </w:numPr>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2.乙方提供合适运输车辆</w:t>
            </w:r>
          </w:p>
          <w:p>
            <w:pPr>
              <w:numPr>
                <w:ilvl w:val="0"/>
                <w:numId w:val="0"/>
              </w:numPr>
              <w:rPr>
                <w:rFonts w:hint="default"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3.汽轮机转子整体约长4，直径约1.3米，重量约4吨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eastAsia="仿宋_GB2312" w:cs="Times New Roman"/>
                <w:color w:val="auto"/>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eastAsia" w:eastAsia="仿宋_GB2312" w:cs="Times New Roman"/>
                <w:b/>
                <w:bCs/>
                <w:sz w:val="24"/>
                <w:lang w:eastAsia="zh-CN"/>
              </w:rPr>
              <w:t>人民币金额（大写）</w:t>
            </w:r>
            <w:r>
              <w:rPr>
                <w:rFonts w:hint="eastAsia" w:eastAsia="仿宋_GB2312" w:cs="Times New Roman"/>
                <w:b/>
                <w:bCs/>
                <w:sz w:val="24"/>
                <w:lang w:val="en-US" w:eastAsia="zh-CN"/>
              </w:rPr>
              <w:t xml:space="preserve"> </w:t>
            </w:r>
            <w:r>
              <w:rPr>
                <w:rFonts w:hint="eastAsia" w:eastAsia="仿宋_GB2312" w:cs="Times New Roman"/>
                <w:b/>
                <w:bCs/>
                <w:sz w:val="24"/>
                <w:lang w:eastAsia="zh-CN"/>
              </w:rPr>
              <w:t>元整</w:t>
            </w:r>
            <w:r>
              <w:rPr>
                <w:rFonts w:hint="eastAsia" w:eastAsia="仿宋_GB2312" w:cs="Times New Roman"/>
                <w:b/>
                <w:bCs/>
                <w:sz w:val="24"/>
                <w:lang w:val="en-US" w:eastAsia="zh-CN"/>
              </w:rPr>
              <w:t xml:space="preserve">                                          </w:t>
            </w:r>
            <w:r>
              <w:rPr>
                <w:rFonts w:hint="default" w:ascii="Arial" w:hAnsi="Arial" w:eastAsia="仿宋_GB2312" w:cs="Arial"/>
                <w:b/>
                <w:bCs/>
                <w:sz w:val="24"/>
                <w:szCs w:val="24"/>
                <w:lang w:val="en-US" w:eastAsia="zh-CN"/>
              </w:rPr>
              <w:t>¥</w:t>
            </w:r>
            <w:r>
              <w:rPr>
                <w:rFonts w:hint="eastAsia" w:ascii="Arial" w:hAnsi="Arial" w:eastAsia="仿宋_GB2312" w:cs="Arial"/>
                <w:b/>
                <w:bCs/>
                <w:sz w:val="24"/>
                <w:szCs w:val="24"/>
                <w:lang w:val="en-US" w:eastAsia="zh-CN"/>
              </w:rPr>
              <w:t xml:space="preserve"> 00.00</w:t>
            </w:r>
          </w:p>
        </w:tc>
      </w:tr>
    </w:tbl>
    <w:p>
      <w:pPr>
        <w:pStyle w:val="2"/>
        <w:rPr>
          <w:rFonts w:hint="default"/>
        </w:rPr>
      </w:pPr>
    </w:p>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 安全保证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在汽轮机转子运输过程中，需要保证货物的安全性。需要将货物放置在平稳的位置上，并使用特殊的固定装置将货物固定好。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 整车质量控制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汽轮机转子重量较大，在运输过程中需要严格控制整车的质量。还需要保证车辆在行驶、刹车、转弯等过程中的稳定性。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 路况风险控制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在汽轮机转子的运输过程中，需要注意当地的道路状况。同时需要严格控制车速，</w:t>
      </w:r>
      <w:r>
        <w:rPr>
          <w:rFonts w:hint="eastAsia" w:eastAsia="仿宋_GB2312" w:cs="Times New Roman"/>
          <w:color w:val="auto"/>
          <w:kern w:val="0"/>
          <w:sz w:val="32"/>
          <w:szCs w:val="32"/>
          <w:lang w:val="en-US" w:eastAsia="zh-CN"/>
        </w:rPr>
        <w:t>确保运输稳定</w:t>
      </w:r>
      <w:r>
        <w:rPr>
          <w:rFonts w:hint="default" w:ascii="Times New Roman" w:hAnsi="Times New Roman" w:eastAsia="仿宋_GB2312" w:cs="Times New Roman"/>
          <w:color w:val="auto"/>
          <w:kern w:val="0"/>
          <w:sz w:val="32"/>
          <w:szCs w:val="32"/>
          <w:lang w:eastAsia="zh-CN"/>
        </w:rPr>
        <w:t>。</w:t>
      </w:r>
    </w:p>
    <w:p>
      <w:pPr>
        <w:pStyle w:val="2"/>
        <w:numPr>
          <w:ilvl w:val="0"/>
          <w:numId w:val="2"/>
        </w:num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遵守法规</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eastAsia="zh-CN"/>
        </w:rPr>
        <w:t>在汽轮机转子的运输过程中</w:t>
      </w:r>
      <w:r>
        <w:rPr>
          <w:rFonts w:hint="default" w:ascii="Times New Roman" w:hAnsi="Times New Roman" w:eastAsia="仿宋_GB2312" w:cs="Times New Roman"/>
          <w:color w:val="auto"/>
          <w:kern w:val="0"/>
          <w:sz w:val="32"/>
          <w:szCs w:val="32"/>
          <w:lang w:val="en-US" w:eastAsia="zh-CN" w:bidi="ar-SA"/>
        </w:rPr>
        <w:t>，必须遵守相关的法规和规章制度</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遵守运输过程中的安全要求</w:t>
      </w:r>
      <w:r>
        <w:rPr>
          <w:rFonts w:hint="eastAsia" w:ascii="Times New Roman" w:hAnsi="Times New Roman" w:eastAsia="仿宋_GB2312" w:cs="Times New Roman"/>
          <w:color w:val="auto"/>
          <w:kern w:val="0"/>
          <w:sz w:val="32"/>
          <w:szCs w:val="32"/>
          <w:lang w:val="en-US" w:eastAsia="zh-CN" w:bidi="ar-SA"/>
        </w:rPr>
        <w:t>。</w:t>
      </w:r>
    </w:p>
    <w:p>
      <w:pPr>
        <w:pStyle w:val="2"/>
        <w:numPr>
          <w:ilvl w:val="0"/>
          <w:numId w:val="2"/>
        </w:numPr>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购买货物运输综合险。</w:t>
      </w:r>
    </w:p>
    <w:p>
      <w:pPr>
        <w:pStyle w:val="2"/>
        <w:numPr>
          <w:ilvl w:val="0"/>
          <w:numId w:val="2"/>
        </w:numPr>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成交单位如系统提示缴纳履约保证金的，应该缴纳履约保证金（原则不超过成交金额的10%）购买货物运输综合险。购买货物运输综合险。</w:t>
      </w:r>
    </w:p>
    <w:p>
      <w:pPr>
        <w:pStyle w:val="2"/>
        <w:numPr>
          <w:ilvl w:val="0"/>
          <w:numId w:val="2"/>
        </w:numPr>
        <w:ind w:firstLine="640" w:firstLineChars="200"/>
        <w:rPr>
          <w:rFonts w:hint="default"/>
          <w:lang w:val="en-US" w:eastAsia="zh-CN"/>
        </w:rPr>
      </w:pPr>
      <w:r>
        <w:rPr>
          <w:rFonts w:hint="eastAsia" w:eastAsia="仿宋_GB2312" w:cs="Times New Roman"/>
          <w:color w:val="auto"/>
          <w:kern w:val="0"/>
          <w:sz w:val="32"/>
          <w:szCs w:val="32"/>
          <w:lang w:val="en-US" w:eastAsia="zh-CN" w:bidi="ar-SA"/>
        </w:rPr>
        <w:t>交货地点为机电车间，</w:t>
      </w:r>
      <w:r>
        <w:rPr>
          <w:rFonts w:hint="eastAsia" w:eastAsia="仿宋_GB2312" w:cs="Times New Roman"/>
          <w:color w:val="auto"/>
          <w:kern w:val="0"/>
          <w:sz w:val="32"/>
          <w:szCs w:val="32"/>
          <w:lang w:val="en-US" w:eastAsia="zh-CN" w:bidi="ar-SA"/>
        </w:rPr>
        <w:t>车间门高2.5米，转子1.3高，供应商应运输车辆进入不了车间，需另提供合适车辆倒运进车间，费用乙方负责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val="en-US" w:eastAsia="zh-CN" w:bidi="ar-SA"/>
        </w:rPr>
        <w:t>北海市铁山港区南康镇富康路166号中粮北海糖业有限公司工厂</w:t>
      </w:r>
      <w:r>
        <w:rPr>
          <w:rFonts w:hint="eastAsia" w:eastAsia="仿宋_GB2312" w:cs="Times New Roman"/>
          <w:color w:val="auto"/>
          <w:kern w:val="0"/>
          <w:sz w:val="32"/>
          <w:szCs w:val="32"/>
          <w:lang w:val="en-US" w:eastAsia="zh-CN" w:bidi="ar-SA"/>
        </w:rPr>
        <w:t>机电车间内。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w:t>
      </w:r>
      <w:r>
        <w:rPr>
          <w:rFonts w:hint="eastAsia" w:ascii="仿宋_GB2312" w:hAnsi="黑体" w:eastAsia="仿宋_GB2312" w:cs="黑体"/>
          <w:color w:val="000000" w:themeColor="text1"/>
          <w:sz w:val="32"/>
          <w:szCs w:val="32"/>
          <w:lang w:val="en-US" w:eastAsia="zh-CN"/>
          <w14:textFill>
            <w14:solidFill>
              <w14:schemeClr w14:val="tx1"/>
            </w14:solidFill>
          </w14:textFill>
        </w:rPr>
        <w:t>后</w:t>
      </w:r>
      <w:r>
        <w:rPr>
          <w:rFonts w:hint="eastAsia" w:ascii="仿宋_GB2312" w:hAnsi="黑体" w:eastAsia="仿宋_GB2312" w:cs="黑体"/>
          <w:color w:val="000000" w:themeColor="text1"/>
          <w:sz w:val="32"/>
          <w:szCs w:val="32"/>
          <w:lang w:eastAsia="zh-CN"/>
          <w14:textFill>
            <w14:solidFill>
              <w14:schemeClr w14:val="tx1"/>
            </w14:solidFill>
          </w14:textFill>
        </w:rPr>
        <w:t>，供方依据入库结算单提供增值税专用发票挂帐后，需方按资金支付计划支付货款。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spacing w:line="440" w:lineRule="exact"/>
        <w:jc w:val="center"/>
        <w:rPr>
          <w:rFonts w:ascii="方正小标宋简体" w:eastAsia="方正小标宋简体" w:hAnsiTheme="majorEastAsia"/>
          <w:color w:val="000000" w:themeColor="text1"/>
          <w:sz w:val="36"/>
          <w:szCs w:val="36"/>
          <w14:textFill>
            <w14:solidFill>
              <w14:schemeClr w14:val="tx1"/>
            </w14:solidFill>
          </w14:textFill>
        </w:rPr>
      </w:pPr>
      <w:r>
        <w:rPr>
          <w:rFonts w:hint="eastAsia" w:ascii="方正小标宋简体" w:eastAsia="方正小标宋简体" w:hAnsiTheme="majorEastAsia"/>
          <w:color w:val="000000" w:themeColor="text1"/>
          <w:sz w:val="36"/>
          <w:szCs w:val="36"/>
          <w14:textFill>
            <w14:solidFill>
              <w14:schemeClr w14:val="tx1"/>
            </w14:solidFill>
          </w14:textFill>
        </w:rPr>
        <w:t>货物运输协议</w:t>
      </w:r>
    </w:p>
    <w:p>
      <w:pPr>
        <w:spacing w:line="440" w:lineRule="exact"/>
        <w:jc w:val="center"/>
        <w:rPr>
          <w:rFonts w:ascii="方正小标宋简体" w:eastAsia="方正小标宋简体" w:hAnsiTheme="majorEastAsia"/>
          <w:color w:val="000000" w:themeColor="text1"/>
          <w:sz w:val="15"/>
          <w:szCs w:val="36"/>
          <w14:textFill>
            <w14:solidFill>
              <w14:schemeClr w14:val="tx1"/>
            </w14:solidFill>
          </w14:textFill>
        </w:rPr>
      </w:pPr>
    </w:p>
    <w:p>
      <w:pPr>
        <w:wordWrap w:val="0"/>
        <w:spacing w:line="440" w:lineRule="exact"/>
        <w:ind w:right="84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b/>
          <w:color w:val="000000" w:themeColor="text1"/>
          <w:sz w:val="28"/>
          <w:szCs w:val="21"/>
          <w14:textFill>
            <w14:solidFill>
              <w14:schemeClr w14:val="tx1"/>
            </w14:solidFill>
          </w14:textFill>
        </w:rPr>
        <w:t>合同编号</w:t>
      </w:r>
      <w:r>
        <w:rPr>
          <w:rFonts w:hint="eastAsia" w:asciiTheme="majorEastAsia" w:hAnsiTheme="majorEastAsia" w:eastAsiaTheme="majorEastAsia"/>
          <w:color w:val="000000" w:themeColor="text1"/>
          <w:sz w:val="28"/>
          <w:szCs w:val="21"/>
          <w14:textFill>
            <w14:solidFill>
              <w14:schemeClr w14:val="tx1"/>
            </w14:solidFill>
          </w14:textFill>
        </w:rPr>
        <w:t>：</w:t>
      </w:r>
      <w:r>
        <w:rPr>
          <w:rFonts w:hint="eastAsia" w:ascii="宋体" w:hAnsi="宋体"/>
          <w:sz w:val="24"/>
          <w:szCs w:val="24"/>
          <w:highlight w:val="yellow"/>
        </w:rPr>
        <w:t>[</w:t>
      </w:r>
      <w:bookmarkStart w:id="0" w:name="ContractCodeTitle"/>
      <w:r>
        <w:rPr>
          <w:rFonts w:hint="eastAsia" w:ascii="宋体" w:hAnsi="宋体"/>
          <w:sz w:val="24"/>
          <w:szCs w:val="24"/>
          <w:highlight w:val="yellow"/>
        </w:rPr>
        <w:t>--</w:t>
      </w:r>
      <w:bookmarkEnd w:id="0"/>
      <w:r>
        <w:rPr>
          <w:rFonts w:hint="eastAsia" w:ascii="宋体" w:hAnsi="宋体"/>
          <w:sz w:val="24"/>
          <w:szCs w:val="24"/>
          <w:highlight w:val="yellow"/>
        </w:rPr>
        <w:t>]</w:t>
      </w:r>
    </w:p>
    <w:p>
      <w:pPr>
        <w:spacing w:line="440" w:lineRule="exact"/>
        <w:jc w:val="center"/>
        <w:rPr>
          <w:rFonts w:asciiTheme="majorEastAsia" w:hAnsiTheme="majorEastAsia" w:eastAsiaTheme="majorEastAsia"/>
          <w:color w:val="000000" w:themeColor="text1"/>
          <w:sz w:val="44"/>
          <w:szCs w:val="44"/>
          <w14:textFill>
            <w14:solidFill>
              <w14:schemeClr w14:val="tx1"/>
            </w14:solidFill>
          </w14:textFill>
        </w:rPr>
      </w:pPr>
    </w:p>
    <w:p>
      <w:pPr>
        <w:spacing w:line="44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甲方（委托方）：</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乙方（受托方）：</w:t>
      </w:r>
      <w:r>
        <w:rPr>
          <w:rFonts w:hint="eastAsia" w:ascii="宋体" w:hAnsi="宋体"/>
          <w:sz w:val="24"/>
          <w:szCs w:val="24"/>
          <w:highlight w:val="yellow"/>
        </w:rPr>
        <w:t>[</w:t>
      </w:r>
      <w:bookmarkStart w:id="1" w:name="SupplierName"/>
      <w:r>
        <w:rPr>
          <w:rFonts w:hint="eastAsia" w:ascii="宋体" w:hAnsi="宋体"/>
          <w:sz w:val="24"/>
          <w:szCs w:val="24"/>
          <w:highlight w:val="yellow"/>
          <w:u w:val="single"/>
        </w:rPr>
        <w:t>----------</w:t>
      </w:r>
      <w:bookmarkEnd w:id="1"/>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为保证</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运输质量，明确双方权利、义务和责任，甲乙双方在平等、自愿的原则下协商签订以下协议。</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一、甲方委托乙方为</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运输货物承运单位，</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承运的物品为：</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二、承运路线、数量、品牌及运费：</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路线：</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至</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品牌（品种）：</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等级：</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货物规格：</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数量：（以到达数量为准，同时，甲方有权根据实际需求对运输货物的数量进行调整）</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运费：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提货人：</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收货人：</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三、甲方应尽的责任和义务：</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1、甲方将发运计划以书面形式告知乙方后，如在申报计划过程中，出现发错站，装错货物等事件，由对应出错方承担责任。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2、甲方不能交付禁运品及货物内夹带危险品给乙方，否则甲方承担一切责任。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四、乙方应尽的责任与义务：</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1、乙方应甲方要求及时、安全、准确地派车将</w:t>
      </w:r>
      <w:r>
        <w:rPr>
          <w:rFonts w:hint="eastAsia" w:ascii="仿宋_GB2312" w:eastAsia="仿宋_GB2312" w:hAnsiTheme="minorEastAsia"/>
          <w:color w:val="000000" w:themeColor="text1"/>
          <w:sz w:val="32"/>
          <w:szCs w:val="32"/>
          <w:lang w:val="en-US" w:eastAsia="zh-CN"/>
          <w14:textFill>
            <w14:solidFill>
              <w14:schemeClr w14:val="tx1"/>
            </w14:solidFill>
          </w14:textFill>
        </w:rPr>
        <w:t>物资</w:t>
      </w:r>
      <w:r>
        <w:rPr>
          <w:rFonts w:hint="eastAsia" w:ascii="仿宋_GB2312" w:eastAsia="仿宋_GB2312" w:hAnsiTheme="minorEastAsia"/>
          <w:color w:val="000000" w:themeColor="text1"/>
          <w:sz w:val="32"/>
          <w:szCs w:val="32"/>
          <w14:textFill>
            <w14:solidFill>
              <w14:schemeClr w14:val="tx1"/>
            </w14:solidFill>
          </w14:textFill>
        </w:rPr>
        <w:t>送到指定</w:t>
      </w:r>
      <w:r>
        <w:rPr>
          <w:rFonts w:hint="eastAsia" w:ascii="仿宋_GB2312" w:eastAsia="仿宋_GB2312" w:hAnsiTheme="minorEastAsia"/>
          <w:color w:val="000000" w:themeColor="text1"/>
          <w:sz w:val="32"/>
          <w:szCs w:val="32"/>
          <w:lang w:val="en-US" w:eastAsia="zh-CN"/>
          <w14:textFill>
            <w14:solidFill>
              <w14:schemeClr w14:val="tx1"/>
            </w14:solidFill>
          </w14:textFill>
        </w:rPr>
        <w:t>地址</w:t>
      </w:r>
      <w:r>
        <w:rPr>
          <w:rFonts w:hint="eastAsia" w:ascii="仿宋_GB2312" w:eastAsia="仿宋_GB2312" w:hAnsiTheme="minorEastAsia"/>
          <w:color w:val="000000" w:themeColor="text1"/>
          <w:sz w:val="32"/>
          <w:szCs w:val="32"/>
          <w14:textFill>
            <w14:solidFill>
              <w14:schemeClr w14:val="tx1"/>
            </w14:solidFill>
          </w14:textFill>
        </w:rPr>
        <w:t>卸货</w:t>
      </w:r>
      <w:r>
        <w:rPr>
          <w:rFonts w:hint="eastAsia" w:ascii="仿宋_GB2312" w:eastAsia="仿宋_GB2312"/>
          <w:color w:val="000000" w:themeColor="text1"/>
          <w:sz w:val="32"/>
          <w:szCs w:val="32"/>
          <w14:textFill>
            <w14:solidFill>
              <w14:schemeClr w14:val="tx1"/>
            </w14:solidFill>
          </w14:textFill>
        </w:rPr>
        <w:t>。</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须提供车况良好、手续齐全的车辆运输甲方货物，并且办理正规运输手续证明，驾驶人员具有合法、真实、有效的相应资质证件。在运输途中，如发生交通事故造成甲方货物受损、灭失、丢失或者第三人人身损害等情形的，所有损失均由乙方承担并负责赔偿，甲方不承担任何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3、在运输过程中，如因乙方及车辆自身原因被第三方管制车辆，乙方应当及时通知甲方，此期间造成甲方的一切损失均由乙方承担。如甲方货物丢失，乙方必须按照当时市场价格全额赔偿甲方。</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4、乙方驾驶员不得在未经甲方允许的情况下私自开箱破封，如发现偷盗行为成立，乙方应立即通知甲方并报予当地公安机关进行处理，若因此给甲方造成损失的，乙方应承担全部赔偿责任。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5、货到目的站无破封开箱，出现货物短少、破包</w:t>
      </w:r>
      <w:r>
        <w:rPr>
          <w:rFonts w:hint="eastAsia" w:ascii="仿宋_GB2312" w:eastAsia="仿宋_GB2312" w:hAnsiTheme="minorEastAsia"/>
          <w:color w:val="000000" w:themeColor="text1"/>
          <w:sz w:val="32"/>
          <w:szCs w:val="32"/>
          <w:lang w:val="en-US" w:eastAsia="zh-CN"/>
          <w14:textFill>
            <w14:solidFill>
              <w14:schemeClr w14:val="tx1"/>
            </w14:solidFill>
          </w14:textFill>
        </w:rPr>
        <w:t>等</w:t>
      </w:r>
      <w:r>
        <w:rPr>
          <w:rFonts w:hint="eastAsia" w:ascii="仿宋_GB2312" w:eastAsia="仿宋_GB2312" w:hAnsiTheme="minorEastAsia"/>
          <w:color w:val="000000" w:themeColor="text1"/>
          <w:sz w:val="32"/>
          <w:szCs w:val="32"/>
          <w14:textFill>
            <w14:solidFill>
              <w14:schemeClr w14:val="tx1"/>
            </w14:solidFill>
          </w14:textFill>
        </w:rPr>
        <w:t>问题，乙方做好记录并对问题包单独存放及时通知甲方。</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6、乙方货物发出后，应将箱号及时反馈给甲方，将领货凭证及时寄往甲方指定收件人。</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7、甲方有权派人员到卸货点监卸。</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五、结算方式：</w:t>
      </w:r>
    </w:p>
    <w:p>
      <w:pPr>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货物按约送达后，乙方出具结算清单给甲方，待甲方审核确认并签字后，乙方再开具</w:t>
      </w:r>
      <w:r>
        <w:rPr>
          <w:rFonts w:hint="eastAsia" w:ascii="仿宋_GB2312" w:eastAsia="仿宋_GB2312"/>
          <w:color w:val="000000" w:themeColor="text1"/>
          <w:sz w:val="32"/>
          <w:szCs w:val="32"/>
          <w14:textFill>
            <w14:solidFill>
              <w14:schemeClr w14:val="tx1"/>
            </w14:solidFill>
          </w14:textFill>
        </w:rPr>
        <w:t>税率为</w:t>
      </w:r>
      <w:r>
        <w:rPr>
          <w:rFonts w:hint="eastAsia" w:ascii="仿宋_GB2312" w:eastAsia="仿宋_GB2312"/>
          <w:color w:val="000000" w:themeColor="text1"/>
          <w:sz w:val="32"/>
          <w:szCs w:val="32"/>
          <w:highlight w:val="yellow"/>
          <w14:textFill>
            <w14:solidFill>
              <w14:schemeClr w14:val="tx1"/>
            </w14:solidFill>
          </w14:textFill>
        </w:rPr>
        <w:t>[</w:t>
      </w:r>
      <w:r>
        <w:rPr>
          <w:rFonts w:hint="eastAsia" w:ascii="仿宋_GB2312" w:eastAsia="仿宋_GB2312"/>
          <w:color w:val="000000" w:themeColor="text1"/>
          <w:sz w:val="32"/>
          <w:szCs w:val="32"/>
          <w:highlight w:val="yellow"/>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yellow"/>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增值税专用发票快递至甲方，甲方收到发票后</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个工作日内应把相关费用付清。乙方未提供发票的，甲方有权拒绝支付或延迟支付任何费用亦不构成违约。</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运输费用按条款二中规定执行。</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六、违约责任：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1、乙方接到到站通知信息后应及时安排送货，如因延期送货产生的铁路延期费用由乙方承担，同时，甲方有权单方解除合同，乙方需支付给甲方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的违约金，若因此给甲方造成其他损失的，乙方应承担全部赔偿责任。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2、乙方在运输过程中如果发现甲方所提供的收货人联系电话、地址有误，必须及时与甲方联系寻求解决办法。否则由此造成的一切损失由乙方负责承担并赔偿甲方因此所遭受的一切损失。</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七、本合同执行中发生的争议双方应协商解决。协商未能解决的，应向甲方所在地有管辖权人民法院起诉解决。由此引发的律师费等相关费用由违约方承担。</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八、合同签订地：</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九、本合同一式两份，甲乙双方各执一份，具有同等法律效力。由双方盖章签字确认后生效。传真件、扫描件与原件具有同等法律效力。</w:t>
      </w:r>
    </w:p>
    <w:p>
      <w:pPr>
        <w:spacing w:line="440" w:lineRule="exact"/>
        <w:ind w:left="640" w:hanging="640" w:hangingChars="200"/>
        <w:rPr>
          <w:rFonts w:ascii="仿宋_GB2312" w:eastAsia="仿宋_GB2312" w:hAnsiTheme="minorEastAsia"/>
          <w:color w:val="000000" w:themeColor="text1"/>
          <w:sz w:val="32"/>
          <w:szCs w:val="32"/>
          <w14:textFill>
            <w14:solidFill>
              <w14:schemeClr w14:val="tx1"/>
            </w14:solidFill>
          </w14:textFill>
        </w:rPr>
      </w:pPr>
    </w:p>
    <w:p>
      <w:pPr>
        <w:spacing w:line="440" w:lineRule="exact"/>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[甲方（盖章）：</w:t>
      </w:r>
      <w:bookmarkStart w:id="2" w:name="CompanyNameTitle"/>
      <w:r>
        <w:rPr>
          <w:rFonts w:hint="eastAsia" w:ascii="仿宋_GB2312" w:eastAsia="仿宋_GB2312" w:hAnsiTheme="minorEastAsia"/>
          <w:color w:val="000000" w:themeColor="text1"/>
          <w:sz w:val="32"/>
          <w:szCs w:val="24"/>
          <w:highlight w:val="yellow"/>
          <w14:textFill>
            <w14:solidFill>
              <w14:schemeClr w14:val="tx1"/>
            </w14:solidFill>
          </w14:textFill>
        </w:rPr>
        <w:t xml:space="preserve">           </w:t>
      </w:r>
      <w:bookmarkEnd w:id="2"/>
      <w:r>
        <w:rPr>
          <w:rFonts w:hint="eastAsia" w:ascii="仿宋_GB2312" w:eastAsia="仿宋_GB2312" w:hAnsiTheme="minorEastAsia"/>
          <w:color w:val="000000" w:themeColor="text1"/>
          <w:sz w:val="32"/>
          <w:szCs w:val="24"/>
          <w:highlight w:val="yellow"/>
          <w14:textFill>
            <w14:solidFill>
              <w14:schemeClr w14:val="tx1"/>
            </w14:solidFill>
          </w14:textFill>
        </w:rPr>
        <w:t xml:space="preserve">    乙方（盖章）：</w:t>
      </w:r>
    </w:p>
    <w:p>
      <w:pPr>
        <w:spacing w:line="440" w:lineRule="exact"/>
        <w:rPr>
          <w:rFonts w:ascii="仿宋_GB2312" w:eastAsia="仿宋_GB2312" w:hAnsiTheme="minorEastAsia"/>
          <w:color w:val="000000" w:themeColor="text1"/>
          <w:sz w:val="32"/>
          <w:szCs w:val="24"/>
          <w:highlight w:val="yellow"/>
          <w:u w:val="single"/>
          <w14:textFill>
            <w14:solidFill>
              <w14:schemeClr w14:val="tx1"/>
            </w14:solidFill>
          </w14:textFill>
        </w:rPr>
      </w:pP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法定代表人（代理人）：       法定代表人（代理人）：</w:t>
      </w: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电  话：                    电  话：</w:t>
      </w: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传  真：                    传  真：</w:t>
      </w:r>
    </w:p>
    <w:p>
      <w:pPr>
        <w:spacing w:line="360" w:lineRule="auto"/>
        <w:rPr>
          <w:rFonts w:ascii="仿宋_GB2312" w:eastAsia="仿宋_GB2312"/>
          <w:color w:val="000000" w:themeColor="text1"/>
          <w:sz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日  期：                    日  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信访举报电话及举报范围</w:t>
      </w:r>
      <w:r>
        <w:rPr>
          <w:rFonts w:hint="default" w:ascii="Times New Roman" w:hAnsi="Times New Roman" w:eastAsia="仿宋_GB2312" w:cs="Times New Roman"/>
          <w:color w:val="auto"/>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1.信访举报电话:010-85017235。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2.举报范围:招投标活动过程中涉嫌贪污贿赂、滥用职权、玩忽职守、权力寻租、利益输送、徇私舞弊以及浪费国家资财等问题的检举控告。</w:t>
      </w: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1.报价单程运输，正确选择开票税率。</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23</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F99E"/>
    <w:multiLevelType w:val="singleLevel"/>
    <w:tmpl w:val="0D89F99E"/>
    <w:lvl w:ilvl="0" w:tentative="0">
      <w:start w:val="4"/>
      <w:numFmt w:val="decimal"/>
      <w:suff w:val="space"/>
      <w:lvlText w:val="%1."/>
      <w:lvlJc w:val="left"/>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1AE"/>
    <w:rsid w:val="04707130"/>
    <w:rsid w:val="05CE05D4"/>
    <w:rsid w:val="07490A87"/>
    <w:rsid w:val="09E24C3F"/>
    <w:rsid w:val="0ADC62C2"/>
    <w:rsid w:val="0AF64BA5"/>
    <w:rsid w:val="0B7F6ABC"/>
    <w:rsid w:val="0EC242F9"/>
    <w:rsid w:val="121824D2"/>
    <w:rsid w:val="124C5AF9"/>
    <w:rsid w:val="131633EC"/>
    <w:rsid w:val="1729758F"/>
    <w:rsid w:val="192B53BE"/>
    <w:rsid w:val="1D840293"/>
    <w:rsid w:val="21E93BF5"/>
    <w:rsid w:val="224B26BD"/>
    <w:rsid w:val="2414051A"/>
    <w:rsid w:val="283A4FE5"/>
    <w:rsid w:val="2B440665"/>
    <w:rsid w:val="2D7F2736"/>
    <w:rsid w:val="2DA03510"/>
    <w:rsid w:val="30054781"/>
    <w:rsid w:val="337D16F1"/>
    <w:rsid w:val="3583388D"/>
    <w:rsid w:val="35B77E4C"/>
    <w:rsid w:val="3A8712C9"/>
    <w:rsid w:val="3B327FF8"/>
    <w:rsid w:val="3B3E5B03"/>
    <w:rsid w:val="3C28396E"/>
    <w:rsid w:val="3CDB4C00"/>
    <w:rsid w:val="3D0D75C3"/>
    <w:rsid w:val="3DED6EDC"/>
    <w:rsid w:val="41846E65"/>
    <w:rsid w:val="457B5608"/>
    <w:rsid w:val="45D7765F"/>
    <w:rsid w:val="46CF6A18"/>
    <w:rsid w:val="46FC0E56"/>
    <w:rsid w:val="4A05591A"/>
    <w:rsid w:val="4C7E3571"/>
    <w:rsid w:val="4D4858A4"/>
    <w:rsid w:val="4F1D11E9"/>
    <w:rsid w:val="53894E10"/>
    <w:rsid w:val="55831158"/>
    <w:rsid w:val="55DB05F7"/>
    <w:rsid w:val="56590DEF"/>
    <w:rsid w:val="581026D2"/>
    <w:rsid w:val="5C1E037E"/>
    <w:rsid w:val="5C9E2CAD"/>
    <w:rsid w:val="61170350"/>
    <w:rsid w:val="61322FC8"/>
    <w:rsid w:val="614B24F8"/>
    <w:rsid w:val="617B7F67"/>
    <w:rsid w:val="61D22176"/>
    <w:rsid w:val="63802CF2"/>
    <w:rsid w:val="63FA084A"/>
    <w:rsid w:val="640A13EC"/>
    <w:rsid w:val="64471C00"/>
    <w:rsid w:val="646D3ACF"/>
    <w:rsid w:val="66533321"/>
    <w:rsid w:val="6743204E"/>
    <w:rsid w:val="72C90324"/>
    <w:rsid w:val="76044D20"/>
    <w:rsid w:val="7A88024A"/>
    <w:rsid w:val="7C195D8E"/>
    <w:rsid w:val="7C5B6713"/>
    <w:rsid w:val="7CF6302F"/>
    <w:rsid w:val="7EEB5B73"/>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character" w:customStyle="1" w:styleId="13">
    <w:name w:val="font11"/>
    <w:basedOn w:val="11"/>
    <w:qFormat/>
    <w:uiPriority w:val="0"/>
    <w:rPr>
      <w:rFonts w:hint="default" w:ascii="Arial" w:hAnsi="Arial" w:cs="Arial"/>
      <w:color w:val="000000"/>
      <w:sz w:val="20"/>
      <w:szCs w:val="20"/>
      <w:u w:val="none"/>
    </w:rPr>
  </w:style>
  <w:style w:type="character" w:customStyle="1" w:styleId="14">
    <w:name w:val="font21"/>
    <w:basedOn w:val="11"/>
    <w:qFormat/>
    <w:uiPriority w:val="0"/>
    <w:rPr>
      <w:rFonts w:hint="eastAsia" w:ascii="宋体" w:hAnsi="宋体" w:eastAsia="宋体" w:cs="宋体"/>
      <w:color w:val="000000"/>
      <w:sz w:val="20"/>
      <w:szCs w:val="20"/>
      <w:u w:val="non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仿宋_GB2312" w:eastAsia="仿宋_GB2312" w:cs="仿宋_GB2312"/>
      <w:color w:val="0D0D0D"/>
      <w:sz w:val="24"/>
      <w:szCs w:val="24"/>
      <w:u w:val="none"/>
    </w:rPr>
  </w:style>
  <w:style w:type="character" w:customStyle="1" w:styleId="17">
    <w:name w:val="font31"/>
    <w:basedOn w:val="11"/>
    <w:qFormat/>
    <w:uiPriority w:val="0"/>
    <w:rPr>
      <w:rFonts w:hint="eastAsia" w:ascii="仿宋_GB2312" w:eastAsia="仿宋_GB2312" w:cs="仿宋_GB2312"/>
      <w:color w:val="0D0D0D"/>
      <w:sz w:val="24"/>
      <w:szCs w:val="24"/>
      <w:u w:val="none"/>
    </w:rPr>
  </w:style>
  <w:style w:type="paragraph" w:customStyle="1" w:styleId="1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2024-08-23T03:38:04Z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