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pict>
          <v:shape id="文本框 31" o:spid="_x0000_s1026" o:spt="202" type="#_x0000_t202" style="position:absolute;left:0pt;margin-left:-54.3pt;margin-top:14.75pt;height:65.25pt;width:501.75pt;z-index:251659264;mso-width-relative:page;mso-height-relative:page;" coordsize="21600,21600">
            <v:path/>
            <v:fill focussize="0,0"/>
            <v:stroke joinstyle="miter"/>
            <v:imagedata o:title=""/>
            <o:lock v:ext="edit"/>
            <v:textbox>
              <w:txbxContent>
                <w:p>
                  <w:pPr>
                    <w:rPr>
                      <w:b/>
                      <w:sz w:val="28"/>
                      <w:szCs w:val="28"/>
                    </w:rPr>
                  </w:pPr>
                  <w:r>
                    <w:rPr>
                      <w:rFonts w:hint="eastAsia"/>
                      <w:b/>
                      <w:sz w:val="28"/>
                      <w:szCs w:val="28"/>
                    </w:rPr>
                    <w:t>请仔细阅读！为避免不必要的损失，请具备条件的供方参加，未按说明书要求操作，造成的损失由供方自行承担。</w:t>
                  </w:r>
                </w:p>
              </w:txbxContent>
            </v:textbox>
          </v:shape>
        </w:pict>
      </w:r>
    </w:p>
    <w:p/>
    <w:p/>
    <w:p/>
    <w:p/>
    <w:p/>
    <w:p/>
    <w:p/>
    <w:p/>
    <w:p/>
    <w:p>
      <w:pPr>
        <w:jc w:val="center"/>
        <w:rPr>
          <w:rFonts w:ascii="黑体" w:eastAsia="黑体"/>
          <w:bCs/>
          <w:sz w:val="44"/>
          <w:szCs w:val="44"/>
        </w:rPr>
      </w:pPr>
      <w:r>
        <w:rPr>
          <w:rFonts w:hint="eastAsia" w:ascii="黑体" w:eastAsia="黑体"/>
          <w:bCs/>
          <w:sz w:val="44"/>
          <w:szCs w:val="44"/>
        </w:rPr>
        <w:t>中粮糖业202</w:t>
      </w:r>
      <w:r>
        <w:rPr>
          <w:rFonts w:hint="eastAsia" w:ascii="黑体" w:eastAsia="黑体"/>
          <w:bCs/>
          <w:sz w:val="44"/>
          <w:szCs w:val="44"/>
          <w:lang w:val="en-US" w:eastAsia="zh-CN"/>
        </w:rPr>
        <w:t>4</w:t>
      </w:r>
      <w:r>
        <w:rPr>
          <w:rFonts w:hint="eastAsia" w:ascii="黑体" w:eastAsia="黑体"/>
          <w:bCs/>
          <w:sz w:val="44"/>
          <w:szCs w:val="44"/>
        </w:rPr>
        <w:t>年</w:t>
      </w:r>
      <w:r>
        <w:rPr>
          <w:rFonts w:hint="eastAsia" w:ascii="黑体" w:eastAsia="黑体"/>
          <w:bCs/>
          <w:sz w:val="44"/>
          <w:szCs w:val="44"/>
          <w:lang w:eastAsia="zh-CN"/>
        </w:rPr>
        <w:t>奇台</w:t>
      </w:r>
      <w:r>
        <w:rPr>
          <w:rFonts w:hint="eastAsia" w:ascii="黑体" w:eastAsia="黑体"/>
          <w:bCs/>
          <w:sz w:val="44"/>
          <w:szCs w:val="44"/>
        </w:rPr>
        <w:t>糖业</w:t>
      </w:r>
    </w:p>
    <w:p>
      <w:pPr>
        <w:jc w:val="center"/>
        <w:rPr>
          <w:rFonts w:ascii="黑体" w:eastAsia="黑体"/>
          <w:bCs/>
          <w:sz w:val="44"/>
          <w:szCs w:val="44"/>
        </w:rPr>
      </w:pPr>
      <w:r>
        <w:rPr>
          <w:rFonts w:hint="eastAsia" w:ascii="黑体" w:eastAsia="黑体"/>
          <w:bCs/>
          <w:sz w:val="44"/>
          <w:szCs w:val="44"/>
          <w:lang w:val="en-US" w:eastAsia="zh-CN"/>
        </w:rPr>
        <w:t>质检办</w:t>
      </w:r>
      <w:r>
        <w:rPr>
          <w:rFonts w:hint="eastAsia" w:ascii="黑体" w:eastAsia="黑体"/>
          <w:bCs/>
          <w:sz w:val="44"/>
          <w:szCs w:val="44"/>
        </w:rPr>
        <w:t>业务外包招标采购说明书</w:t>
      </w:r>
    </w:p>
    <w:p>
      <w:pPr>
        <w:tabs>
          <w:tab w:val="left" w:pos="1584"/>
        </w:tabs>
      </w:pPr>
    </w:p>
    <w:p>
      <w:pPr>
        <w:tabs>
          <w:tab w:val="left" w:pos="1584"/>
        </w:tabs>
      </w:pPr>
    </w:p>
    <w:p>
      <w:pPr>
        <w:tabs>
          <w:tab w:val="left" w:pos="1584"/>
        </w:tabs>
      </w:pPr>
    </w:p>
    <w:p>
      <w:pPr>
        <w:tabs>
          <w:tab w:val="left" w:pos="1584"/>
        </w:tabs>
      </w:pPr>
    </w:p>
    <w:p>
      <w:pPr>
        <w:tabs>
          <w:tab w:val="left" w:pos="1584"/>
        </w:tabs>
      </w:pPr>
    </w:p>
    <w:p>
      <w:pPr>
        <w:tabs>
          <w:tab w:val="left" w:pos="1584"/>
        </w:tabs>
      </w:pPr>
    </w:p>
    <w:p>
      <w:pPr>
        <w:tabs>
          <w:tab w:val="left" w:pos="1584"/>
        </w:tabs>
      </w:pPr>
    </w:p>
    <w:p>
      <w:pPr>
        <w:tabs>
          <w:tab w:val="left" w:pos="1584"/>
        </w:tabs>
      </w:pPr>
    </w:p>
    <w:p>
      <w:pPr>
        <w:tabs>
          <w:tab w:val="left" w:pos="1584"/>
        </w:tabs>
      </w:pPr>
    </w:p>
    <w:p>
      <w:pPr>
        <w:tabs>
          <w:tab w:val="left" w:pos="1584"/>
        </w:tabs>
      </w:pPr>
    </w:p>
    <w:p>
      <w:pPr>
        <w:tabs>
          <w:tab w:val="left" w:pos="1584"/>
        </w:tabs>
      </w:pPr>
    </w:p>
    <w:p>
      <w:pPr>
        <w:tabs>
          <w:tab w:val="left" w:pos="1584"/>
        </w:tabs>
      </w:pPr>
    </w:p>
    <w:p>
      <w:pPr>
        <w:tabs>
          <w:tab w:val="left" w:pos="1584"/>
        </w:tabs>
      </w:pPr>
    </w:p>
    <w:p>
      <w:pPr>
        <w:tabs>
          <w:tab w:val="left" w:pos="1584"/>
        </w:tabs>
      </w:pPr>
    </w:p>
    <w:p>
      <w:pPr>
        <w:tabs>
          <w:tab w:val="left" w:pos="1584"/>
        </w:tabs>
      </w:pPr>
    </w:p>
    <w:p>
      <w:pPr>
        <w:jc w:val="center"/>
        <w:rPr>
          <w:rFonts w:ascii="黑体" w:eastAsia="黑体"/>
          <w:bCs/>
          <w:sz w:val="28"/>
          <w:szCs w:val="28"/>
        </w:rPr>
      </w:pPr>
      <w:r>
        <w:rPr>
          <w:rFonts w:hint="eastAsia" w:ascii="黑体" w:eastAsia="黑体"/>
          <w:bCs/>
          <w:sz w:val="28"/>
          <w:szCs w:val="28"/>
        </w:rPr>
        <w:t>中粮</w:t>
      </w:r>
      <w:r>
        <w:rPr>
          <w:rFonts w:hint="eastAsia" w:ascii="黑体" w:eastAsia="黑体"/>
          <w:bCs/>
          <w:sz w:val="28"/>
          <w:szCs w:val="28"/>
          <w:lang w:eastAsia="zh-CN"/>
        </w:rPr>
        <w:t>糖业控股</w:t>
      </w:r>
      <w:r>
        <w:rPr>
          <w:rFonts w:hint="eastAsia" w:ascii="黑体" w:eastAsia="黑体"/>
          <w:bCs/>
          <w:sz w:val="28"/>
          <w:szCs w:val="28"/>
        </w:rPr>
        <w:t>股份有限公司</w:t>
      </w:r>
    </w:p>
    <w:p>
      <w:pPr>
        <w:jc w:val="center"/>
        <w:rPr>
          <w:rFonts w:ascii="黑体" w:eastAsia="黑体"/>
          <w:bCs/>
          <w:sz w:val="28"/>
          <w:szCs w:val="28"/>
        </w:rPr>
      </w:pPr>
      <w:r>
        <w:rPr>
          <w:rFonts w:hint="eastAsia" w:ascii="黑体" w:eastAsia="黑体"/>
          <w:bCs/>
          <w:sz w:val="28"/>
          <w:szCs w:val="28"/>
          <w:lang w:eastAsia="zh-CN"/>
        </w:rPr>
        <w:t>奇台</w:t>
      </w:r>
      <w:r>
        <w:rPr>
          <w:rFonts w:hint="eastAsia" w:ascii="黑体" w:eastAsia="黑体"/>
          <w:bCs/>
          <w:sz w:val="28"/>
          <w:szCs w:val="28"/>
        </w:rPr>
        <w:t>糖业分公司</w:t>
      </w:r>
    </w:p>
    <w:p>
      <w:pPr>
        <w:jc w:val="center"/>
        <w:rPr>
          <w:rFonts w:ascii="黑体" w:eastAsia="黑体"/>
          <w:bCs/>
          <w:sz w:val="28"/>
          <w:szCs w:val="28"/>
        </w:rPr>
      </w:pPr>
      <w:r>
        <w:rPr>
          <w:rFonts w:hint="eastAsia" w:ascii="黑体" w:eastAsia="黑体"/>
          <w:bCs/>
          <w:sz w:val="28"/>
          <w:szCs w:val="28"/>
        </w:rPr>
        <w:t>发布日期：20</w:t>
      </w:r>
      <w:r>
        <w:rPr>
          <w:rFonts w:hint="eastAsia" w:ascii="黑体" w:eastAsia="黑体"/>
          <w:bCs/>
          <w:sz w:val="28"/>
          <w:szCs w:val="28"/>
          <w:lang w:val="en-US" w:eastAsia="zh-CN"/>
        </w:rPr>
        <w:t>4</w:t>
      </w:r>
      <w:r>
        <w:rPr>
          <w:rFonts w:hint="eastAsia" w:ascii="黑体" w:eastAsia="黑体"/>
          <w:bCs/>
          <w:sz w:val="28"/>
          <w:szCs w:val="28"/>
        </w:rPr>
        <w:t>年</w:t>
      </w:r>
      <w:r>
        <w:rPr>
          <w:rFonts w:hint="eastAsia" w:ascii="黑体" w:eastAsia="黑体"/>
          <w:bCs/>
          <w:sz w:val="28"/>
          <w:szCs w:val="28"/>
          <w:lang w:val="en-US" w:eastAsia="zh-CN"/>
        </w:rPr>
        <w:t>9</w:t>
      </w:r>
      <w:r>
        <w:rPr>
          <w:rFonts w:hint="eastAsia" w:ascii="黑体" w:eastAsia="黑体"/>
          <w:bCs/>
          <w:sz w:val="28"/>
          <w:szCs w:val="28"/>
        </w:rPr>
        <w:t>月</w:t>
      </w:r>
      <w:r>
        <w:rPr>
          <w:rFonts w:hint="eastAsia" w:ascii="黑体" w:eastAsia="黑体"/>
          <w:bCs/>
          <w:sz w:val="28"/>
          <w:szCs w:val="28"/>
          <w:lang w:val="en-US" w:eastAsia="zh-CN"/>
        </w:rPr>
        <w:t>4</w:t>
      </w:r>
      <w:r>
        <w:rPr>
          <w:rFonts w:hint="eastAsia" w:ascii="黑体" w:eastAsia="黑体"/>
          <w:bCs/>
          <w:sz w:val="28"/>
          <w:szCs w:val="28"/>
        </w:rPr>
        <w:t>日</w:t>
      </w:r>
    </w:p>
    <w:p>
      <w:pPr>
        <w:rPr>
          <w:rFonts w:ascii="仿宋_GB2312" w:eastAsia="仿宋_GB2312"/>
          <w:bCs/>
          <w:sz w:val="28"/>
        </w:rPr>
      </w:pPr>
    </w:p>
    <w:p>
      <w:pPr>
        <w:rPr>
          <w:rFonts w:ascii="仿宋_GB2312" w:eastAsia="仿宋_GB2312"/>
          <w:bCs/>
          <w:sz w:val="28"/>
        </w:rPr>
      </w:pPr>
    </w:p>
    <w:p>
      <w:pPr>
        <w:rPr>
          <w:rFonts w:ascii="仿宋_GB2312" w:eastAsia="仿宋_GB2312"/>
          <w:bCs/>
          <w:sz w:val="28"/>
        </w:rPr>
      </w:pPr>
    </w:p>
    <w:p>
      <w:pPr>
        <w:rPr>
          <w:rFonts w:ascii="仿宋_GB2312" w:eastAsia="仿宋_GB2312"/>
          <w:bCs/>
          <w:sz w:val="28"/>
        </w:rPr>
      </w:pPr>
    </w:p>
    <w:p>
      <w:pPr>
        <w:jc w:val="center"/>
        <w:rPr>
          <w:rFonts w:ascii="黑体" w:eastAsia="黑体"/>
          <w:bCs/>
          <w:sz w:val="44"/>
          <w:szCs w:val="44"/>
        </w:rPr>
      </w:pPr>
      <w:r>
        <w:rPr>
          <w:rFonts w:hint="eastAsia" w:ascii="黑体" w:eastAsia="黑体"/>
          <w:bCs/>
          <w:sz w:val="44"/>
          <w:szCs w:val="44"/>
        </w:rPr>
        <w:t>目          录</w:t>
      </w:r>
    </w:p>
    <w:p>
      <w:pPr>
        <w:jc w:val="center"/>
        <w:rPr>
          <w:rFonts w:ascii="黑体" w:eastAsia="黑体"/>
          <w:bCs/>
          <w:sz w:val="36"/>
          <w:szCs w:val="36"/>
        </w:rPr>
      </w:pPr>
    </w:p>
    <w:p>
      <w:pPr>
        <w:jc w:val="center"/>
        <w:rPr>
          <w:rFonts w:ascii="黑体" w:eastAsia="黑体"/>
          <w:bCs/>
          <w:sz w:val="36"/>
          <w:szCs w:val="36"/>
        </w:rPr>
      </w:pPr>
    </w:p>
    <w:p>
      <w:pPr>
        <w:ind w:left="2150"/>
        <w:rPr>
          <w:rFonts w:ascii="黑体" w:eastAsia="黑体"/>
          <w:bCs/>
          <w:sz w:val="36"/>
          <w:szCs w:val="36"/>
        </w:rPr>
      </w:pPr>
      <w:r>
        <w:rPr>
          <w:rFonts w:hint="eastAsia" w:ascii="黑体" w:eastAsia="黑体"/>
          <w:bCs/>
          <w:sz w:val="36"/>
          <w:szCs w:val="36"/>
        </w:rPr>
        <w:t>第一章   采购项目公告</w:t>
      </w:r>
    </w:p>
    <w:p>
      <w:pPr>
        <w:ind w:left="1245"/>
        <w:rPr>
          <w:rFonts w:ascii="黑体" w:eastAsia="黑体"/>
          <w:bCs/>
          <w:sz w:val="36"/>
          <w:szCs w:val="36"/>
        </w:rPr>
      </w:pPr>
    </w:p>
    <w:p>
      <w:pPr>
        <w:tabs>
          <w:tab w:val="left" w:pos="7005"/>
        </w:tabs>
        <w:ind w:firstLine="2142" w:firstLineChars="595"/>
        <w:rPr>
          <w:rFonts w:hint="eastAsia" w:ascii="黑体" w:eastAsia="黑体"/>
          <w:bCs/>
          <w:sz w:val="36"/>
          <w:szCs w:val="36"/>
          <w:lang w:eastAsia="zh-CN"/>
        </w:rPr>
      </w:pPr>
      <w:r>
        <w:rPr>
          <w:rFonts w:hint="eastAsia" w:ascii="黑体" w:eastAsia="黑体"/>
          <w:bCs/>
          <w:sz w:val="36"/>
          <w:szCs w:val="36"/>
        </w:rPr>
        <w:t>第二章   投标人须知</w:t>
      </w:r>
      <w:r>
        <w:rPr>
          <w:rFonts w:hint="eastAsia" w:ascii="黑体" w:eastAsia="黑体"/>
          <w:bCs/>
          <w:sz w:val="36"/>
          <w:szCs w:val="36"/>
          <w:lang w:eastAsia="zh-CN"/>
        </w:rPr>
        <w:t>及业务内容</w:t>
      </w:r>
    </w:p>
    <w:p>
      <w:pPr>
        <w:tabs>
          <w:tab w:val="left" w:pos="7005"/>
        </w:tabs>
        <w:rPr>
          <w:rFonts w:ascii="黑体" w:eastAsia="黑体"/>
          <w:bCs/>
          <w:sz w:val="36"/>
          <w:szCs w:val="36"/>
        </w:rPr>
      </w:pPr>
      <w:r>
        <w:rPr>
          <w:rFonts w:hint="eastAsia" w:ascii="黑体" w:eastAsia="黑体"/>
          <w:bCs/>
          <w:sz w:val="36"/>
          <w:szCs w:val="36"/>
        </w:rPr>
        <w:tab/>
      </w:r>
    </w:p>
    <w:p>
      <w:pPr>
        <w:ind w:left="2150"/>
        <w:rPr>
          <w:rFonts w:hint="eastAsia" w:ascii="黑体" w:eastAsia="黑体"/>
          <w:bCs/>
          <w:sz w:val="36"/>
          <w:szCs w:val="36"/>
        </w:rPr>
      </w:pPr>
      <w:r>
        <w:rPr>
          <w:rFonts w:hint="eastAsia" w:ascii="黑体" w:eastAsia="黑体"/>
          <w:bCs/>
          <w:sz w:val="36"/>
          <w:szCs w:val="36"/>
        </w:rPr>
        <w:t>第三章   合同主要条款（模板）</w:t>
      </w:r>
    </w:p>
    <w:p>
      <w:pPr>
        <w:ind w:left="2150"/>
        <w:rPr>
          <w:rFonts w:hint="eastAsia" w:ascii="黑体" w:eastAsia="黑体"/>
          <w:bCs/>
          <w:sz w:val="36"/>
          <w:szCs w:val="36"/>
        </w:rPr>
      </w:pPr>
    </w:p>
    <w:p>
      <w:pPr>
        <w:ind w:left="2150"/>
        <w:rPr>
          <w:rFonts w:hint="eastAsia" w:ascii="黑体" w:eastAsia="黑体"/>
          <w:bCs/>
          <w:sz w:val="36"/>
          <w:szCs w:val="36"/>
        </w:rPr>
      </w:pPr>
      <w:r>
        <w:rPr>
          <w:rFonts w:hint="eastAsia" w:ascii="黑体" w:eastAsia="黑体"/>
          <w:bCs/>
          <w:sz w:val="36"/>
          <w:szCs w:val="36"/>
        </w:rPr>
        <w:t>第四章   承包方入厂安全资料清单</w:t>
      </w:r>
    </w:p>
    <w:p>
      <w:pPr>
        <w:ind w:left="2150"/>
        <w:rPr>
          <w:rFonts w:ascii="黑体" w:eastAsia="黑体"/>
          <w:b/>
          <w:bCs/>
          <w:sz w:val="36"/>
          <w:szCs w:val="36"/>
        </w:rPr>
      </w:pPr>
    </w:p>
    <w:p>
      <w:pPr>
        <w:rPr>
          <w:rFonts w:ascii="黑体" w:eastAsia="黑体"/>
          <w:b/>
          <w:bCs/>
          <w:sz w:val="36"/>
          <w:szCs w:val="36"/>
        </w:rPr>
      </w:pPr>
    </w:p>
    <w:p>
      <w:pPr>
        <w:rPr>
          <w:rFonts w:ascii="仿宋_GB2312" w:eastAsia="仿宋_GB2312"/>
          <w:bCs/>
          <w:sz w:val="28"/>
        </w:rPr>
      </w:pPr>
    </w:p>
    <w:p>
      <w:pPr>
        <w:rPr>
          <w:rFonts w:ascii="仿宋_GB2312" w:eastAsia="仿宋_GB2312"/>
          <w:bCs/>
          <w:sz w:val="28"/>
        </w:rPr>
      </w:pPr>
    </w:p>
    <w:p>
      <w:pPr>
        <w:rPr>
          <w:rFonts w:ascii="仿宋_GB2312" w:eastAsia="仿宋_GB2312"/>
          <w:bCs/>
          <w:sz w:val="28"/>
        </w:rPr>
      </w:pPr>
    </w:p>
    <w:p>
      <w:pPr>
        <w:rPr>
          <w:rFonts w:ascii="仿宋_GB2312" w:eastAsia="仿宋_GB2312"/>
          <w:bCs/>
          <w:sz w:val="28"/>
        </w:rPr>
      </w:pPr>
    </w:p>
    <w:p>
      <w:pPr>
        <w:rPr>
          <w:rFonts w:ascii="仿宋_GB2312" w:eastAsia="仿宋_GB2312"/>
          <w:bCs/>
          <w:sz w:val="28"/>
        </w:rPr>
      </w:pPr>
    </w:p>
    <w:p>
      <w:pPr>
        <w:rPr>
          <w:rFonts w:ascii="仿宋_GB2312" w:eastAsia="仿宋_GB2312"/>
          <w:bCs/>
          <w:sz w:val="28"/>
        </w:rPr>
      </w:pPr>
    </w:p>
    <w:p>
      <w:pPr>
        <w:rPr>
          <w:rFonts w:ascii="仿宋_GB2312" w:eastAsia="仿宋_GB2312"/>
          <w:bCs/>
          <w:sz w:val="28"/>
        </w:rPr>
      </w:pPr>
    </w:p>
    <w:p>
      <w:pPr>
        <w:rPr>
          <w:rFonts w:ascii="仿宋_GB2312" w:eastAsia="仿宋_GB2312"/>
          <w:bCs/>
          <w:sz w:val="28"/>
        </w:rPr>
      </w:pPr>
    </w:p>
    <w:p>
      <w:pPr>
        <w:pStyle w:val="16"/>
        <w:pageBreakBefore/>
        <w:numPr>
          <w:ilvl w:val="0"/>
          <w:numId w:val="1"/>
        </w:numPr>
        <w:spacing w:line="360" w:lineRule="auto"/>
        <w:ind w:left="1792" w:hanging="1310" w:firstLineChars="0"/>
        <w:jc w:val="center"/>
        <w:rPr>
          <w:rFonts w:ascii="黑体" w:hAnsi="黑体" w:eastAsia="黑体" w:cs="黑体"/>
          <w:b/>
          <w:sz w:val="28"/>
          <w:szCs w:val="28"/>
        </w:rPr>
      </w:pPr>
      <w:r>
        <w:rPr>
          <w:rFonts w:hint="eastAsia" w:ascii="黑体" w:hAnsi="黑体" w:eastAsia="黑体" w:cs="黑体"/>
          <w:b/>
          <w:sz w:val="28"/>
          <w:szCs w:val="28"/>
        </w:rPr>
        <w:t>采购项目公告</w:t>
      </w:r>
    </w:p>
    <w:p>
      <w:pPr>
        <w:pStyle w:val="16"/>
        <w:spacing w:line="360" w:lineRule="auto"/>
        <w:ind w:left="1790" w:firstLine="0" w:firstLineChars="0"/>
        <w:jc w:val="center"/>
        <w:rPr>
          <w:rFonts w:ascii="黑体" w:hAnsi="黑体" w:eastAsia="黑体" w:cs="Arial"/>
          <w:sz w:val="28"/>
          <w:szCs w:val="28"/>
        </w:rPr>
      </w:pPr>
    </w:p>
    <w:p>
      <w:pPr>
        <w:spacing w:line="360" w:lineRule="auto"/>
        <w:ind w:firstLine="560" w:firstLineChars="200"/>
        <w:rPr>
          <w:rFonts w:ascii="黑体" w:hAnsi="黑体" w:eastAsia="黑体" w:cs="MS Gothic"/>
          <w:color w:val="000000"/>
          <w:sz w:val="28"/>
          <w:szCs w:val="28"/>
        </w:rPr>
      </w:pPr>
      <w:r>
        <w:rPr>
          <w:rFonts w:hint="eastAsia" w:ascii="黑体" w:hAnsi="黑体" w:eastAsia="黑体" w:cs="MS Gothic"/>
          <w:color w:val="000000"/>
          <w:sz w:val="28"/>
          <w:szCs w:val="28"/>
        </w:rPr>
        <w:t>一、采购内容</w:t>
      </w:r>
    </w:p>
    <w:p>
      <w:pPr>
        <w:spacing w:line="360" w:lineRule="auto"/>
        <w:ind w:firstLine="562" w:firstLineChars="200"/>
        <w:rPr>
          <w:rFonts w:ascii="仿宋_GB2312" w:hAnsi="仿宋" w:eastAsia="仿宋_GB2312" w:cs="Arial"/>
          <w:color w:val="000000"/>
          <w:sz w:val="28"/>
          <w:szCs w:val="28"/>
        </w:rPr>
      </w:pPr>
      <w:r>
        <w:rPr>
          <w:rFonts w:hint="eastAsia" w:cs="Arial" w:asciiTheme="minorEastAsia" w:hAnsiTheme="minorEastAsia"/>
          <w:b/>
          <w:color w:val="000000"/>
          <w:sz w:val="28"/>
          <w:szCs w:val="28"/>
        </w:rPr>
        <w:t>1．采购方</w:t>
      </w:r>
      <w:r>
        <w:rPr>
          <w:rFonts w:hint="eastAsia" w:ascii="楷体_GB2312" w:hAnsi="仿宋" w:eastAsia="楷体_GB2312" w:cs="Arial"/>
          <w:b/>
          <w:color w:val="000000"/>
          <w:sz w:val="28"/>
          <w:szCs w:val="28"/>
        </w:rPr>
        <w:t>：</w:t>
      </w:r>
      <w:r>
        <w:rPr>
          <w:rFonts w:hint="eastAsia" w:ascii="仿宋_GB2312" w:hAnsi="仿宋" w:eastAsia="仿宋_GB2312" w:cs="Arial"/>
          <w:color w:val="000000"/>
          <w:sz w:val="28"/>
          <w:szCs w:val="28"/>
        </w:rPr>
        <w:t>中粮</w:t>
      </w:r>
      <w:r>
        <w:rPr>
          <w:rFonts w:hint="eastAsia" w:ascii="仿宋_GB2312" w:hAnsi="仿宋" w:eastAsia="仿宋_GB2312" w:cs="Arial"/>
          <w:color w:val="000000"/>
          <w:sz w:val="28"/>
          <w:szCs w:val="28"/>
          <w:lang w:eastAsia="zh-CN"/>
        </w:rPr>
        <w:t>糖业控股</w:t>
      </w:r>
      <w:r>
        <w:rPr>
          <w:rFonts w:hint="eastAsia" w:ascii="仿宋_GB2312" w:hAnsi="仿宋" w:eastAsia="仿宋_GB2312" w:cs="Arial"/>
          <w:color w:val="000000"/>
          <w:sz w:val="28"/>
          <w:szCs w:val="28"/>
        </w:rPr>
        <w:t>股份有限公司</w:t>
      </w:r>
      <w:r>
        <w:rPr>
          <w:rFonts w:hint="eastAsia" w:ascii="仿宋_GB2312" w:hAnsi="仿宋" w:eastAsia="仿宋_GB2312" w:cs="Arial"/>
          <w:color w:val="000000"/>
          <w:sz w:val="28"/>
          <w:szCs w:val="28"/>
          <w:lang w:eastAsia="zh-CN"/>
        </w:rPr>
        <w:t>奇台</w:t>
      </w:r>
      <w:r>
        <w:rPr>
          <w:rFonts w:hint="eastAsia" w:ascii="仿宋_GB2312" w:hAnsi="仿宋" w:eastAsia="仿宋_GB2312" w:cs="Arial"/>
          <w:color w:val="000000"/>
          <w:sz w:val="28"/>
          <w:szCs w:val="28"/>
        </w:rPr>
        <w:t>糖业分公司（简称</w:t>
      </w:r>
      <w:r>
        <w:rPr>
          <w:rFonts w:hint="eastAsia" w:ascii="仿宋_GB2312" w:hAnsi="仿宋" w:eastAsia="仿宋_GB2312" w:cs="Arial"/>
          <w:color w:val="000000"/>
          <w:sz w:val="28"/>
          <w:szCs w:val="28"/>
          <w:lang w:eastAsia="zh-CN"/>
        </w:rPr>
        <w:t>奇台</w:t>
      </w:r>
      <w:r>
        <w:rPr>
          <w:rFonts w:hint="eastAsia" w:ascii="仿宋_GB2312" w:hAnsi="仿宋" w:eastAsia="仿宋_GB2312" w:cs="Arial"/>
          <w:color w:val="000000"/>
          <w:sz w:val="28"/>
          <w:szCs w:val="28"/>
        </w:rPr>
        <w:t>糖业）</w:t>
      </w:r>
    </w:p>
    <w:p>
      <w:pPr>
        <w:jc w:val="left"/>
        <w:rPr>
          <w:rFonts w:hint="eastAsia" w:ascii="楷体_GB2312" w:hAnsi="仿宋" w:eastAsia="楷体_GB2312" w:cs="Arial"/>
          <w:color w:val="000000"/>
          <w:sz w:val="28"/>
          <w:szCs w:val="28"/>
        </w:rPr>
      </w:pPr>
      <w:r>
        <w:rPr>
          <w:rFonts w:hint="eastAsia" w:cs="Arial" w:asciiTheme="minorEastAsia" w:hAnsiTheme="minorEastAsia"/>
          <w:b/>
          <w:color w:val="000000"/>
          <w:sz w:val="28"/>
          <w:szCs w:val="28"/>
          <w:lang w:val="en-US" w:eastAsia="zh-CN"/>
        </w:rPr>
        <w:t xml:space="preserve">    </w:t>
      </w:r>
      <w:r>
        <w:rPr>
          <w:rFonts w:hint="eastAsia" w:cs="Arial" w:asciiTheme="minorEastAsia" w:hAnsiTheme="minorEastAsia"/>
          <w:b/>
          <w:color w:val="000000"/>
          <w:sz w:val="28"/>
          <w:szCs w:val="28"/>
        </w:rPr>
        <w:t>2．采购项目内容：</w:t>
      </w:r>
      <w:r>
        <w:rPr>
          <w:rFonts w:hint="eastAsia" w:ascii="楷体_GB2312" w:hAnsi="仿宋" w:eastAsia="楷体_GB2312" w:cs="Arial"/>
          <w:color w:val="000000"/>
          <w:sz w:val="28"/>
          <w:szCs w:val="28"/>
        </w:rPr>
        <w:t>202</w:t>
      </w:r>
      <w:r>
        <w:rPr>
          <w:rFonts w:hint="eastAsia" w:ascii="楷体_GB2312" w:hAnsi="仿宋" w:eastAsia="楷体_GB2312" w:cs="Arial"/>
          <w:color w:val="000000"/>
          <w:sz w:val="28"/>
          <w:szCs w:val="28"/>
          <w:lang w:val="en-US" w:eastAsia="zh-CN"/>
        </w:rPr>
        <w:t>4</w:t>
      </w:r>
      <w:r>
        <w:rPr>
          <w:rFonts w:hint="eastAsia" w:ascii="楷体_GB2312" w:hAnsi="仿宋" w:eastAsia="楷体_GB2312" w:cs="Arial"/>
          <w:color w:val="000000"/>
          <w:sz w:val="28"/>
          <w:szCs w:val="28"/>
        </w:rPr>
        <w:t>年</w:t>
      </w:r>
      <w:r>
        <w:rPr>
          <w:rFonts w:hint="eastAsia" w:ascii="楷体_GB2312" w:hAnsi="仿宋" w:eastAsia="楷体_GB2312" w:cs="Arial"/>
          <w:color w:val="000000"/>
          <w:sz w:val="28"/>
          <w:szCs w:val="28"/>
          <w:lang w:eastAsia="zh-CN"/>
        </w:rPr>
        <w:t>奇台</w:t>
      </w:r>
      <w:r>
        <w:rPr>
          <w:rFonts w:hint="eastAsia" w:ascii="楷体_GB2312" w:hAnsi="仿宋" w:eastAsia="楷体_GB2312" w:cs="Arial"/>
          <w:color w:val="000000"/>
          <w:sz w:val="28"/>
          <w:szCs w:val="28"/>
        </w:rPr>
        <w:t>糖</w:t>
      </w:r>
      <w:r>
        <w:rPr>
          <w:rFonts w:hint="eastAsia" w:ascii="楷体_GB2312" w:hAnsi="仿宋" w:eastAsia="楷体_GB2312" w:cs="Arial"/>
          <w:color w:val="000000"/>
          <w:sz w:val="28"/>
          <w:szCs w:val="28"/>
          <w:lang w:val="en-US" w:eastAsia="zh-CN"/>
        </w:rPr>
        <w:t>业质检办部分</w:t>
      </w:r>
      <w:r>
        <w:rPr>
          <w:rFonts w:hint="eastAsia" w:ascii="楷体_GB2312" w:hAnsi="仿宋" w:eastAsia="楷体_GB2312" w:cs="Arial"/>
          <w:color w:val="000000"/>
          <w:sz w:val="28"/>
          <w:szCs w:val="28"/>
        </w:rPr>
        <w:t>业务外包</w:t>
      </w:r>
    </w:p>
    <w:p>
      <w:pPr>
        <w:ind w:firstLine="562" w:firstLineChars="200"/>
        <w:jc w:val="left"/>
        <w:rPr>
          <w:rFonts w:hint="default" w:cs="Arial" w:asciiTheme="minorEastAsia" w:hAnsiTheme="minorEastAsia" w:eastAsiaTheme="minorEastAsia"/>
          <w:b/>
          <w:color w:val="000000"/>
          <w:sz w:val="28"/>
          <w:szCs w:val="28"/>
          <w:lang w:val="en-US" w:eastAsia="zh-CN"/>
        </w:rPr>
      </w:pPr>
      <w:r>
        <w:rPr>
          <w:rFonts w:hint="eastAsia" w:cs="Arial" w:asciiTheme="minorEastAsia" w:hAnsiTheme="minorEastAsia"/>
          <w:b/>
          <w:color w:val="000000"/>
          <w:sz w:val="28"/>
          <w:szCs w:val="28"/>
        </w:rPr>
        <w:t>3．采购方式：</w:t>
      </w:r>
      <w:r>
        <w:rPr>
          <w:rFonts w:hint="eastAsia" w:cs="Arial" w:asciiTheme="minorEastAsia" w:hAnsiTheme="minorEastAsia"/>
          <w:b/>
          <w:color w:val="000000"/>
          <w:sz w:val="28"/>
          <w:szCs w:val="28"/>
          <w:lang w:eastAsia="zh-CN"/>
        </w:rPr>
        <w:t>询比</w:t>
      </w:r>
      <w:r>
        <w:rPr>
          <w:rFonts w:hint="eastAsia" w:cs="Arial" w:asciiTheme="minorEastAsia" w:hAnsiTheme="minorEastAsia"/>
          <w:b/>
          <w:color w:val="000000"/>
          <w:sz w:val="28"/>
          <w:szCs w:val="28"/>
          <w:lang w:val="en-US" w:eastAsia="zh-CN"/>
        </w:rPr>
        <w:t>采购</w:t>
      </w:r>
    </w:p>
    <w:p>
      <w:pPr>
        <w:spacing w:line="360" w:lineRule="auto"/>
        <w:ind w:firstLine="562" w:firstLineChars="200"/>
        <w:rPr>
          <w:rFonts w:cs="Arial" w:asciiTheme="minorEastAsia" w:hAnsiTheme="minorEastAsia"/>
          <w:b/>
          <w:color w:val="000000"/>
          <w:sz w:val="28"/>
          <w:szCs w:val="28"/>
        </w:rPr>
      </w:pPr>
      <w:r>
        <w:rPr>
          <w:rFonts w:hint="eastAsia" w:cs="Arial" w:asciiTheme="minorEastAsia" w:hAnsiTheme="minorEastAsia"/>
          <w:b/>
          <w:color w:val="000000"/>
          <w:sz w:val="28"/>
          <w:szCs w:val="28"/>
        </w:rPr>
        <w:t>4．投标时间：供应商需</w:t>
      </w:r>
      <w:r>
        <w:rPr>
          <w:rFonts w:hint="eastAsia" w:cs="Arial" w:asciiTheme="minorEastAsia" w:hAnsiTheme="minorEastAsia"/>
          <w:b/>
          <w:color w:val="000000"/>
          <w:sz w:val="28"/>
          <w:szCs w:val="28"/>
          <w:lang w:val="en-US" w:eastAsia="zh-CN"/>
        </w:rPr>
        <w:t>关注</w:t>
      </w:r>
      <w:r>
        <w:rPr>
          <w:rFonts w:hint="eastAsia" w:cs="Arial" w:asciiTheme="minorEastAsia" w:hAnsiTheme="minorEastAsia"/>
          <w:b/>
          <w:color w:val="000000"/>
          <w:sz w:val="28"/>
          <w:szCs w:val="28"/>
        </w:rPr>
        <w:t>中粮糖业EPS采购平台</w:t>
      </w:r>
      <w:r>
        <w:rPr>
          <w:rFonts w:hint="eastAsia" w:cs="Arial" w:asciiTheme="minorEastAsia" w:hAnsiTheme="minorEastAsia"/>
          <w:b/>
          <w:color w:val="000000"/>
          <w:sz w:val="28"/>
          <w:szCs w:val="28"/>
          <w:lang w:eastAsia="zh-CN"/>
        </w:rPr>
        <w:t>，</w:t>
      </w:r>
      <w:r>
        <w:rPr>
          <w:rFonts w:hint="eastAsia" w:cs="Arial" w:asciiTheme="minorEastAsia" w:hAnsiTheme="minorEastAsia"/>
          <w:b/>
          <w:color w:val="000000"/>
          <w:sz w:val="28"/>
          <w:szCs w:val="28"/>
          <w:lang w:val="en-US" w:eastAsia="zh-CN"/>
        </w:rPr>
        <w:t>在接受项目报价邀请3日内进行报价，投标结束后，</w:t>
      </w:r>
      <w:r>
        <w:rPr>
          <w:rFonts w:hint="eastAsia" w:cs="Arial" w:asciiTheme="minorEastAsia" w:hAnsiTheme="minorEastAsia"/>
          <w:b/>
          <w:color w:val="000000"/>
          <w:sz w:val="28"/>
          <w:szCs w:val="28"/>
        </w:rPr>
        <w:t>计划进行多轮报价。</w:t>
      </w:r>
    </w:p>
    <w:p>
      <w:pPr>
        <w:spacing w:line="360" w:lineRule="auto"/>
        <w:ind w:firstLine="645"/>
        <w:rPr>
          <w:rFonts w:cs="Arial" w:asciiTheme="minorEastAsia" w:hAnsiTheme="minorEastAsia"/>
          <w:b/>
          <w:color w:val="000000"/>
          <w:sz w:val="28"/>
          <w:szCs w:val="28"/>
        </w:rPr>
      </w:pPr>
      <w:r>
        <w:rPr>
          <w:rFonts w:hint="eastAsia" w:cs="Arial" w:asciiTheme="minorEastAsia" w:hAnsiTheme="minorEastAsia"/>
          <w:b/>
          <w:color w:val="000000"/>
          <w:sz w:val="28"/>
          <w:szCs w:val="28"/>
        </w:rPr>
        <w:t>5．供应商不需到达开标现场，电话答疑，具体安排另行通知。</w:t>
      </w:r>
    </w:p>
    <w:p>
      <w:pPr>
        <w:pStyle w:val="5"/>
        <w:spacing w:line="360" w:lineRule="auto"/>
        <w:ind w:firstLine="560" w:firstLineChars="200"/>
        <w:rPr>
          <w:rFonts w:ascii="黑体" w:hAnsi="黑体" w:eastAsia="黑体" w:cs="仿宋_GB2312"/>
          <w:bCs/>
          <w:kern w:val="0"/>
          <w:sz w:val="28"/>
          <w:szCs w:val="28"/>
        </w:rPr>
      </w:pPr>
      <w:r>
        <w:rPr>
          <w:rFonts w:hint="eastAsia" w:ascii="黑体" w:hAnsi="黑体" w:eastAsia="黑体" w:cs="仿宋_GB2312"/>
          <w:bCs/>
          <w:kern w:val="0"/>
          <w:sz w:val="28"/>
          <w:szCs w:val="28"/>
        </w:rPr>
        <w:t>二、监督部门及电话</w:t>
      </w:r>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电话：010－85017235，0991－6173321</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手机</w:t>
      </w:r>
      <w:r>
        <w:rPr>
          <w:rFonts w:hint="eastAsia" w:ascii="仿宋_GB2312" w:hAnsi="仿宋" w:eastAsia="仿宋_GB2312" w:cs="仿宋_GB2312"/>
          <w:bCs/>
          <w:kern w:val="0"/>
          <w:sz w:val="28"/>
          <w:szCs w:val="28"/>
        </w:rPr>
        <w:t>：1</w:t>
      </w:r>
      <w:r>
        <w:rPr>
          <w:rFonts w:ascii="仿宋_GB2312" w:hAnsi="仿宋" w:eastAsia="仿宋_GB2312" w:cs="仿宋_GB2312"/>
          <w:bCs/>
          <w:kern w:val="0"/>
          <w:sz w:val="28"/>
          <w:szCs w:val="28"/>
        </w:rPr>
        <w:t>8709967070</w:t>
      </w:r>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通信地址1：北京市朝阳区朝阳门南大街8号9层904室纪委办公室，邮编：100020；</w:t>
      </w:r>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通信地址2：新疆乌鲁木齐黄河路2号招商银行大厦21楼中粮糖业纪委办公室，邮编：830000</w:t>
      </w:r>
    </w:p>
    <w:p>
      <w:pPr>
        <w:spacing w:line="360" w:lineRule="auto"/>
        <w:ind w:firstLine="420" w:firstLineChars="200"/>
        <w:rPr>
          <w:rFonts w:ascii="仿宋_GB2312" w:hAnsi="仿宋" w:eastAsia="仿宋_GB2312" w:cs="仿宋_GB2312"/>
          <w:bCs/>
          <w:kern w:val="0"/>
          <w:sz w:val="28"/>
          <w:szCs w:val="28"/>
        </w:rPr>
      </w:pPr>
      <w:r>
        <w:fldChar w:fldCharType="begin"/>
      </w:r>
      <w:r>
        <w:instrText xml:space="preserve"> HYPERLINK "mailto:" </w:instrText>
      </w:r>
      <w:r>
        <w:fldChar w:fldCharType="separate"/>
      </w:r>
      <w:r>
        <w:fldChar w:fldCharType="end"/>
      </w:r>
    </w:p>
    <w:p>
      <w:pPr>
        <w:pageBreakBefore/>
        <w:widowControl/>
        <w:spacing w:line="360" w:lineRule="auto"/>
        <w:ind w:firstLine="641"/>
        <w:jc w:val="center"/>
        <w:rPr>
          <w:rFonts w:ascii="黑体" w:hAnsi="黑体" w:eastAsia="黑体" w:cs="仿宋_GB2312"/>
          <w:color w:val="000000"/>
          <w:kern w:val="0"/>
          <w:sz w:val="28"/>
          <w:szCs w:val="28"/>
        </w:rPr>
      </w:pPr>
      <w:r>
        <w:rPr>
          <w:rFonts w:hint="eastAsia" w:ascii="黑体" w:hAnsi="黑体" w:eastAsia="黑体" w:cs="仿宋_GB2312"/>
          <w:color w:val="000000"/>
          <w:kern w:val="0"/>
          <w:sz w:val="28"/>
          <w:szCs w:val="28"/>
        </w:rPr>
        <w:t>第二章   投标人须知</w:t>
      </w:r>
    </w:p>
    <w:tbl>
      <w:tblPr>
        <w:tblStyle w:val="10"/>
        <w:tblW w:w="10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1562"/>
        <w:gridCol w:w="7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78" w:type="dxa"/>
            <w:vAlign w:val="center"/>
          </w:tcPr>
          <w:p>
            <w:pPr>
              <w:pStyle w:val="5"/>
              <w:spacing w:line="360" w:lineRule="auto"/>
              <w:ind w:left="-170" w:leftChars="-81"/>
              <w:jc w:val="center"/>
              <w:rPr>
                <w:rFonts w:ascii="仿宋_GB2312" w:hAnsi="仿宋" w:eastAsia="仿宋_GB2312"/>
                <w:sz w:val="24"/>
                <w:szCs w:val="24"/>
              </w:rPr>
            </w:pPr>
            <w:r>
              <w:rPr>
                <w:rFonts w:hint="eastAsia" w:ascii="仿宋_GB2312" w:hAnsi="仿宋" w:eastAsia="仿宋_GB2312"/>
                <w:sz w:val="24"/>
                <w:szCs w:val="24"/>
              </w:rPr>
              <w:t>条款号</w:t>
            </w:r>
          </w:p>
        </w:tc>
        <w:tc>
          <w:tcPr>
            <w:tcW w:w="1562" w:type="dxa"/>
            <w:vAlign w:val="center"/>
          </w:tcPr>
          <w:p>
            <w:pPr>
              <w:pStyle w:val="5"/>
              <w:spacing w:line="360" w:lineRule="auto"/>
              <w:jc w:val="center"/>
              <w:rPr>
                <w:rFonts w:ascii="仿宋_GB2312" w:hAnsi="仿宋" w:eastAsia="仿宋_GB2312"/>
                <w:sz w:val="24"/>
                <w:szCs w:val="24"/>
              </w:rPr>
            </w:pPr>
            <w:r>
              <w:rPr>
                <w:rFonts w:hint="eastAsia" w:ascii="仿宋_GB2312" w:hAnsi="仿宋" w:eastAsia="仿宋_GB2312"/>
                <w:sz w:val="24"/>
                <w:szCs w:val="24"/>
              </w:rPr>
              <w:t>条款名称</w:t>
            </w:r>
          </w:p>
        </w:tc>
        <w:tc>
          <w:tcPr>
            <w:tcW w:w="7707" w:type="dxa"/>
            <w:vAlign w:val="center"/>
          </w:tcPr>
          <w:p>
            <w:pPr>
              <w:pStyle w:val="5"/>
              <w:spacing w:line="360" w:lineRule="auto"/>
              <w:jc w:val="center"/>
              <w:rPr>
                <w:rFonts w:ascii="仿宋_GB2312" w:hAnsi="仿宋" w:eastAsia="仿宋_GB2312"/>
                <w:sz w:val="24"/>
                <w:szCs w:val="24"/>
              </w:rPr>
            </w:pPr>
            <w:r>
              <w:rPr>
                <w:rFonts w:hint="eastAsia" w:ascii="仿宋_GB2312" w:hAnsi="仿宋" w:eastAsia="仿宋_GB2312"/>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78" w:type="dxa"/>
            <w:vAlign w:val="center"/>
          </w:tcPr>
          <w:p>
            <w:pPr>
              <w:pStyle w:val="5"/>
              <w:spacing w:line="360" w:lineRule="auto"/>
              <w:jc w:val="center"/>
              <w:rPr>
                <w:rFonts w:ascii="仿宋_GB2312" w:hAnsi="仿宋" w:eastAsia="仿宋_GB2312"/>
                <w:sz w:val="24"/>
                <w:szCs w:val="24"/>
              </w:rPr>
            </w:pPr>
            <w:r>
              <w:rPr>
                <w:rFonts w:hint="eastAsia" w:ascii="仿宋_GB2312" w:hAnsi="仿宋" w:eastAsia="仿宋_GB2312"/>
                <w:sz w:val="24"/>
                <w:szCs w:val="24"/>
              </w:rPr>
              <w:t>1.1</w:t>
            </w:r>
          </w:p>
        </w:tc>
        <w:tc>
          <w:tcPr>
            <w:tcW w:w="1562" w:type="dxa"/>
            <w:vAlign w:val="center"/>
          </w:tcPr>
          <w:p>
            <w:pPr>
              <w:spacing w:line="360" w:lineRule="auto"/>
              <w:jc w:val="center"/>
              <w:rPr>
                <w:rFonts w:ascii="仿宋_GB2312" w:hAnsi="仿宋" w:eastAsia="仿宋_GB2312" w:cs="Arial"/>
                <w:kern w:val="0"/>
                <w:sz w:val="24"/>
                <w:szCs w:val="24"/>
              </w:rPr>
            </w:pPr>
            <w:r>
              <w:rPr>
                <w:rFonts w:hint="eastAsia" w:ascii="仿宋_GB2312" w:hAnsi="仿宋" w:eastAsia="仿宋_GB2312" w:cs="Arial"/>
                <w:kern w:val="0"/>
                <w:sz w:val="24"/>
                <w:szCs w:val="24"/>
              </w:rPr>
              <w:t>项目名称</w:t>
            </w:r>
          </w:p>
        </w:tc>
        <w:tc>
          <w:tcPr>
            <w:tcW w:w="7707" w:type="dxa"/>
            <w:vAlign w:val="center"/>
          </w:tcPr>
          <w:p>
            <w:pPr>
              <w:spacing w:line="360" w:lineRule="auto"/>
              <w:jc w:val="left"/>
              <w:rPr>
                <w:rFonts w:ascii="仿宋_GB2312" w:hAnsi="仿宋" w:eastAsia="仿宋_GB2312" w:cs="Arial"/>
                <w:kern w:val="0"/>
                <w:sz w:val="24"/>
                <w:szCs w:val="24"/>
              </w:rPr>
            </w:pPr>
            <w:r>
              <w:rPr>
                <w:rFonts w:hint="eastAsia" w:ascii="仿宋_GB2312" w:hAnsi="仿宋" w:eastAsia="仿宋_GB2312" w:cs="Arial"/>
                <w:kern w:val="0"/>
                <w:sz w:val="24"/>
                <w:szCs w:val="24"/>
              </w:rPr>
              <w:t>中粮糖业202</w:t>
            </w:r>
            <w:r>
              <w:rPr>
                <w:rFonts w:hint="eastAsia" w:ascii="仿宋_GB2312" w:hAnsi="仿宋" w:eastAsia="仿宋_GB2312" w:cs="Arial"/>
                <w:kern w:val="0"/>
                <w:sz w:val="24"/>
                <w:szCs w:val="24"/>
                <w:lang w:val="en-US" w:eastAsia="zh-CN"/>
              </w:rPr>
              <w:t>4</w:t>
            </w:r>
            <w:r>
              <w:rPr>
                <w:rFonts w:hint="eastAsia" w:ascii="仿宋_GB2312" w:hAnsi="仿宋" w:eastAsia="仿宋_GB2312" w:cs="Arial"/>
                <w:kern w:val="0"/>
                <w:sz w:val="24"/>
                <w:szCs w:val="24"/>
              </w:rPr>
              <w:t>年</w:t>
            </w:r>
            <w:r>
              <w:rPr>
                <w:rFonts w:hint="eastAsia" w:ascii="仿宋_GB2312" w:hAnsi="仿宋" w:eastAsia="仿宋_GB2312" w:cs="Arial"/>
                <w:kern w:val="0"/>
                <w:sz w:val="24"/>
                <w:szCs w:val="24"/>
                <w:lang w:eastAsia="zh-CN"/>
              </w:rPr>
              <w:t>奇台</w:t>
            </w:r>
            <w:r>
              <w:rPr>
                <w:rFonts w:hint="eastAsia" w:ascii="仿宋_GB2312" w:hAnsi="仿宋" w:eastAsia="仿宋_GB2312" w:cs="Arial"/>
                <w:kern w:val="0"/>
                <w:sz w:val="24"/>
                <w:szCs w:val="24"/>
              </w:rPr>
              <w:t>糖业</w:t>
            </w:r>
            <w:r>
              <w:rPr>
                <w:rFonts w:hint="eastAsia" w:ascii="仿宋_GB2312" w:hAnsi="仿宋" w:eastAsia="仿宋_GB2312" w:cs="Arial"/>
                <w:kern w:val="0"/>
                <w:sz w:val="24"/>
                <w:szCs w:val="24"/>
                <w:lang w:val="en-US" w:eastAsia="zh-CN"/>
              </w:rPr>
              <w:t>质检办部分</w:t>
            </w:r>
            <w:r>
              <w:rPr>
                <w:rFonts w:hint="eastAsia" w:ascii="仿宋_GB2312" w:hAnsi="仿宋" w:eastAsia="仿宋_GB2312" w:cs="Arial"/>
                <w:kern w:val="0"/>
                <w:sz w:val="24"/>
                <w:szCs w:val="24"/>
              </w:rPr>
              <w:t>业务外包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78" w:type="dxa"/>
            <w:vAlign w:val="center"/>
          </w:tcPr>
          <w:p>
            <w:pPr>
              <w:pStyle w:val="5"/>
              <w:spacing w:line="360" w:lineRule="auto"/>
              <w:jc w:val="center"/>
              <w:rPr>
                <w:rFonts w:ascii="仿宋_GB2312" w:hAnsi="仿宋" w:eastAsia="仿宋_GB2312"/>
                <w:sz w:val="24"/>
                <w:szCs w:val="24"/>
              </w:rPr>
            </w:pPr>
            <w:r>
              <w:rPr>
                <w:rFonts w:hint="eastAsia" w:ascii="仿宋_GB2312" w:hAnsi="仿宋" w:eastAsia="仿宋_GB2312"/>
                <w:sz w:val="24"/>
                <w:szCs w:val="24"/>
              </w:rPr>
              <w:t>1.2</w:t>
            </w:r>
          </w:p>
        </w:tc>
        <w:tc>
          <w:tcPr>
            <w:tcW w:w="1562" w:type="dxa"/>
            <w:vAlign w:val="center"/>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采购方</w:t>
            </w:r>
          </w:p>
        </w:tc>
        <w:tc>
          <w:tcPr>
            <w:tcW w:w="7707" w:type="dxa"/>
            <w:vAlign w:val="center"/>
          </w:tcPr>
          <w:p>
            <w:pPr>
              <w:spacing w:line="360" w:lineRule="auto"/>
              <w:jc w:val="left"/>
              <w:rPr>
                <w:rFonts w:ascii="仿宋_GB2312" w:hAnsi="仿宋" w:eastAsia="仿宋_GB2312" w:cs="Arial"/>
                <w:kern w:val="0"/>
                <w:sz w:val="24"/>
                <w:szCs w:val="24"/>
              </w:rPr>
            </w:pPr>
            <w:r>
              <w:rPr>
                <w:rFonts w:hint="eastAsia" w:ascii="仿宋_GB2312" w:hAnsi="仿宋" w:eastAsia="仿宋_GB2312" w:cs="Arial"/>
                <w:kern w:val="0"/>
                <w:sz w:val="24"/>
                <w:szCs w:val="24"/>
              </w:rPr>
              <w:t>采购方：中粮</w:t>
            </w:r>
            <w:r>
              <w:rPr>
                <w:rFonts w:hint="eastAsia" w:ascii="仿宋_GB2312" w:hAnsi="仿宋" w:eastAsia="仿宋_GB2312" w:cs="Arial"/>
                <w:kern w:val="0"/>
                <w:sz w:val="24"/>
                <w:szCs w:val="24"/>
                <w:lang w:eastAsia="zh-CN"/>
              </w:rPr>
              <w:t>糖业控股</w:t>
            </w:r>
            <w:r>
              <w:rPr>
                <w:rFonts w:hint="eastAsia" w:ascii="仿宋_GB2312" w:hAnsi="仿宋" w:eastAsia="仿宋_GB2312" w:cs="Arial"/>
                <w:kern w:val="0"/>
                <w:sz w:val="24"/>
                <w:szCs w:val="24"/>
              </w:rPr>
              <w:t>股份有限公司</w:t>
            </w:r>
            <w:r>
              <w:rPr>
                <w:rFonts w:hint="eastAsia" w:ascii="仿宋_GB2312" w:hAnsi="仿宋" w:eastAsia="仿宋_GB2312" w:cs="Arial"/>
                <w:kern w:val="0"/>
                <w:sz w:val="24"/>
                <w:szCs w:val="24"/>
                <w:lang w:eastAsia="zh-CN"/>
              </w:rPr>
              <w:t>奇台</w:t>
            </w:r>
            <w:r>
              <w:rPr>
                <w:rFonts w:hint="eastAsia" w:ascii="仿宋_GB2312" w:hAnsi="仿宋" w:eastAsia="仿宋_GB2312" w:cs="Arial"/>
                <w:kern w:val="0"/>
                <w:sz w:val="24"/>
                <w:szCs w:val="24"/>
              </w:rPr>
              <w:t>糖业分公司（简称</w:t>
            </w:r>
            <w:r>
              <w:rPr>
                <w:rFonts w:hint="eastAsia" w:ascii="仿宋_GB2312" w:hAnsi="仿宋" w:eastAsia="仿宋_GB2312" w:cs="Arial"/>
                <w:kern w:val="0"/>
                <w:sz w:val="24"/>
                <w:szCs w:val="24"/>
                <w:lang w:eastAsia="zh-CN"/>
              </w:rPr>
              <w:t>奇台</w:t>
            </w:r>
            <w:r>
              <w:rPr>
                <w:rFonts w:hint="eastAsia" w:ascii="仿宋_GB2312" w:hAnsi="仿宋" w:eastAsia="仿宋_GB2312" w:cs="Arial"/>
                <w:kern w:val="0"/>
                <w:sz w:val="24"/>
                <w:szCs w:val="24"/>
              </w:rPr>
              <w:t>糖业）</w:t>
            </w:r>
          </w:p>
          <w:p>
            <w:pPr>
              <w:spacing w:line="360" w:lineRule="auto"/>
              <w:jc w:val="left"/>
              <w:rPr>
                <w:rFonts w:hint="eastAsia" w:ascii="仿宋_GB2312" w:hAnsi="仿宋" w:eastAsia="仿宋_GB2312" w:cs="Arial"/>
                <w:kern w:val="0"/>
                <w:sz w:val="24"/>
                <w:szCs w:val="24"/>
                <w:lang w:eastAsia="zh-CN"/>
              </w:rPr>
            </w:pPr>
            <w:r>
              <w:rPr>
                <w:rFonts w:hint="eastAsia" w:ascii="仿宋_GB2312" w:hAnsi="仿宋" w:eastAsia="仿宋_GB2312" w:cs="Arial"/>
                <w:kern w:val="0"/>
                <w:sz w:val="24"/>
                <w:szCs w:val="24"/>
              </w:rPr>
              <w:t>地址：新疆</w:t>
            </w:r>
            <w:r>
              <w:rPr>
                <w:rFonts w:hint="eastAsia" w:ascii="仿宋_GB2312" w:hAnsi="仿宋" w:eastAsia="仿宋_GB2312" w:cs="Arial"/>
                <w:kern w:val="0"/>
                <w:sz w:val="24"/>
                <w:szCs w:val="24"/>
                <w:lang w:eastAsia="zh-CN"/>
              </w:rPr>
              <w:t>奇台</w:t>
            </w:r>
            <w:r>
              <w:rPr>
                <w:rFonts w:hint="eastAsia" w:ascii="仿宋_GB2312" w:hAnsi="仿宋" w:eastAsia="仿宋_GB2312" w:cs="Arial"/>
                <w:kern w:val="0"/>
                <w:sz w:val="24"/>
                <w:szCs w:val="24"/>
              </w:rPr>
              <w:t>县城</w:t>
            </w:r>
            <w:r>
              <w:rPr>
                <w:rFonts w:hint="eastAsia" w:ascii="仿宋_GB2312" w:hAnsi="仿宋" w:eastAsia="仿宋_GB2312" w:cs="Arial"/>
                <w:kern w:val="0"/>
                <w:sz w:val="24"/>
                <w:szCs w:val="24"/>
                <w:lang w:eastAsia="zh-CN"/>
              </w:rPr>
              <w:t>南郊</w:t>
            </w:r>
          </w:p>
          <w:p>
            <w:pPr>
              <w:spacing w:line="360" w:lineRule="auto"/>
              <w:rPr>
                <w:rFonts w:hint="default" w:ascii="仿宋_GB2312" w:hAnsi="仿宋" w:eastAsia="仿宋_GB2312" w:cs="Arial"/>
                <w:kern w:val="0"/>
                <w:sz w:val="24"/>
                <w:szCs w:val="24"/>
                <w:lang w:val="en-US" w:eastAsia="zh-CN"/>
              </w:rPr>
            </w:pPr>
            <w:r>
              <w:rPr>
                <w:rFonts w:hint="eastAsia" w:ascii="仿宋_GB2312" w:hAnsi="仿宋" w:eastAsia="仿宋_GB2312" w:cs="Arial"/>
                <w:kern w:val="0"/>
                <w:sz w:val="24"/>
                <w:szCs w:val="24"/>
              </w:rPr>
              <w:t>联系人：</w:t>
            </w:r>
            <w:r>
              <w:rPr>
                <w:rFonts w:hint="eastAsia" w:ascii="仿宋_GB2312" w:hAnsi="仿宋" w:eastAsia="仿宋_GB2312" w:cs="Arial"/>
                <w:kern w:val="0"/>
                <w:sz w:val="24"/>
                <w:szCs w:val="24"/>
                <w:lang w:val="en-US" w:eastAsia="zh-CN"/>
              </w:rPr>
              <w:t>勉励</w:t>
            </w:r>
            <w:r>
              <w:rPr>
                <w:rFonts w:hint="eastAsia" w:ascii="仿宋_GB2312" w:hAnsi="仿宋" w:eastAsia="仿宋_GB2312"/>
                <w:sz w:val="24"/>
                <w:szCs w:val="24"/>
              </w:rPr>
              <w:t xml:space="preserve">  电话：</w:t>
            </w:r>
            <w:r>
              <w:rPr>
                <w:rFonts w:hint="eastAsia" w:ascii="仿宋_GB2312" w:hAnsi="仿宋" w:eastAsia="仿宋_GB2312"/>
                <w:sz w:val="24"/>
                <w:szCs w:val="24"/>
                <w:lang w:val="en-US" w:eastAsia="zh-CN"/>
              </w:rPr>
              <w:t>18399912290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78" w:type="dxa"/>
            <w:vAlign w:val="center"/>
          </w:tcPr>
          <w:p>
            <w:pPr>
              <w:pStyle w:val="5"/>
              <w:spacing w:line="360" w:lineRule="auto"/>
              <w:jc w:val="center"/>
              <w:rPr>
                <w:rFonts w:ascii="仿宋_GB2312" w:hAnsi="仿宋" w:eastAsia="仿宋_GB2312"/>
                <w:sz w:val="24"/>
                <w:szCs w:val="24"/>
              </w:rPr>
            </w:pPr>
            <w:r>
              <w:rPr>
                <w:rFonts w:hint="eastAsia" w:ascii="仿宋_GB2312" w:hAnsi="仿宋" w:eastAsia="仿宋_GB2312"/>
                <w:sz w:val="24"/>
                <w:szCs w:val="24"/>
              </w:rPr>
              <w:t>1.3</w:t>
            </w:r>
          </w:p>
        </w:tc>
        <w:tc>
          <w:tcPr>
            <w:tcW w:w="1562" w:type="dxa"/>
            <w:vAlign w:val="center"/>
          </w:tcPr>
          <w:p>
            <w:pPr>
              <w:pStyle w:val="5"/>
              <w:spacing w:line="360" w:lineRule="auto"/>
              <w:jc w:val="center"/>
              <w:rPr>
                <w:rFonts w:ascii="仿宋_GB2312" w:hAnsi="仿宋" w:eastAsia="仿宋_GB2312"/>
                <w:sz w:val="24"/>
                <w:szCs w:val="24"/>
              </w:rPr>
            </w:pPr>
            <w:r>
              <w:rPr>
                <w:rFonts w:hint="eastAsia" w:ascii="仿宋_GB2312" w:hAnsi="仿宋" w:eastAsia="仿宋_GB2312"/>
                <w:sz w:val="24"/>
                <w:szCs w:val="24"/>
              </w:rPr>
              <w:t>项目概况</w:t>
            </w:r>
          </w:p>
        </w:tc>
        <w:tc>
          <w:tcPr>
            <w:tcW w:w="7707" w:type="dxa"/>
            <w:vAlign w:val="center"/>
          </w:tcPr>
          <w:p>
            <w:pPr>
              <w:spacing w:line="360" w:lineRule="auto"/>
              <w:rPr>
                <w:rFonts w:ascii="仿宋_GB2312" w:hAnsi="仿宋" w:eastAsia="仿宋_GB2312"/>
                <w:sz w:val="24"/>
                <w:szCs w:val="24"/>
              </w:rPr>
            </w:pPr>
            <w:r>
              <w:rPr>
                <w:rFonts w:hint="eastAsia" w:ascii="仿宋_GB2312" w:hAnsi="仿宋" w:eastAsia="仿宋_GB2312"/>
                <w:sz w:val="24"/>
                <w:szCs w:val="24"/>
                <w:lang w:eastAsia="zh-CN"/>
              </w:rPr>
              <w:t>奇台</w:t>
            </w:r>
            <w:r>
              <w:rPr>
                <w:rFonts w:hint="eastAsia" w:ascii="仿宋_GB2312" w:hAnsi="仿宋" w:eastAsia="仿宋_GB2312"/>
                <w:sz w:val="24"/>
                <w:szCs w:val="24"/>
              </w:rPr>
              <w:t>糖业对部分业务进行外包，具体明细见EPS报价，中标供应商可以不唯一。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1078" w:type="dxa"/>
            <w:vAlign w:val="center"/>
          </w:tcPr>
          <w:p>
            <w:pPr>
              <w:pStyle w:val="5"/>
              <w:spacing w:line="360" w:lineRule="auto"/>
              <w:jc w:val="center"/>
              <w:rPr>
                <w:rFonts w:ascii="仿宋_GB2312" w:hAnsi="仿宋" w:eastAsia="仿宋_GB2312"/>
                <w:sz w:val="24"/>
                <w:szCs w:val="24"/>
              </w:rPr>
            </w:pPr>
            <w:r>
              <w:rPr>
                <w:rFonts w:hint="eastAsia" w:ascii="仿宋_GB2312" w:hAnsi="仿宋" w:eastAsia="仿宋_GB2312"/>
                <w:sz w:val="24"/>
                <w:szCs w:val="24"/>
              </w:rPr>
              <w:t>1.4</w:t>
            </w:r>
          </w:p>
        </w:tc>
        <w:tc>
          <w:tcPr>
            <w:tcW w:w="1562" w:type="dxa"/>
            <w:vAlign w:val="center"/>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标的预计需求数量</w:t>
            </w:r>
          </w:p>
        </w:tc>
        <w:tc>
          <w:tcPr>
            <w:tcW w:w="7707" w:type="dxa"/>
            <w:vAlign w:val="center"/>
          </w:tcPr>
          <w:p>
            <w:pPr>
              <w:spacing w:line="360" w:lineRule="auto"/>
              <w:rPr>
                <w:rFonts w:ascii="仿宋_GB2312" w:hAnsi="仿宋" w:eastAsia="仿宋_GB2312"/>
                <w:bCs/>
                <w:sz w:val="24"/>
                <w:szCs w:val="24"/>
              </w:rPr>
            </w:pPr>
            <w:r>
              <w:rPr>
                <w:rFonts w:hint="eastAsia" w:ascii="仿宋_GB2312" w:hAnsi="仿宋" w:eastAsia="仿宋_GB2312"/>
                <w:bCs/>
                <w:sz w:val="24"/>
                <w:szCs w:val="24"/>
              </w:rPr>
              <w:t>具体外包标的及数量详</w:t>
            </w:r>
            <w:r>
              <w:rPr>
                <w:rFonts w:hint="eastAsia" w:ascii="仿宋_GB2312" w:hAnsi="仿宋" w:eastAsia="仿宋_GB2312"/>
                <w:sz w:val="24"/>
                <w:szCs w:val="24"/>
              </w:rPr>
              <w:t>见EPS报价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78" w:type="dxa"/>
            <w:vAlign w:val="center"/>
          </w:tcPr>
          <w:p>
            <w:pPr>
              <w:pStyle w:val="5"/>
              <w:spacing w:line="360" w:lineRule="auto"/>
              <w:jc w:val="center"/>
              <w:rPr>
                <w:rFonts w:ascii="仿宋_GB2312" w:hAnsi="仿宋" w:eastAsia="仿宋_GB2312"/>
                <w:sz w:val="24"/>
                <w:szCs w:val="24"/>
              </w:rPr>
            </w:pPr>
            <w:r>
              <w:rPr>
                <w:rFonts w:hint="eastAsia" w:ascii="仿宋_GB2312" w:hAnsi="仿宋" w:eastAsia="仿宋_GB2312"/>
                <w:sz w:val="24"/>
                <w:szCs w:val="24"/>
              </w:rPr>
              <w:t>1.5</w:t>
            </w:r>
          </w:p>
        </w:tc>
        <w:tc>
          <w:tcPr>
            <w:tcW w:w="1562" w:type="dxa"/>
            <w:vAlign w:val="center"/>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交货地点：</w:t>
            </w:r>
          </w:p>
        </w:tc>
        <w:tc>
          <w:tcPr>
            <w:tcW w:w="7707" w:type="dxa"/>
            <w:vAlign w:val="center"/>
          </w:tcPr>
          <w:p>
            <w:pPr>
              <w:spacing w:line="360" w:lineRule="auto"/>
              <w:rPr>
                <w:rFonts w:ascii="仿宋_GB2312" w:hAnsi="仿宋" w:eastAsia="仿宋_GB2312"/>
                <w:bCs/>
                <w:sz w:val="24"/>
                <w:szCs w:val="24"/>
              </w:rPr>
            </w:pPr>
            <w:r>
              <w:rPr>
                <w:rFonts w:hint="eastAsia" w:ascii="仿宋_GB2312" w:hAnsi="仿宋" w:eastAsia="仿宋_GB2312" w:cs="Arial"/>
                <w:kern w:val="0"/>
                <w:sz w:val="24"/>
                <w:szCs w:val="24"/>
              </w:rPr>
              <w:t>中粮</w:t>
            </w:r>
            <w:r>
              <w:rPr>
                <w:rFonts w:hint="eastAsia" w:ascii="仿宋_GB2312" w:hAnsi="仿宋" w:eastAsia="仿宋_GB2312" w:cs="Arial"/>
                <w:kern w:val="0"/>
                <w:sz w:val="24"/>
                <w:szCs w:val="24"/>
                <w:lang w:eastAsia="zh-CN"/>
              </w:rPr>
              <w:t>糖业控股</w:t>
            </w:r>
            <w:r>
              <w:rPr>
                <w:rFonts w:hint="eastAsia" w:ascii="仿宋_GB2312" w:hAnsi="仿宋" w:eastAsia="仿宋_GB2312" w:cs="Arial"/>
                <w:kern w:val="0"/>
                <w:sz w:val="24"/>
                <w:szCs w:val="24"/>
              </w:rPr>
              <w:t>股份有限公司</w:t>
            </w:r>
            <w:r>
              <w:rPr>
                <w:rFonts w:hint="eastAsia" w:ascii="仿宋_GB2312" w:hAnsi="仿宋" w:eastAsia="仿宋_GB2312" w:cs="Arial"/>
                <w:kern w:val="0"/>
                <w:sz w:val="24"/>
                <w:szCs w:val="24"/>
                <w:lang w:eastAsia="zh-CN"/>
              </w:rPr>
              <w:t>奇台</w:t>
            </w:r>
            <w:r>
              <w:rPr>
                <w:rFonts w:hint="eastAsia" w:ascii="仿宋_GB2312" w:hAnsi="仿宋" w:eastAsia="仿宋_GB2312" w:cs="Arial"/>
                <w:kern w:val="0"/>
                <w:sz w:val="24"/>
                <w:szCs w:val="24"/>
              </w:rPr>
              <w:t>糖业分公司（简称</w:t>
            </w:r>
            <w:r>
              <w:rPr>
                <w:rFonts w:hint="eastAsia" w:ascii="仿宋_GB2312" w:hAnsi="仿宋" w:eastAsia="仿宋_GB2312" w:cs="Arial"/>
                <w:kern w:val="0"/>
                <w:sz w:val="24"/>
                <w:szCs w:val="24"/>
                <w:lang w:eastAsia="zh-CN"/>
              </w:rPr>
              <w:t>奇台</w:t>
            </w:r>
            <w:r>
              <w:rPr>
                <w:rFonts w:hint="eastAsia" w:ascii="仿宋_GB2312" w:hAnsi="仿宋" w:eastAsia="仿宋_GB2312" w:cs="Arial"/>
                <w:kern w:val="0"/>
                <w:sz w:val="24"/>
                <w:szCs w:val="24"/>
              </w:rPr>
              <w:t>糖业）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78" w:type="dxa"/>
            <w:vAlign w:val="center"/>
          </w:tcPr>
          <w:p>
            <w:pPr>
              <w:pStyle w:val="5"/>
              <w:spacing w:line="360" w:lineRule="auto"/>
              <w:jc w:val="center"/>
              <w:rPr>
                <w:rFonts w:ascii="仿宋_GB2312" w:hAnsi="仿宋" w:eastAsia="仿宋_GB2312"/>
                <w:sz w:val="24"/>
                <w:szCs w:val="24"/>
              </w:rPr>
            </w:pPr>
            <w:r>
              <w:rPr>
                <w:rFonts w:hint="eastAsia" w:ascii="仿宋_GB2312" w:hAnsi="仿宋" w:eastAsia="仿宋_GB2312"/>
                <w:sz w:val="24"/>
                <w:szCs w:val="24"/>
              </w:rPr>
              <w:t>1.6</w:t>
            </w:r>
          </w:p>
        </w:tc>
        <w:tc>
          <w:tcPr>
            <w:tcW w:w="1562" w:type="dxa"/>
            <w:vAlign w:val="center"/>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交货期</w:t>
            </w:r>
          </w:p>
        </w:tc>
        <w:tc>
          <w:tcPr>
            <w:tcW w:w="7707" w:type="dxa"/>
            <w:vAlign w:val="center"/>
          </w:tcPr>
          <w:p>
            <w:pPr>
              <w:spacing w:line="360" w:lineRule="auto"/>
              <w:rPr>
                <w:rFonts w:ascii="仿宋_GB2312" w:hAnsi="仿宋" w:eastAsia="仿宋_GB2312"/>
                <w:bCs/>
                <w:sz w:val="24"/>
                <w:szCs w:val="24"/>
              </w:rPr>
            </w:pPr>
            <w:r>
              <w:rPr>
                <w:rFonts w:hint="eastAsia" w:ascii="仿宋_GB2312" w:hAnsi="仿宋" w:eastAsia="仿宋_GB2312"/>
                <w:bCs/>
                <w:sz w:val="24"/>
                <w:szCs w:val="24"/>
              </w:rPr>
              <w:t>交货时间</w:t>
            </w:r>
            <w:r>
              <w:rPr>
                <w:rFonts w:hint="eastAsia" w:ascii="仿宋_GB2312" w:hAnsi="仿宋" w:eastAsia="仿宋_GB2312" w:cs="MS Mincho"/>
                <w:bCs/>
                <w:sz w:val="24"/>
                <w:szCs w:val="24"/>
              </w:rPr>
              <w:t>：具体在合同中确定。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78" w:type="dxa"/>
            <w:vAlign w:val="center"/>
          </w:tcPr>
          <w:p>
            <w:pPr>
              <w:pStyle w:val="5"/>
              <w:spacing w:line="360" w:lineRule="auto"/>
              <w:jc w:val="center"/>
              <w:rPr>
                <w:rFonts w:ascii="仿宋_GB2312" w:hAnsi="仿宋" w:eastAsia="仿宋_GB2312"/>
                <w:sz w:val="24"/>
                <w:szCs w:val="24"/>
              </w:rPr>
            </w:pPr>
            <w:r>
              <w:rPr>
                <w:rFonts w:hint="eastAsia" w:ascii="仿宋_GB2312" w:hAnsi="仿宋" w:eastAsia="仿宋_GB2312"/>
                <w:sz w:val="24"/>
                <w:szCs w:val="24"/>
              </w:rPr>
              <w:t>1.7</w:t>
            </w:r>
          </w:p>
        </w:tc>
        <w:tc>
          <w:tcPr>
            <w:tcW w:w="1562" w:type="dxa"/>
            <w:vAlign w:val="center"/>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付款方式</w:t>
            </w:r>
          </w:p>
        </w:tc>
        <w:tc>
          <w:tcPr>
            <w:tcW w:w="7707" w:type="dxa"/>
            <w:vAlign w:val="center"/>
          </w:tcPr>
          <w:p>
            <w:pPr>
              <w:autoSpaceDE w:val="0"/>
              <w:autoSpaceDN w:val="0"/>
              <w:adjustRightInd w:val="0"/>
              <w:spacing w:line="360" w:lineRule="auto"/>
              <w:rPr>
                <w:rFonts w:ascii="仿宋_GB2312" w:hAnsi="仿宋" w:eastAsia="仿宋_GB2312"/>
                <w:bCs/>
                <w:sz w:val="24"/>
                <w:szCs w:val="24"/>
              </w:rPr>
            </w:pPr>
            <w:r>
              <w:rPr>
                <w:rFonts w:hint="eastAsia" w:ascii="仿宋_GB2312" w:hAnsi="仿宋" w:eastAsia="仿宋_GB2312" w:cs="MS Mincho"/>
                <w:bCs/>
                <w:sz w:val="24"/>
                <w:szCs w:val="24"/>
                <w:lang w:val="en-US" w:eastAsia="zh-CN"/>
              </w:rPr>
              <w:t>次月5日</w:t>
            </w:r>
            <w:r>
              <w:rPr>
                <w:rFonts w:hint="eastAsia" w:ascii="仿宋_GB2312" w:hAnsi="仿宋" w:eastAsia="仿宋_GB2312" w:cs="MS Mincho"/>
                <w:bCs/>
                <w:sz w:val="24"/>
                <w:szCs w:val="24"/>
              </w:rPr>
              <w:t>根据双方确认的当月费用，乙方开具发票，甲方按资金计划一次性结算(电汇)。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078" w:type="dxa"/>
            <w:vAlign w:val="center"/>
          </w:tcPr>
          <w:p>
            <w:pPr>
              <w:pStyle w:val="5"/>
              <w:spacing w:line="360" w:lineRule="auto"/>
              <w:jc w:val="center"/>
              <w:rPr>
                <w:rFonts w:ascii="仿宋_GB2312" w:hAnsi="仿宋" w:eastAsia="仿宋_GB2312"/>
                <w:sz w:val="24"/>
                <w:szCs w:val="24"/>
              </w:rPr>
            </w:pPr>
            <w:r>
              <w:rPr>
                <w:rFonts w:hint="eastAsia" w:ascii="仿宋_GB2312" w:hAnsi="仿宋" w:eastAsia="仿宋_GB2312"/>
                <w:sz w:val="24"/>
                <w:szCs w:val="24"/>
              </w:rPr>
              <w:t>1.8</w:t>
            </w:r>
          </w:p>
        </w:tc>
        <w:tc>
          <w:tcPr>
            <w:tcW w:w="1562" w:type="dxa"/>
            <w:vAlign w:val="center"/>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质量技术标准</w:t>
            </w:r>
          </w:p>
        </w:tc>
        <w:tc>
          <w:tcPr>
            <w:tcW w:w="7707" w:type="dxa"/>
            <w:vAlign w:val="center"/>
          </w:tcPr>
          <w:p>
            <w:pPr>
              <w:spacing w:line="360" w:lineRule="auto"/>
              <w:rPr>
                <w:rFonts w:ascii="仿宋_GB2312" w:hAnsi="仿宋" w:eastAsia="仿宋_GB2312"/>
                <w:bCs/>
                <w:sz w:val="24"/>
                <w:szCs w:val="24"/>
              </w:rPr>
            </w:pPr>
            <w:r>
              <w:rPr>
                <w:rFonts w:hint="eastAsia" w:ascii="仿宋_GB2312" w:hAnsi="仿宋" w:eastAsia="仿宋_GB2312"/>
                <w:bCs/>
                <w:sz w:val="24"/>
                <w:szCs w:val="24"/>
              </w:rPr>
              <w:t>详见合同文本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078" w:type="dxa"/>
            <w:vAlign w:val="center"/>
          </w:tcPr>
          <w:p>
            <w:pPr>
              <w:pStyle w:val="5"/>
              <w:spacing w:line="360" w:lineRule="auto"/>
              <w:jc w:val="center"/>
              <w:rPr>
                <w:rFonts w:ascii="仿宋_GB2312" w:hAnsi="仿宋" w:eastAsia="仿宋_GB2312"/>
                <w:sz w:val="24"/>
                <w:szCs w:val="24"/>
              </w:rPr>
            </w:pPr>
            <w:r>
              <w:rPr>
                <w:rFonts w:hint="eastAsia" w:ascii="仿宋_GB2312" w:hAnsi="仿宋" w:eastAsia="仿宋_GB2312"/>
                <w:sz w:val="24"/>
                <w:szCs w:val="24"/>
              </w:rPr>
              <w:t>1.9</w:t>
            </w:r>
          </w:p>
        </w:tc>
        <w:tc>
          <w:tcPr>
            <w:tcW w:w="1562" w:type="dxa"/>
            <w:vAlign w:val="center"/>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投标人资格</w:t>
            </w:r>
          </w:p>
        </w:tc>
        <w:tc>
          <w:tcPr>
            <w:tcW w:w="7707" w:type="dxa"/>
            <w:vAlign w:val="center"/>
          </w:tcPr>
          <w:p>
            <w:pPr>
              <w:spacing w:line="360" w:lineRule="auto"/>
              <w:rPr>
                <w:rFonts w:ascii="仿宋_GB2312" w:hAnsi="仿宋" w:eastAsia="仿宋_GB2312" w:cs="MS Mincho"/>
                <w:sz w:val="24"/>
                <w:szCs w:val="24"/>
              </w:rPr>
            </w:pPr>
            <w:r>
              <w:rPr>
                <w:rFonts w:hint="eastAsia" w:ascii="仿宋_GB2312" w:hAnsi="仿宋" w:eastAsia="仿宋_GB2312" w:cs="MS Mincho"/>
                <w:sz w:val="24"/>
                <w:szCs w:val="24"/>
              </w:rPr>
              <w:t>资质要求：</w:t>
            </w:r>
          </w:p>
          <w:p>
            <w:pPr>
              <w:spacing w:line="360" w:lineRule="auto"/>
              <w:rPr>
                <w:rFonts w:ascii="仿宋_GB2312" w:hAnsi="仿宋" w:eastAsia="仿宋_GB2312" w:cs="MS Mincho"/>
                <w:sz w:val="24"/>
                <w:szCs w:val="24"/>
              </w:rPr>
            </w:pPr>
            <w:r>
              <w:rPr>
                <w:rFonts w:hint="eastAsia" w:ascii="仿宋_GB2312" w:hAnsi="仿宋" w:eastAsia="仿宋_GB2312" w:cs="MS Mincho"/>
                <w:sz w:val="24"/>
                <w:szCs w:val="24"/>
              </w:rPr>
              <w:t>1)</w:t>
            </w:r>
            <w:r>
              <w:rPr>
                <w:rFonts w:hint="eastAsia" w:ascii="仿宋_GB2312" w:hAnsi="仿宋" w:eastAsia="仿宋_GB2312" w:cs="MS Mincho"/>
                <w:sz w:val="24"/>
                <w:szCs w:val="24"/>
              </w:rPr>
              <w:tab/>
            </w:r>
            <w:r>
              <w:rPr>
                <w:rFonts w:hint="eastAsia" w:ascii="仿宋_GB2312" w:hAnsi="仿宋" w:eastAsia="仿宋_GB2312" w:cs="MS Mincho"/>
                <w:sz w:val="24"/>
                <w:szCs w:val="24"/>
              </w:rPr>
              <w:t>投标人应遵守《中华人民共和国招标投标法》及其它有关的中国法律和法规；</w:t>
            </w:r>
          </w:p>
          <w:p>
            <w:pPr>
              <w:spacing w:line="360" w:lineRule="auto"/>
              <w:rPr>
                <w:rFonts w:ascii="仿宋_GB2312" w:hAnsi="仿宋" w:eastAsia="仿宋_GB2312" w:cs="MS Mincho"/>
                <w:sz w:val="24"/>
                <w:szCs w:val="24"/>
              </w:rPr>
            </w:pPr>
            <w:r>
              <w:rPr>
                <w:rFonts w:hint="eastAsia" w:ascii="仿宋_GB2312" w:hAnsi="仿宋" w:eastAsia="仿宋_GB2312" w:cs="MS Mincho"/>
                <w:sz w:val="24"/>
                <w:szCs w:val="24"/>
              </w:rPr>
              <w:t>3)</w:t>
            </w:r>
            <w:r>
              <w:rPr>
                <w:rFonts w:hint="eastAsia" w:ascii="仿宋_GB2312" w:hAnsi="仿宋" w:eastAsia="仿宋_GB2312" w:cs="MS Mincho"/>
                <w:sz w:val="24"/>
                <w:szCs w:val="24"/>
              </w:rPr>
              <w:tab/>
            </w:r>
            <w:r>
              <w:rPr>
                <w:rFonts w:hint="eastAsia" w:ascii="仿宋_GB2312" w:hAnsi="仿宋" w:eastAsia="仿宋_GB2312" w:cs="MS Mincho"/>
                <w:sz w:val="24"/>
                <w:szCs w:val="24"/>
              </w:rPr>
              <w:t>在中国境内注册的独立法人，具有独立法人资格，具有有效的营业执照；</w:t>
            </w:r>
          </w:p>
          <w:p>
            <w:pPr>
              <w:spacing w:line="360" w:lineRule="auto"/>
              <w:rPr>
                <w:rFonts w:ascii="仿宋_GB2312" w:hAnsi="仿宋" w:eastAsia="仿宋_GB2312" w:cs="MS Mincho"/>
                <w:sz w:val="24"/>
                <w:szCs w:val="24"/>
              </w:rPr>
            </w:pPr>
            <w:r>
              <w:rPr>
                <w:rFonts w:hint="eastAsia" w:ascii="仿宋_GB2312" w:hAnsi="仿宋" w:eastAsia="仿宋_GB2312" w:cs="MS Mincho"/>
                <w:sz w:val="24"/>
                <w:szCs w:val="24"/>
              </w:rPr>
              <w:t>4)</w:t>
            </w:r>
            <w:r>
              <w:rPr>
                <w:rFonts w:hint="eastAsia" w:ascii="仿宋_GB2312" w:hAnsi="仿宋" w:eastAsia="仿宋_GB2312" w:cs="MS Mincho"/>
                <w:sz w:val="24"/>
                <w:szCs w:val="24"/>
              </w:rPr>
              <w:tab/>
            </w:r>
            <w:r>
              <w:rPr>
                <w:rFonts w:hint="eastAsia" w:ascii="仿宋_GB2312" w:hAnsi="仿宋" w:eastAsia="仿宋_GB2312" w:cs="MS Mincho"/>
                <w:sz w:val="24"/>
                <w:szCs w:val="24"/>
              </w:rPr>
              <w:t>没有处于被责令停业，投标资格被取消，财产被接管、冻结，破产状态；</w:t>
            </w:r>
          </w:p>
          <w:p>
            <w:pPr>
              <w:spacing w:line="360" w:lineRule="auto"/>
              <w:rPr>
                <w:rFonts w:ascii="仿宋_GB2312" w:hAnsi="仿宋" w:eastAsia="仿宋_GB2312" w:cs="MS Mincho"/>
                <w:sz w:val="24"/>
                <w:szCs w:val="24"/>
              </w:rPr>
            </w:pPr>
            <w:r>
              <w:rPr>
                <w:rFonts w:hint="eastAsia" w:ascii="仿宋_GB2312" w:hAnsi="仿宋" w:eastAsia="仿宋_GB2312" w:cs="MS Mincho"/>
                <w:sz w:val="24"/>
                <w:szCs w:val="24"/>
              </w:rPr>
              <w:t>5)</w:t>
            </w:r>
            <w:r>
              <w:rPr>
                <w:rFonts w:hint="eastAsia" w:ascii="仿宋_GB2312" w:hAnsi="仿宋" w:eastAsia="仿宋_GB2312" w:cs="MS Mincho"/>
                <w:sz w:val="24"/>
                <w:szCs w:val="24"/>
              </w:rPr>
              <w:tab/>
            </w:r>
            <w:r>
              <w:rPr>
                <w:rFonts w:hint="eastAsia" w:ascii="仿宋_GB2312" w:hAnsi="仿宋" w:eastAsia="仿宋_GB2312" w:cs="MS Mincho"/>
                <w:sz w:val="24"/>
                <w:szCs w:val="24"/>
              </w:rPr>
              <w:t>具有本项目的劳务外包资质；</w:t>
            </w:r>
          </w:p>
          <w:p>
            <w:pPr>
              <w:spacing w:line="360" w:lineRule="auto"/>
              <w:rPr>
                <w:rFonts w:hint="eastAsia" w:ascii="仿宋_GB2312" w:hAnsi="仿宋" w:eastAsia="仿宋_GB2312" w:cs="MS Mincho"/>
                <w:sz w:val="24"/>
                <w:szCs w:val="24"/>
              </w:rPr>
            </w:pPr>
            <w:r>
              <w:rPr>
                <w:rFonts w:hint="eastAsia" w:ascii="仿宋_GB2312" w:hAnsi="仿宋" w:eastAsia="仿宋_GB2312" w:cs="MS Mincho"/>
                <w:sz w:val="24"/>
                <w:szCs w:val="24"/>
              </w:rPr>
              <w:t>6）上传系统要求的廉洁承诺书及质量承诺书及其他资质文件且在有效期内。</w:t>
            </w:r>
          </w:p>
          <w:p>
            <w:pPr>
              <w:spacing w:line="360" w:lineRule="auto"/>
              <w:rPr>
                <w:rFonts w:hint="default" w:ascii="仿宋_GB2312" w:hAnsi="仿宋" w:eastAsia="仿宋_GB2312" w:cs="MS Mincho"/>
                <w:sz w:val="24"/>
                <w:szCs w:val="24"/>
                <w:lang w:val="en-US" w:eastAsia="zh-CN"/>
              </w:rPr>
            </w:pPr>
            <w:r>
              <w:rPr>
                <w:rFonts w:hint="eastAsia" w:ascii="仿宋_GB2312" w:hAnsi="仿宋" w:eastAsia="仿宋_GB2312" w:cs="MS Mincho"/>
                <w:sz w:val="24"/>
                <w:szCs w:val="24"/>
                <w:lang w:val="en-US" w:eastAsia="zh-CN"/>
              </w:rPr>
              <w:t>7.劳务外包职工进厂需提供入职体检报告。有禁忌症不允许进场。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78" w:type="dxa"/>
            <w:vAlign w:val="center"/>
          </w:tcPr>
          <w:p>
            <w:pPr>
              <w:pStyle w:val="5"/>
              <w:spacing w:line="360" w:lineRule="auto"/>
              <w:jc w:val="center"/>
              <w:rPr>
                <w:rFonts w:ascii="仿宋_GB2312" w:hAnsi="仿宋" w:eastAsia="仿宋_GB2312"/>
                <w:sz w:val="24"/>
                <w:szCs w:val="24"/>
              </w:rPr>
            </w:pPr>
            <w:r>
              <w:rPr>
                <w:rFonts w:hint="eastAsia" w:ascii="仿宋_GB2312" w:hAnsi="仿宋" w:eastAsia="仿宋_GB2312"/>
                <w:sz w:val="24"/>
                <w:szCs w:val="24"/>
              </w:rPr>
              <w:t>1.10</w:t>
            </w:r>
          </w:p>
        </w:tc>
        <w:tc>
          <w:tcPr>
            <w:tcW w:w="1562" w:type="dxa"/>
            <w:vAlign w:val="center"/>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是否接受联合体</w:t>
            </w:r>
          </w:p>
        </w:tc>
        <w:tc>
          <w:tcPr>
            <w:tcW w:w="7707" w:type="dxa"/>
            <w:vAlign w:val="center"/>
          </w:tcPr>
          <w:p>
            <w:pPr>
              <w:pStyle w:val="5"/>
              <w:spacing w:line="360" w:lineRule="auto"/>
              <w:rPr>
                <w:rFonts w:ascii="仿宋_GB2312" w:hAnsi="仿宋" w:eastAsia="仿宋_GB2312"/>
                <w:sz w:val="24"/>
                <w:szCs w:val="24"/>
              </w:rPr>
            </w:pPr>
            <w:r>
              <w:rPr>
                <w:rFonts w:hint="eastAsia" w:ascii="仿宋_GB2312" w:hAnsi="仿宋" w:eastAsia="仿宋_GB2312"/>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078" w:type="dxa"/>
            <w:vAlign w:val="center"/>
          </w:tcPr>
          <w:p>
            <w:pPr>
              <w:pStyle w:val="5"/>
              <w:spacing w:line="360" w:lineRule="auto"/>
              <w:jc w:val="center"/>
              <w:rPr>
                <w:rFonts w:ascii="仿宋_GB2312" w:hAnsi="仿宋" w:eastAsia="仿宋_GB2312"/>
                <w:sz w:val="24"/>
                <w:szCs w:val="24"/>
              </w:rPr>
            </w:pPr>
            <w:r>
              <w:rPr>
                <w:rFonts w:hint="eastAsia" w:ascii="仿宋_GB2312" w:hAnsi="仿宋" w:eastAsia="仿宋_GB2312"/>
                <w:sz w:val="24"/>
                <w:szCs w:val="24"/>
              </w:rPr>
              <w:t>1.11</w:t>
            </w:r>
          </w:p>
        </w:tc>
        <w:tc>
          <w:tcPr>
            <w:tcW w:w="1562" w:type="dxa"/>
            <w:vAlign w:val="center"/>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分包</w:t>
            </w:r>
          </w:p>
        </w:tc>
        <w:tc>
          <w:tcPr>
            <w:tcW w:w="7707" w:type="dxa"/>
            <w:vAlign w:val="center"/>
          </w:tcPr>
          <w:p>
            <w:pPr>
              <w:pStyle w:val="5"/>
              <w:spacing w:line="360" w:lineRule="auto"/>
              <w:rPr>
                <w:rFonts w:ascii="仿宋_GB2312" w:hAnsi="仿宋" w:eastAsia="仿宋_GB2312"/>
                <w:sz w:val="24"/>
                <w:szCs w:val="24"/>
              </w:rPr>
            </w:pPr>
            <w:r>
              <w:rPr>
                <w:rFonts w:hint="eastAsia" w:ascii="仿宋_GB2312" w:hAnsi="仿宋" w:eastAsia="仿宋_GB2312"/>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78" w:type="dxa"/>
            <w:vAlign w:val="center"/>
          </w:tcPr>
          <w:p>
            <w:pPr>
              <w:pStyle w:val="5"/>
              <w:spacing w:line="360" w:lineRule="auto"/>
              <w:jc w:val="center"/>
              <w:rPr>
                <w:rFonts w:ascii="仿宋_GB2312" w:hAnsi="仿宋" w:eastAsia="仿宋_GB2312"/>
                <w:sz w:val="24"/>
                <w:szCs w:val="24"/>
              </w:rPr>
            </w:pPr>
            <w:r>
              <w:rPr>
                <w:rFonts w:hint="eastAsia" w:ascii="仿宋_GB2312" w:hAnsi="仿宋" w:eastAsia="仿宋_GB2312"/>
                <w:sz w:val="24"/>
                <w:szCs w:val="24"/>
                <w:lang w:val="en-US" w:eastAsia="zh-CN"/>
              </w:rPr>
              <w:t>2</w:t>
            </w:r>
            <w:r>
              <w:rPr>
                <w:rFonts w:hint="eastAsia" w:ascii="仿宋_GB2312" w:hAnsi="仿宋" w:eastAsia="仿宋_GB2312"/>
                <w:sz w:val="24"/>
                <w:szCs w:val="24"/>
              </w:rPr>
              <w:t>.1</w:t>
            </w:r>
          </w:p>
        </w:tc>
        <w:tc>
          <w:tcPr>
            <w:tcW w:w="1562" w:type="dxa"/>
            <w:vAlign w:val="center"/>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投标有效期</w:t>
            </w:r>
          </w:p>
        </w:tc>
        <w:tc>
          <w:tcPr>
            <w:tcW w:w="7707" w:type="dxa"/>
            <w:vAlign w:val="center"/>
          </w:tcPr>
          <w:p>
            <w:pPr>
              <w:pStyle w:val="5"/>
              <w:spacing w:line="360" w:lineRule="auto"/>
              <w:rPr>
                <w:rFonts w:hint="default" w:ascii="仿宋_GB2312" w:hAnsi="仿宋" w:eastAsia="仿宋_GB2312"/>
                <w:sz w:val="24"/>
                <w:szCs w:val="24"/>
                <w:lang w:val="en-US" w:eastAsia="zh-CN"/>
              </w:rPr>
            </w:pPr>
            <w:r>
              <w:rPr>
                <w:rFonts w:hint="eastAsia" w:ascii="仿宋_GB2312" w:hAnsi="仿宋" w:eastAsia="仿宋_GB2312"/>
                <w:sz w:val="24"/>
                <w:szCs w:val="24"/>
              </w:rPr>
              <w:t>自投标截止之日起</w:t>
            </w:r>
            <w:r>
              <w:rPr>
                <w:rFonts w:hint="eastAsia" w:ascii="仿宋_GB2312" w:hAnsi="仿宋" w:eastAsia="仿宋_GB2312"/>
                <w:sz w:val="24"/>
                <w:szCs w:val="24"/>
                <w:lang w:val="en-US" w:eastAsia="zh-CN"/>
              </w:rPr>
              <w:t>至奇台糖业本榨季结束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78" w:type="dxa"/>
            <w:vAlign w:val="center"/>
          </w:tcPr>
          <w:p>
            <w:pPr>
              <w:pStyle w:val="5"/>
              <w:spacing w:line="360" w:lineRule="auto"/>
              <w:jc w:val="center"/>
              <w:rPr>
                <w:rFonts w:hint="eastAsia" w:ascii="仿宋_GB2312" w:hAnsi="仿宋" w:eastAsia="仿宋_GB2312"/>
                <w:sz w:val="24"/>
                <w:szCs w:val="24"/>
                <w:lang w:val="en-US" w:eastAsia="zh-CN"/>
              </w:rPr>
            </w:pPr>
            <w:r>
              <w:rPr>
                <w:rFonts w:hint="eastAsia" w:ascii="仿宋_GB2312" w:hAnsi="仿宋" w:eastAsia="仿宋_GB2312"/>
                <w:sz w:val="24"/>
                <w:szCs w:val="24"/>
              </w:rPr>
              <w:t>3.</w:t>
            </w:r>
            <w:r>
              <w:rPr>
                <w:rFonts w:hint="eastAsia" w:ascii="仿宋_GB2312" w:hAnsi="仿宋" w:eastAsia="仿宋_GB2312"/>
                <w:sz w:val="24"/>
                <w:szCs w:val="24"/>
                <w:lang w:val="en-US" w:eastAsia="zh-CN"/>
              </w:rPr>
              <w:t>1</w:t>
            </w:r>
          </w:p>
        </w:tc>
        <w:tc>
          <w:tcPr>
            <w:tcW w:w="1562" w:type="dxa"/>
            <w:vAlign w:val="center"/>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投标保证金</w:t>
            </w:r>
          </w:p>
        </w:tc>
        <w:tc>
          <w:tcPr>
            <w:tcW w:w="7707" w:type="dxa"/>
            <w:vAlign w:val="center"/>
          </w:tcPr>
          <w:p>
            <w:pPr>
              <w:pStyle w:val="5"/>
              <w:spacing w:line="360" w:lineRule="auto"/>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78" w:type="dxa"/>
            <w:vAlign w:val="center"/>
          </w:tcPr>
          <w:p>
            <w:pPr>
              <w:pStyle w:val="5"/>
              <w:spacing w:line="360" w:lineRule="auto"/>
              <w:jc w:val="center"/>
              <w:rPr>
                <w:rFonts w:ascii="仿宋_GB2312" w:hAnsi="仿宋" w:eastAsia="仿宋_GB2312"/>
                <w:sz w:val="24"/>
                <w:szCs w:val="24"/>
              </w:rPr>
            </w:pPr>
            <w:r>
              <w:rPr>
                <w:rFonts w:hint="eastAsia" w:ascii="仿宋_GB2312" w:hAnsi="仿宋" w:eastAsia="仿宋_GB2312"/>
                <w:sz w:val="24"/>
                <w:szCs w:val="24"/>
              </w:rPr>
              <w:t>4.1</w:t>
            </w:r>
          </w:p>
        </w:tc>
        <w:tc>
          <w:tcPr>
            <w:tcW w:w="1562" w:type="dxa"/>
            <w:vAlign w:val="center"/>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中标原则</w:t>
            </w:r>
          </w:p>
        </w:tc>
        <w:tc>
          <w:tcPr>
            <w:tcW w:w="7707" w:type="dxa"/>
            <w:vAlign w:val="center"/>
          </w:tcPr>
          <w:p>
            <w:pPr>
              <w:pStyle w:val="5"/>
              <w:spacing w:line="360" w:lineRule="auto"/>
              <w:rPr>
                <w:rFonts w:ascii="仿宋_GB2312" w:hAnsi="仿宋" w:eastAsia="仿宋_GB2312"/>
                <w:sz w:val="24"/>
                <w:szCs w:val="24"/>
              </w:rPr>
            </w:pPr>
            <w:r>
              <w:rPr>
                <w:rFonts w:hint="eastAsia" w:ascii="仿宋_GB2312" w:hAnsi="仿宋" w:eastAsia="仿宋_GB2312"/>
                <w:sz w:val="24"/>
                <w:szCs w:val="24"/>
              </w:rPr>
              <w:t>总价最低中标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078" w:type="dxa"/>
            <w:vAlign w:val="center"/>
          </w:tcPr>
          <w:p>
            <w:pPr>
              <w:pStyle w:val="5"/>
              <w:spacing w:line="360" w:lineRule="auto"/>
              <w:jc w:val="center"/>
              <w:rPr>
                <w:rFonts w:ascii="仿宋_GB2312" w:hAnsi="仿宋" w:eastAsia="仿宋_GB2312"/>
                <w:sz w:val="24"/>
                <w:szCs w:val="24"/>
              </w:rPr>
            </w:pPr>
            <w:r>
              <w:rPr>
                <w:rFonts w:hint="eastAsia" w:ascii="仿宋_GB2312" w:hAnsi="仿宋" w:eastAsia="仿宋_GB2312"/>
                <w:sz w:val="24"/>
                <w:szCs w:val="24"/>
              </w:rPr>
              <w:t>4.2</w:t>
            </w:r>
          </w:p>
        </w:tc>
        <w:tc>
          <w:tcPr>
            <w:tcW w:w="1562" w:type="dxa"/>
            <w:vAlign w:val="center"/>
          </w:tcPr>
          <w:p>
            <w:pPr>
              <w:spacing w:line="360" w:lineRule="auto"/>
              <w:jc w:val="center"/>
              <w:rPr>
                <w:rFonts w:hint="default" w:ascii="仿宋_GB2312" w:hAnsi="仿宋" w:eastAsia="仿宋_GB2312"/>
                <w:sz w:val="24"/>
                <w:szCs w:val="24"/>
                <w:lang w:val="en-US" w:eastAsia="zh-CN"/>
              </w:rPr>
            </w:pPr>
            <w:r>
              <w:rPr>
                <w:rFonts w:hint="eastAsia" w:ascii="仿宋_GB2312" w:hAnsi="仿宋" w:eastAsia="仿宋_GB2312"/>
                <w:sz w:val="24"/>
                <w:szCs w:val="24"/>
              </w:rPr>
              <w:t>履约保证金</w:t>
            </w:r>
            <w:r>
              <w:rPr>
                <w:rFonts w:hint="eastAsia" w:ascii="仿宋_GB2312" w:hAnsi="仿宋" w:eastAsia="仿宋_GB2312"/>
                <w:sz w:val="24"/>
                <w:szCs w:val="24"/>
                <w:lang w:val="en-US" w:eastAsia="zh-CN"/>
              </w:rPr>
              <w:t>/安全风险抵押金</w:t>
            </w:r>
          </w:p>
        </w:tc>
        <w:tc>
          <w:tcPr>
            <w:tcW w:w="7707" w:type="dxa"/>
            <w:vAlign w:val="center"/>
          </w:tcPr>
          <w:p>
            <w:pPr>
              <w:spacing w:line="360" w:lineRule="auto"/>
              <w:jc w:val="left"/>
              <w:rPr>
                <w:rFonts w:hint="default" w:ascii="仿宋_GB2312" w:hAnsi="仿宋" w:eastAsia="仿宋_GB2312"/>
                <w:sz w:val="24"/>
                <w:szCs w:val="24"/>
                <w:u w:val="single"/>
                <w:lang w:val="en-US" w:eastAsia="zh-CN"/>
              </w:rPr>
            </w:pPr>
            <w:r>
              <w:rPr>
                <w:rFonts w:hint="eastAsia" w:ascii="仿宋_GB2312" w:hAnsi="仿宋" w:eastAsia="仿宋_GB2312"/>
                <w:sz w:val="24"/>
                <w:szCs w:val="24"/>
                <w:lang w:val="en-US" w:eastAsia="zh-CN"/>
              </w:rPr>
              <w:t>中标后，需缴纳合同履约保证金5000元，风险抵押金5000元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078" w:type="dxa"/>
            <w:vAlign w:val="center"/>
          </w:tcPr>
          <w:p>
            <w:pPr>
              <w:spacing w:line="360" w:lineRule="auto"/>
              <w:jc w:val="center"/>
              <w:rPr>
                <w:rFonts w:ascii="仿宋_GB2312" w:hAnsi="仿宋" w:eastAsia="仿宋_GB2312"/>
                <w:color w:val="000000"/>
                <w:sz w:val="24"/>
                <w:szCs w:val="24"/>
              </w:rPr>
            </w:pPr>
            <w:r>
              <w:rPr>
                <w:rFonts w:hint="eastAsia" w:ascii="仿宋_GB2312" w:hAnsi="仿宋" w:eastAsia="仿宋_GB2312"/>
                <w:color w:val="000000"/>
                <w:sz w:val="24"/>
                <w:szCs w:val="24"/>
              </w:rPr>
              <w:t>5.1</w:t>
            </w:r>
          </w:p>
        </w:tc>
        <w:tc>
          <w:tcPr>
            <w:tcW w:w="1562" w:type="dxa"/>
            <w:vAlign w:val="center"/>
          </w:tcPr>
          <w:p>
            <w:pPr>
              <w:spacing w:line="360" w:lineRule="auto"/>
              <w:jc w:val="center"/>
              <w:rPr>
                <w:rFonts w:ascii="仿宋_GB2312" w:hAnsi="仿宋" w:eastAsia="仿宋_GB2312"/>
                <w:color w:val="000000"/>
                <w:sz w:val="24"/>
                <w:szCs w:val="24"/>
              </w:rPr>
            </w:pPr>
            <w:r>
              <w:rPr>
                <w:rFonts w:hint="eastAsia" w:ascii="仿宋_GB2312" w:hAnsi="仿宋" w:eastAsia="仿宋_GB2312"/>
                <w:color w:val="000000"/>
                <w:sz w:val="24"/>
                <w:szCs w:val="24"/>
              </w:rPr>
              <w:t>采购控制价</w:t>
            </w:r>
          </w:p>
        </w:tc>
        <w:tc>
          <w:tcPr>
            <w:tcW w:w="7707" w:type="dxa"/>
            <w:vAlign w:val="center"/>
          </w:tcPr>
          <w:p>
            <w:pPr>
              <w:spacing w:line="360" w:lineRule="auto"/>
              <w:jc w:val="left"/>
              <w:rPr>
                <w:rFonts w:ascii="仿宋_GB2312" w:hAnsi="仿宋" w:eastAsia="仿宋_GB2312"/>
                <w:sz w:val="24"/>
                <w:szCs w:val="24"/>
              </w:rPr>
            </w:pPr>
            <w:r>
              <w:rPr>
                <w:rFonts w:hint="eastAsia" w:ascii="仿宋_GB2312" w:hAnsi="仿宋" w:eastAsia="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1078" w:type="dxa"/>
            <w:vAlign w:val="center"/>
          </w:tcPr>
          <w:p>
            <w:pPr>
              <w:spacing w:line="360" w:lineRule="auto"/>
              <w:jc w:val="center"/>
              <w:rPr>
                <w:rFonts w:ascii="仿宋_GB2312" w:hAnsi="仿宋" w:eastAsia="仿宋_GB2312"/>
                <w:color w:val="000000"/>
                <w:sz w:val="24"/>
                <w:szCs w:val="24"/>
              </w:rPr>
            </w:pPr>
            <w:r>
              <w:rPr>
                <w:rFonts w:hint="eastAsia" w:ascii="仿宋_GB2312" w:hAnsi="仿宋" w:eastAsia="仿宋_GB2312"/>
                <w:color w:val="000000"/>
                <w:sz w:val="24"/>
                <w:szCs w:val="24"/>
              </w:rPr>
              <w:t>6.1</w:t>
            </w:r>
          </w:p>
        </w:tc>
        <w:tc>
          <w:tcPr>
            <w:tcW w:w="1562" w:type="dxa"/>
            <w:vAlign w:val="center"/>
          </w:tcPr>
          <w:p>
            <w:pPr>
              <w:spacing w:line="360" w:lineRule="auto"/>
              <w:jc w:val="center"/>
              <w:rPr>
                <w:rFonts w:ascii="仿宋_GB2312" w:hAnsi="仿宋" w:eastAsia="仿宋_GB2312"/>
                <w:color w:val="000000"/>
                <w:sz w:val="24"/>
                <w:szCs w:val="24"/>
              </w:rPr>
            </w:pPr>
            <w:r>
              <w:rPr>
                <w:rFonts w:hint="eastAsia" w:ascii="仿宋_GB2312" w:hAnsi="仿宋" w:eastAsia="仿宋_GB2312"/>
                <w:color w:val="000000"/>
                <w:sz w:val="24"/>
                <w:szCs w:val="24"/>
              </w:rPr>
              <w:t>保密</w:t>
            </w:r>
          </w:p>
        </w:tc>
        <w:tc>
          <w:tcPr>
            <w:tcW w:w="7707" w:type="dxa"/>
            <w:vAlign w:val="center"/>
          </w:tcPr>
          <w:p>
            <w:pPr>
              <w:spacing w:line="360" w:lineRule="auto"/>
              <w:jc w:val="left"/>
              <w:rPr>
                <w:rFonts w:ascii="仿宋_GB2312" w:hAnsi="仿宋" w:eastAsia="仿宋_GB2312"/>
                <w:sz w:val="24"/>
                <w:szCs w:val="24"/>
              </w:rPr>
            </w:pPr>
            <w:r>
              <w:rPr>
                <w:rFonts w:hint="eastAsia" w:ascii="仿宋_GB2312" w:hAnsi="仿宋" w:eastAsia="仿宋_GB2312"/>
                <w:sz w:val="24"/>
                <w:szCs w:val="24"/>
              </w:rPr>
              <w:t>参与采购投标活动的各方应对采购文件和投标文件中的商业和技术等秘密保密，违者应对由此造成的后果承担法律责任。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640" w:type="dxa"/>
            <w:gridSpan w:val="2"/>
            <w:vAlign w:val="center"/>
          </w:tcPr>
          <w:p>
            <w:pPr>
              <w:spacing w:line="360" w:lineRule="auto"/>
              <w:jc w:val="center"/>
              <w:rPr>
                <w:rFonts w:ascii="仿宋_GB2312" w:hAnsi="仿宋" w:eastAsia="仿宋_GB2312"/>
                <w:sz w:val="28"/>
                <w:szCs w:val="28"/>
              </w:rPr>
            </w:pPr>
            <w:r>
              <w:rPr>
                <w:rFonts w:hint="eastAsia" w:ascii="仿宋_GB2312" w:hAnsi="仿宋" w:eastAsia="仿宋_GB2312"/>
                <w:sz w:val="28"/>
                <w:szCs w:val="28"/>
              </w:rPr>
              <w:t>现场监督</w:t>
            </w:r>
          </w:p>
        </w:tc>
        <w:tc>
          <w:tcPr>
            <w:tcW w:w="7707" w:type="dxa"/>
            <w:vAlign w:val="center"/>
          </w:tcPr>
          <w:p>
            <w:pPr>
              <w:spacing w:line="360" w:lineRule="auto"/>
              <w:rPr>
                <w:rFonts w:ascii="仿宋_GB2312" w:hAnsi="仿宋" w:eastAsia="仿宋_GB2312"/>
                <w:sz w:val="28"/>
                <w:szCs w:val="28"/>
              </w:rPr>
            </w:pPr>
            <w:r>
              <w:rPr>
                <w:rFonts w:hint="eastAsia" w:ascii="仿宋_GB2312" w:hAnsi="仿宋" w:eastAsia="仿宋_GB2312"/>
                <w:sz w:val="28"/>
                <w:szCs w:val="28"/>
              </w:rPr>
              <w:t>现场监督由</w:t>
            </w:r>
            <w:r>
              <w:rPr>
                <w:rFonts w:hint="eastAsia" w:ascii="仿宋_GB2312" w:hAnsi="仿宋" w:eastAsia="仿宋_GB2312"/>
                <w:sz w:val="28"/>
                <w:szCs w:val="28"/>
                <w:lang w:eastAsia="zh-CN"/>
              </w:rPr>
              <w:t>奇台</w:t>
            </w:r>
            <w:r>
              <w:rPr>
                <w:rFonts w:hint="eastAsia" w:ascii="仿宋_GB2312" w:hAnsi="仿宋" w:eastAsia="仿宋_GB2312"/>
                <w:sz w:val="28"/>
                <w:szCs w:val="28"/>
              </w:rPr>
              <w:t>糖业财务部在EPS中监督</w:t>
            </w:r>
          </w:p>
        </w:tc>
      </w:tr>
    </w:tbl>
    <w:p>
      <w:pPr>
        <w:rPr>
          <w:rFonts w:hint="eastAsia" w:ascii="黑体" w:hAnsi="黑体" w:eastAsia="黑体" w:cs="黑体"/>
          <w:b/>
          <w:sz w:val="28"/>
          <w:szCs w:val="28"/>
          <w:lang w:eastAsia="zh-CN"/>
        </w:rPr>
      </w:pPr>
      <w:r>
        <w:rPr>
          <w:rFonts w:hint="eastAsia" w:ascii="黑体" w:hAnsi="黑体" w:eastAsia="黑体" w:cs="黑体"/>
          <w:b/>
          <w:sz w:val="28"/>
          <w:szCs w:val="28"/>
          <w:lang w:eastAsia="zh-CN"/>
        </w:rPr>
        <w:t>业务内容：</w:t>
      </w:r>
    </w:p>
    <w:tbl>
      <w:tblPr>
        <w:tblStyle w:val="10"/>
        <w:tblW w:w="10183" w:type="dxa"/>
        <w:jc w:val="center"/>
        <w:tblLayout w:type="fixed"/>
        <w:tblCellMar>
          <w:top w:w="0" w:type="dxa"/>
          <w:left w:w="108" w:type="dxa"/>
          <w:bottom w:w="0" w:type="dxa"/>
          <w:right w:w="108" w:type="dxa"/>
        </w:tblCellMar>
      </w:tblPr>
      <w:tblGrid>
        <w:gridCol w:w="4488"/>
        <w:gridCol w:w="5695"/>
      </w:tblGrid>
      <w:tr>
        <w:tblPrEx>
          <w:tblCellMar>
            <w:top w:w="0" w:type="dxa"/>
            <w:left w:w="108" w:type="dxa"/>
            <w:bottom w:w="0" w:type="dxa"/>
            <w:right w:w="108" w:type="dxa"/>
          </w:tblCellMar>
        </w:tblPrEx>
        <w:trPr>
          <w:trHeight w:val="560" w:hRule="atLeast"/>
          <w:jc w:val="center"/>
        </w:trPr>
        <w:tc>
          <w:tcPr>
            <w:tcW w:w="4488" w:type="dxa"/>
            <w:vMerge w:val="restart"/>
            <w:tcBorders>
              <w:top w:val="single" w:color="000000" w:sz="4" w:space="0"/>
              <w:left w:val="single" w:color="000000" w:sz="4" w:space="0"/>
              <w:bottom w:val="single" w:color="000000" w:sz="4" w:space="0"/>
              <w:right w:val="single" w:color="000000" w:sz="4" w:space="0"/>
            </w:tcBorders>
            <w:shd w:val="clear" w:color="auto" w:fill="DDEBF7"/>
            <w:vAlign w:val="center"/>
          </w:tcPr>
          <w:p>
            <w:pPr>
              <w:spacing w:line="560" w:lineRule="exact"/>
              <w:jc w:val="center"/>
              <w:textAlignment w:val="center"/>
              <w:rPr>
                <w:rFonts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rPr>
              <w:t>业务外包工段</w:t>
            </w:r>
          </w:p>
        </w:tc>
        <w:tc>
          <w:tcPr>
            <w:tcW w:w="5695" w:type="dxa"/>
            <w:vMerge w:val="restart"/>
            <w:tcBorders>
              <w:top w:val="single" w:color="000000" w:sz="4" w:space="0"/>
              <w:left w:val="single" w:color="000000" w:sz="4" w:space="0"/>
              <w:bottom w:val="single" w:color="000000" w:sz="4" w:space="0"/>
              <w:right w:val="single" w:color="000000" w:sz="4" w:space="0"/>
            </w:tcBorders>
            <w:shd w:val="clear" w:color="auto" w:fill="FCE4D6"/>
            <w:vAlign w:val="center"/>
          </w:tcPr>
          <w:p>
            <w:pPr>
              <w:spacing w:line="560" w:lineRule="exact"/>
              <w:jc w:val="center"/>
              <w:textAlignment w:val="center"/>
              <w:rPr>
                <w:rFonts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rPr>
              <w:t>业务外包内容内容</w:t>
            </w:r>
          </w:p>
        </w:tc>
      </w:tr>
      <w:tr>
        <w:tblPrEx>
          <w:tblCellMar>
            <w:top w:w="0" w:type="dxa"/>
            <w:left w:w="108" w:type="dxa"/>
            <w:bottom w:w="0" w:type="dxa"/>
            <w:right w:w="108" w:type="dxa"/>
          </w:tblCellMar>
        </w:tblPrEx>
        <w:trPr>
          <w:trHeight w:val="560" w:hRule="atLeast"/>
          <w:jc w:val="center"/>
        </w:trPr>
        <w:tc>
          <w:tcPr>
            <w:tcW w:w="4488" w:type="dxa"/>
            <w:vMerge w:val="continue"/>
            <w:tcBorders>
              <w:top w:val="single" w:color="000000" w:sz="4" w:space="0"/>
              <w:left w:val="single" w:color="000000" w:sz="4" w:space="0"/>
              <w:bottom w:val="single" w:color="000000" w:sz="4" w:space="0"/>
              <w:right w:val="single" w:color="000000" w:sz="4" w:space="0"/>
            </w:tcBorders>
            <w:shd w:val="clear" w:color="auto" w:fill="DDEBF7"/>
            <w:vAlign w:val="center"/>
          </w:tcPr>
          <w:p>
            <w:pPr>
              <w:spacing w:line="560" w:lineRule="exact"/>
              <w:jc w:val="center"/>
              <w:rPr>
                <w:rFonts w:ascii="微软雅黑" w:hAnsi="微软雅黑" w:eastAsia="微软雅黑" w:cs="微软雅黑"/>
                <w:b/>
                <w:bCs/>
                <w:color w:val="000000"/>
                <w:sz w:val="20"/>
                <w:szCs w:val="20"/>
              </w:rPr>
            </w:pPr>
          </w:p>
        </w:tc>
        <w:tc>
          <w:tcPr>
            <w:tcW w:w="5695" w:type="dxa"/>
            <w:vMerge w:val="continue"/>
            <w:tcBorders>
              <w:top w:val="single" w:color="000000" w:sz="4" w:space="0"/>
              <w:left w:val="single" w:color="000000" w:sz="4" w:space="0"/>
              <w:bottom w:val="single" w:color="000000" w:sz="4" w:space="0"/>
              <w:right w:val="single" w:color="000000" w:sz="4" w:space="0"/>
            </w:tcBorders>
            <w:shd w:val="clear" w:color="auto" w:fill="FCE4D6"/>
            <w:vAlign w:val="center"/>
          </w:tcPr>
          <w:p>
            <w:pPr>
              <w:spacing w:line="560" w:lineRule="exact"/>
              <w:jc w:val="center"/>
              <w:rPr>
                <w:rFonts w:ascii="微软雅黑" w:hAnsi="微软雅黑" w:eastAsia="微软雅黑" w:cs="微软雅黑"/>
                <w:b/>
                <w:bCs/>
                <w:color w:val="000000"/>
                <w:sz w:val="20"/>
                <w:szCs w:val="20"/>
              </w:rPr>
            </w:pPr>
          </w:p>
        </w:tc>
      </w:tr>
      <w:tr>
        <w:tblPrEx>
          <w:tblCellMar>
            <w:top w:w="0" w:type="dxa"/>
            <w:left w:w="108" w:type="dxa"/>
            <w:bottom w:w="0" w:type="dxa"/>
            <w:right w:w="108" w:type="dxa"/>
          </w:tblCellMar>
        </w:tblPrEx>
        <w:trPr>
          <w:trHeight w:val="469" w:hRule="atLeast"/>
          <w:jc w:val="center"/>
        </w:trPr>
        <w:tc>
          <w:tcPr>
            <w:tcW w:w="4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textAlignment w:val="center"/>
              <w:rPr>
                <w:rFonts w:ascii="仿宋_GB2312" w:hAnsi="仿宋_GB2312" w:eastAsia="仿宋_GB2312"/>
                <w:color w:val="000000"/>
                <w:kern w:val="0"/>
                <w:sz w:val="24"/>
              </w:rPr>
            </w:pPr>
            <w:r>
              <w:rPr>
                <w:rStyle w:val="19"/>
                <w:rFonts w:hint="eastAsia" w:ascii="仿宋_GB2312" w:hAnsi="仿宋_GB2312" w:eastAsia="仿宋_GB2312"/>
                <w:color w:val="000000"/>
                <w:kern w:val="0"/>
                <w:sz w:val="24"/>
              </w:rPr>
              <w:t>质检取样</w:t>
            </w:r>
          </w:p>
        </w:tc>
        <w:tc>
          <w:tcPr>
            <w:tcW w:w="5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textAlignment w:val="center"/>
              <w:rPr>
                <w:rFonts w:ascii="仿宋_GB2312" w:hAnsi="仿宋_GB2312" w:eastAsia="仿宋_GB2312"/>
                <w:color w:val="000000"/>
                <w:kern w:val="0"/>
                <w:sz w:val="24"/>
              </w:rPr>
            </w:pPr>
            <w:r>
              <w:rPr>
                <w:rFonts w:hint="eastAsia" w:ascii="微软雅黑" w:hAnsi="微软雅黑" w:eastAsia="微软雅黑" w:cs="微软雅黑"/>
                <w:i w:val="0"/>
                <w:iCs w:val="0"/>
                <w:color w:val="000000"/>
                <w:kern w:val="0"/>
                <w:sz w:val="18"/>
                <w:szCs w:val="18"/>
                <w:u w:val="none"/>
                <w:lang w:val="en-US" w:eastAsia="zh-CN" w:bidi="ar"/>
              </w:rPr>
              <w:t>甜菜、糖粕半成品取样，不少于5名普工</w:t>
            </w:r>
          </w:p>
        </w:tc>
      </w:tr>
      <w:tr>
        <w:tblPrEx>
          <w:tblCellMar>
            <w:top w:w="0" w:type="dxa"/>
            <w:left w:w="108" w:type="dxa"/>
            <w:bottom w:w="0" w:type="dxa"/>
            <w:right w:w="108" w:type="dxa"/>
          </w:tblCellMar>
        </w:tblPrEx>
        <w:trPr>
          <w:trHeight w:val="285" w:hRule="atLeast"/>
          <w:jc w:val="center"/>
        </w:trPr>
        <w:tc>
          <w:tcPr>
            <w:tcW w:w="4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_GB2312" w:hAnsi="仿宋_GB2312" w:eastAsia="仿宋_GB2312"/>
                <w:color w:val="000000"/>
                <w:sz w:val="24"/>
              </w:rPr>
            </w:pPr>
            <w:r>
              <w:rPr>
                <w:rStyle w:val="19"/>
                <w:rFonts w:hint="eastAsia" w:ascii="仿宋_GB2312" w:hAnsi="仿宋_GB2312" w:eastAsia="仿宋_GB2312"/>
                <w:color w:val="000000"/>
                <w:sz w:val="24"/>
              </w:rPr>
              <w:t>灯检、感观</w:t>
            </w:r>
          </w:p>
        </w:tc>
        <w:tc>
          <w:tcPr>
            <w:tcW w:w="5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textAlignment w:val="center"/>
              <w:rPr>
                <w:rFonts w:ascii="仿宋_GB2312" w:hAnsi="仿宋_GB2312" w:eastAsia="仿宋_GB2312"/>
                <w:color w:val="000000"/>
                <w:sz w:val="24"/>
              </w:rPr>
            </w:pPr>
            <w:r>
              <w:rPr>
                <w:rFonts w:hint="eastAsia" w:ascii="微软雅黑" w:hAnsi="微软雅黑" w:eastAsia="微软雅黑" w:cs="微软雅黑"/>
                <w:i w:val="0"/>
                <w:iCs w:val="0"/>
                <w:color w:val="000000"/>
                <w:kern w:val="0"/>
                <w:sz w:val="18"/>
                <w:szCs w:val="18"/>
                <w:u w:val="none"/>
                <w:lang w:val="en-US" w:eastAsia="zh-CN" w:bidi="ar"/>
              </w:rPr>
              <w:t>砂糖袋用前灯检，白砂糖感官检验等，不少于4名普工</w:t>
            </w:r>
          </w:p>
        </w:tc>
      </w:tr>
      <w:tr>
        <w:tblPrEx>
          <w:tblCellMar>
            <w:top w:w="0" w:type="dxa"/>
            <w:left w:w="108" w:type="dxa"/>
            <w:bottom w:w="0" w:type="dxa"/>
            <w:right w:w="108" w:type="dxa"/>
          </w:tblCellMar>
        </w:tblPrEx>
        <w:trPr>
          <w:trHeight w:val="285" w:hRule="atLeast"/>
          <w:jc w:val="center"/>
        </w:trPr>
        <w:tc>
          <w:tcPr>
            <w:tcW w:w="4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Style w:val="19"/>
                <w:rFonts w:hint="eastAsia" w:ascii="仿宋_GB2312" w:hAnsi="仿宋_GB2312" w:eastAsia="仿宋_GB2312"/>
                <w:color w:val="000000"/>
                <w:sz w:val="24"/>
              </w:rPr>
            </w:pPr>
            <w:r>
              <w:rPr>
                <w:rStyle w:val="19"/>
                <w:rFonts w:hint="eastAsia" w:ascii="仿宋_GB2312" w:hAnsi="仿宋_GB2312" w:eastAsia="仿宋_GB2312"/>
                <w:color w:val="000000"/>
                <w:sz w:val="24"/>
                <w:lang w:val="en-US"/>
              </w:rPr>
              <w:t>粕化</w:t>
            </w:r>
          </w:p>
        </w:tc>
        <w:tc>
          <w:tcPr>
            <w:tcW w:w="5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饲料车间各工序指标化验，熟练工，;不少于1名技术工</w:t>
            </w:r>
          </w:p>
        </w:tc>
      </w:tr>
      <w:tr>
        <w:tblPrEx>
          <w:tblCellMar>
            <w:top w:w="0" w:type="dxa"/>
            <w:left w:w="108" w:type="dxa"/>
            <w:bottom w:w="0" w:type="dxa"/>
            <w:right w:w="108" w:type="dxa"/>
          </w:tblCellMar>
        </w:tblPrEx>
        <w:trPr>
          <w:trHeight w:val="285" w:hRule="atLeast"/>
          <w:jc w:val="center"/>
        </w:trPr>
        <w:tc>
          <w:tcPr>
            <w:tcW w:w="4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仿宋_GB2312" w:hAnsi="仿宋_GB2312" w:eastAsia="仿宋_GB2312"/>
                <w:color w:val="000000"/>
                <w:kern w:val="0"/>
                <w:sz w:val="22"/>
              </w:rPr>
            </w:pPr>
            <w:r>
              <w:rPr>
                <w:rStyle w:val="19"/>
                <w:rFonts w:hint="eastAsia" w:ascii="仿宋_GB2312" w:hAnsi="仿宋_GB2312" w:eastAsia="仿宋_GB2312"/>
                <w:color w:val="000000"/>
                <w:sz w:val="24"/>
              </w:rPr>
              <w:t>制糖化验</w:t>
            </w:r>
          </w:p>
        </w:tc>
        <w:tc>
          <w:tcPr>
            <w:tcW w:w="5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textAlignment w:val="center"/>
              <w:rPr>
                <w:rFonts w:ascii="仿宋_GB2312" w:hAnsi="仿宋_GB2312" w:eastAsia="仿宋_GB2312"/>
                <w:color w:val="000000"/>
                <w:sz w:val="24"/>
              </w:rPr>
            </w:pPr>
            <w:r>
              <w:rPr>
                <w:rFonts w:hint="eastAsia" w:ascii="微软雅黑" w:hAnsi="微软雅黑" w:eastAsia="微软雅黑" w:cs="微软雅黑"/>
                <w:i w:val="0"/>
                <w:iCs w:val="0"/>
                <w:color w:val="000000"/>
                <w:kern w:val="0"/>
                <w:sz w:val="18"/>
                <w:szCs w:val="18"/>
                <w:u w:val="none"/>
                <w:lang w:val="en-US" w:eastAsia="zh-CN" w:bidi="ar"/>
              </w:rPr>
              <w:t>制糖车间各工序指标化验，熟练工，;不少于4名技术工</w:t>
            </w:r>
          </w:p>
        </w:tc>
      </w:tr>
      <w:tr>
        <w:tblPrEx>
          <w:tblCellMar>
            <w:top w:w="0" w:type="dxa"/>
            <w:left w:w="108" w:type="dxa"/>
            <w:bottom w:w="0" w:type="dxa"/>
            <w:right w:w="108" w:type="dxa"/>
          </w:tblCellMar>
        </w:tblPrEx>
        <w:trPr>
          <w:trHeight w:val="285" w:hRule="atLeast"/>
          <w:jc w:val="center"/>
        </w:trPr>
        <w:tc>
          <w:tcPr>
            <w:tcW w:w="44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Style w:val="19"/>
                <w:rFonts w:ascii="仿宋_GB2312" w:hAnsi="仿宋_GB2312" w:eastAsia="仿宋_GB2312"/>
                <w:color w:val="000000"/>
                <w:sz w:val="24"/>
              </w:rPr>
            </w:pPr>
            <w:r>
              <w:rPr>
                <w:rStyle w:val="19"/>
                <w:rFonts w:hint="eastAsia" w:ascii="仿宋_GB2312" w:hAnsi="仿宋_GB2312" w:eastAsia="仿宋_GB2312"/>
                <w:color w:val="000000"/>
                <w:sz w:val="24"/>
              </w:rPr>
              <w:t>合计</w:t>
            </w:r>
          </w:p>
        </w:tc>
        <w:tc>
          <w:tcPr>
            <w:tcW w:w="5695"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textAlignment w:val="center"/>
              <w:rPr>
                <w:rStyle w:val="19"/>
                <w:rFonts w:ascii="仿宋_GB2312" w:hAnsi="仿宋_GB2312" w:eastAsia="仿宋_GB2312"/>
                <w:color w:val="000000"/>
                <w:kern w:val="0"/>
                <w:sz w:val="24"/>
              </w:rPr>
            </w:pPr>
          </w:p>
        </w:tc>
      </w:tr>
    </w:tbl>
    <w:p>
      <w:pPr>
        <w:ind w:firstLine="2249" w:firstLineChars="800"/>
        <w:rPr>
          <w:rFonts w:ascii="黑体" w:hAnsi="黑体" w:eastAsia="黑体" w:cs="黑体"/>
          <w:b/>
          <w:sz w:val="28"/>
          <w:szCs w:val="28"/>
        </w:rPr>
      </w:pPr>
      <w:r>
        <w:rPr>
          <w:rFonts w:hint="eastAsia" w:ascii="黑体" w:hAnsi="黑体" w:eastAsia="黑体" w:cs="黑体"/>
          <w:b/>
          <w:sz w:val="28"/>
          <w:szCs w:val="28"/>
        </w:rPr>
        <w:t>第三章  合同主要条款（模板）</w:t>
      </w:r>
    </w:p>
    <w:p>
      <w:pPr>
        <w:ind w:firstLine="2249" w:firstLineChars="700"/>
        <w:jc w:val="both"/>
        <w:rPr>
          <w:rFonts w:hint="eastAsia" w:ascii="宋体" w:hAnsi="宋体"/>
          <w:b/>
          <w:sz w:val="32"/>
          <w:szCs w:val="32"/>
          <w:lang w:val="en-US" w:eastAsia="zh-CN"/>
        </w:rPr>
      </w:pPr>
    </w:p>
    <w:p>
      <w:pPr>
        <w:ind w:firstLine="2249" w:firstLineChars="700"/>
        <w:jc w:val="both"/>
        <w:rPr>
          <w:rFonts w:hint="eastAsia" w:ascii="宋体" w:hAnsi="宋体"/>
          <w:b/>
          <w:sz w:val="32"/>
          <w:szCs w:val="32"/>
          <w:lang w:val="en-US" w:eastAsia="zh-CN"/>
        </w:rPr>
      </w:pPr>
    </w:p>
    <w:p>
      <w:pPr>
        <w:ind w:firstLine="2249" w:firstLineChars="700"/>
        <w:jc w:val="both"/>
        <w:rPr>
          <w:rFonts w:hint="eastAsia" w:ascii="宋体" w:hAnsi="宋体"/>
          <w:b/>
          <w:sz w:val="32"/>
          <w:szCs w:val="32"/>
          <w:lang w:val="en-US" w:eastAsia="zh-CN"/>
        </w:rPr>
      </w:pPr>
    </w:p>
    <w:p>
      <w:pPr>
        <w:ind w:firstLine="2249" w:firstLineChars="700"/>
        <w:jc w:val="both"/>
        <w:rPr>
          <w:rFonts w:hint="eastAsia" w:ascii="宋体" w:hAnsi="宋体"/>
          <w:b/>
          <w:sz w:val="32"/>
          <w:szCs w:val="32"/>
          <w:lang w:val="en-US" w:eastAsia="zh-CN"/>
        </w:rPr>
      </w:pPr>
    </w:p>
    <w:p>
      <w:pPr>
        <w:ind w:firstLine="2249" w:firstLineChars="700"/>
        <w:jc w:val="both"/>
        <w:rPr>
          <w:rFonts w:ascii="宋体" w:hAnsi="宋体"/>
          <w:b/>
          <w:sz w:val="32"/>
          <w:szCs w:val="32"/>
        </w:rPr>
      </w:pPr>
      <w:r>
        <w:rPr>
          <w:rFonts w:hint="eastAsia" w:ascii="宋体" w:hAnsi="宋体"/>
          <w:b/>
          <w:sz w:val="32"/>
          <w:szCs w:val="32"/>
          <w:lang w:val="en-US" w:eastAsia="zh-CN"/>
        </w:rPr>
        <w:t>质检办</w:t>
      </w:r>
      <w:r>
        <w:rPr>
          <w:rFonts w:hint="eastAsia" w:ascii="宋体" w:hAnsi="宋体"/>
          <w:b/>
          <w:sz w:val="32"/>
          <w:szCs w:val="32"/>
        </w:rPr>
        <w:t>部分岗位业务外包合同</w:t>
      </w:r>
    </w:p>
    <w:p>
      <w:pPr>
        <w:spacing w:line="360" w:lineRule="exact"/>
        <w:jc w:val="center"/>
        <w:rPr>
          <w:rFonts w:ascii="宋体" w:hAnsi="宋体"/>
          <w:b/>
        </w:rPr>
      </w:pPr>
      <w:r>
        <w:rPr>
          <w:rFonts w:hint="eastAsia" w:ascii="宋体" w:hAnsi="宋体"/>
          <w:b/>
          <w:szCs w:val="21"/>
          <w:lang w:val="en-US" w:eastAsia="zh-CN"/>
        </w:rPr>
        <w:t xml:space="preserve">                              </w:t>
      </w:r>
      <w:r>
        <w:rPr>
          <w:rFonts w:hint="eastAsia" w:ascii="宋体" w:hAnsi="宋体"/>
          <w:b/>
          <w:szCs w:val="21"/>
        </w:rPr>
        <w:t>合同编号：</w:t>
      </w:r>
    </w:p>
    <w:p>
      <w:pPr>
        <w:spacing w:line="360" w:lineRule="exact"/>
        <w:jc w:val="right"/>
        <w:rPr>
          <w:rFonts w:ascii="宋体" w:hAnsi="宋体" w:cs="宋体"/>
          <w:b/>
          <w:color w:val="000000"/>
          <w:kern w:val="0"/>
          <w:szCs w:val="21"/>
        </w:rPr>
      </w:pPr>
      <w:r>
        <w:rPr>
          <w:rFonts w:hint="eastAsia" w:ascii="宋体" w:hAnsi="宋体" w:cs="宋体"/>
          <w:b/>
          <w:color w:val="000000"/>
          <w:kern w:val="0"/>
          <w:szCs w:val="21"/>
        </w:rPr>
        <w:t>签定时间：202</w:t>
      </w:r>
      <w:r>
        <w:rPr>
          <w:rFonts w:hint="eastAsia" w:ascii="宋体" w:hAnsi="宋体" w:cs="宋体"/>
          <w:b/>
          <w:color w:val="000000"/>
          <w:kern w:val="0"/>
          <w:szCs w:val="21"/>
          <w:lang w:val="en-US" w:eastAsia="zh-CN"/>
        </w:rPr>
        <w:t>4</w:t>
      </w:r>
      <w:r>
        <w:rPr>
          <w:rFonts w:hint="eastAsia" w:ascii="宋体" w:hAnsi="宋体" w:cs="宋体"/>
          <w:b/>
          <w:color w:val="000000"/>
          <w:kern w:val="0"/>
          <w:szCs w:val="21"/>
        </w:rPr>
        <w:t>年     月    日</w:t>
      </w:r>
    </w:p>
    <w:p>
      <w:pPr>
        <w:spacing w:line="360" w:lineRule="exact"/>
        <w:jc w:val="right"/>
        <w:rPr>
          <w:rFonts w:ascii="宋体" w:hAnsi="宋体" w:cs="宋体"/>
          <w:b/>
          <w:color w:val="000000"/>
          <w:kern w:val="0"/>
          <w:szCs w:val="21"/>
        </w:rPr>
      </w:pPr>
      <w:r>
        <w:rPr>
          <w:rFonts w:hint="eastAsia" w:ascii="宋体" w:hAnsi="宋体" w:cs="宋体"/>
          <w:b/>
          <w:color w:val="000000"/>
          <w:kern w:val="0"/>
          <w:szCs w:val="21"/>
        </w:rPr>
        <w:t>签定地点：</w:t>
      </w:r>
      <w:r>
        <w:rPr>
          <w:rFonts w:hint="eastAsia" w:ascii="宋体" w:hAnsi="宋体" w:cs="宋体"/>
          <w:b/>
          <w:color w:val="000000"/>
          <w:kern w:val="0"/>
          <w:szCs w:val="21"/>
          <w:lang w:eastAsia="zh-CN"/>
        </w:rPr>
        <w:t>奇台</w:t>
      </w:r>
      <w:r>
        <w:rPr>
          <w:rFonts w:hint="eastAsia" w:ascii="宋体" w:hAnsi="宋体" w:cs="宋体"/>
          <w:b/>
          <w:color w:val="000000"/>
          <w:kern w:val="0"/>
          <w:szCs w:val="21"/>
        </w:rPr>
        <w:t>糖业分公司</w:t>
      </w:r>
    </w:p>
    <w:p>
      <w:pPr>
        <w:spacing w:line="480" w:lineRule="exact"/>
        <w:ind w:firstLine="4790" w:firstLineChars="2272"/>
        <w:rPr>
          <w:rFonts w:ascii="宋体" w:hAnsi="宋体"/>
          <w:b/>
          <w:szCs w:val="21"/>
        </w:rPr>
      </w:pPr>
    </w:p>
    <w:p>
      <w:pPr>
        <w:spacing w:line="380" w:lineRule="exact"/>
      </w:pPr>
      <w:r>
        <w:rPr>
          <w:rFonts w:hint="eastAsia"/>
        </w:rPr>
        <w:t>甲方：</w:t>
      </w:r>
      <w:r>
        <w:t>中粮糖业控股股份有限公司</w:t>
      </w:r>
      <w:r>
        <w:rPr>
          <w:rFonts w:hint="eastAsia"/>
          <w:lang w:eastAsia="zh-CN"/>
        </w:rPr>
        <w:t>奇台</w:t>
      </w:r>
      <w:r>
        <w:t>糖业分公司</w:t>
      </w:r>
    </w:p>
    <w:p>
      <w:pPr>
        <w:spacing w:line="520" w:lineRule="exact"/>
      </w:pPr>
      <w:r>
        <w:rPr>
          <w:rFonts w:hint="eastAsia"/>
        </w:rPr>
        <w:t>乙方：</w:t>
      </w:r>
      <w:r>
        <w:rPr>
          <w:rFonts w:hint="eastAsia" w:ascii="宋体" w:hAnsi="宋体"/>
          <w:sz w:val="24"/>
        </w:rPr>
        <w:tab/>
      </w:r>
    </w:p>
    <w:p>
      <w:pPr>
        <w:spacing w:line="520" w:lineRule="exact"/>
        <w:ind w:firstLine="630" w:firstLineChars="300"/>
      </w:pPr>
      <w:r>
        <w:rPr>
          <w:rFonts w:hint="eastAsia"/>
        </w:rPr>
        <w:t xml:space="preserve">为了明确双方的权力和义务，经双方协商一致，达成如下协议，双方以资共同遵守：         </w:t>
      </w:r>
    </w:p>
    <w:p>
      <w:pPr>
        <w:spacing w:line="540" w:lineRule="exact"/>
      </w:pPr>
      <w:r>
        <w:rPr>
          <w:rFonts w:hint="eastAsia"/>
        </w:rPr>
        <w:t>一、工作具体内容、数量及费用：</w:t>
      </w:r>
    </w:p>
    <w:p>
      <w:pPr>
        <w:spacing w:line="400" w:lineRule="exact"/>
      </w:pPr>
      <w:r>
        <w:rPr>
          <w:rFonts w:hint="eastAsia"/>
        </w:rPr>
        <w:t>（一）工作内容：</w:t>
      </w:r>
    </w:p>
    <w:p>
      <w:pPr>
        <w:spacing w:line="520" w:lineRule="exact"/>
        <w:ind w:firstLine="630" w:firstLineChars="300"/>
        <w:rPr>
          <w:rFonts w:hint="eastAsia"/>
        </w:rPr>
      </w:pPr>
      <w:r>
        <w:rPr>
          <w:rFonts w:hint="eastAsia"/>
        </w:rPr>
        <w:t>1. 甲方负责现场的管理工作，乙方负责配合甲方工作人员完成生产任务。</w:t>
      </w:r>
    </w:p>
    <w:p>
      <w:pPr>
        <w:spacing w:line="520" w:lineRule="exact"/>
        <w:ind w:firstLine="630" w:firstLineChars="300"/>
        <w:rPr>
          <w:rFonts w:hint="eastAsia"/>
        </w:rPr>
      </w:pPr>
      <w:r>
        <w:rPr>
          <w:rFonts w:hint="eastAsia"/>
        </w:rPr>
        <w:t>2. 乙方工作內容：辅助甲方工作人员完成生产任务、清理打扫工作岗位、现场环境卫生、服从</w:t>
      </w:r>
      <w:r>
        <w:rPr>
          <w:rFonts w:hint="eastAsia"/>
          <w:lang w:val="en-US" w:eastAsia="zh-CN"/>
        </w:rPr>
        <w:t>部门</w:t>
      </w:r>
      <w:r>
        <w:rPr>
          <w:rFonts w:hint="eastAsia"/>
        </w:rPr>
        <w:t>领导安排的各项临时工性工作。</w:t>
      </w:r>
    </w:p>
    <w:p>
      <w:pPr>
        <w:spacing w:line="520" w:lineRule="exact"/>
        <w:ind w:firstLine="630" w:firstLineChars="300"/>
        <w:rPr>
          <w:rFonts w:hint="eastAsia"/>
        </w:rPr>
      </w:pPr>
      <w:r>
        <w:rPr>
          <w:rFonts w:hint="eastAsia"/>
        </w:rPr>
        <w:t>3. 乙方必须保证有足够人员按甲方要求完成生产任务，避免生产受到影响。</w:t>
      </w:r>
    </w:p>
    <w:p>
      <w:pPr>
        <w:spacing w:line="520" w:lineRule="exact"/>
        <w:ind w:firstLine="630" w:firstLineChars="300"/>
        <w:rPr>
          <w:rFonts w:hint="eastAsia"/>
        </w:rPr>
      </w:pPr>
      <w:r>
        <w:rPr>
          <w:rFonts w:hint="eastAsia"/>
        </w:rPr>
        <w:t>4、乙方必须将人员名单报行办备案，按行办要求办理出入厂区手续。</w:t>
      </w:r>
    </w:p>
    <w:p>
      <w:pPr>
        <w:spacing w:line="520" w:lineRule="exact"/>
        <w:ind w:firstLine="630" w:firstLineChars="300"/>
        <w:rPr>
          <w:rFonts w:hint="eastAsia"/>
        </w:rPr>
      </w:pPr>
      <w:r>
        <w:rPr>
          <w:rFonts w:hint="eastAsia"/>
        </w:rPr>
        <w:t>5、在生产期期间，乙方必须指派1名工作人员负责其人员的管理工作。</w:t>
      </w:r>
    </w:p>
    <w:p>
      <w:pPr>
        <w:spacing w:line="540" w:lineRule="exact"/>
        <w:rPr>
          <w:rFonts w:hint="eastAsia"/>
        </w:rPr>
      </w:pPr>
      <w:r>
        <w:rPr>
          <w:rFonts w:hint="eastAsia"/>
        </w:rPr>
        <w:t>（二）车间部分岗位业务外包费用：</w:t>
      </w:r>
    </w:p>
    <w:tbl>
      <w:tblPr>
        <w:tblStyle w:val="10"/>
        <w:tblW w:w="9870" w:type="dxa"/>
        <w:jc w:val="center"/>
        <w:tblLayout w:type="fixed"/>
        <w:tblCellMar>
          <w:top w:w="0" w:type="dxa"/>
          <w:left w:w="108" w:type="dxa"/>
          <w:bottom w:w="0" w:type="dxa"/>
          <w:right w:w="108" w:type="dxa"/>
        </w:tblCellMar>
      </w:tblPr>
      <w:tblGrid>
        <w:gridCol w:w="1799"/>
        <w:gridCol w:w="4686"/>
        <w:gridCol w:w="1872"/>
        <w:gridCol w:w="1513"/>
      </w:tblGrid>
      <w:tr>
        <w:tblPrEx>
          <w:tblCellMar>
            <w:top w:w="0" w:type="dxa"/>
            <w:left w:w="108" w:type="dxa"/>
            <w:bottom w:w="0" w:type="dxa"/>
            <w:right w:w="108" w:type="dxa"/>
          </w:tblCellMar>
        </w:tblPrEx>
        <w:trPr>
          <w:trHeight w:val="560" w:hRule="atLeast"/>
          <w:jc w:val="center"/>
        </w:trPr>
        <w:tc>
          <w:tcPr>
            <w:tcW w:w="1799" w:type="dxa"/>
            <w:vMerge w:val="restart"/>
            <w:tcBorders>
              <w:top w:val="single" w:color="000000" w:sz="4" w:space="0"/>
              <w:left w:val="single" w:color="000000" w:sz="4" w:space="0"/>
              <w:bottom w:val="single" w:color="000000" w:sz="4" w:space="0"/>
              <w:right w:val="single" w:color="000000" w:sz="4" w:space="0"/>
            </w:tcBorders>
            <w:shd w:val="clear" w:color="auto" w:fill="DDEBF7"/>
            <w:vAlign w:val="center"/>
          </w:tcPr>
          <w:p>
            <w:pPr>
              <w:spacing w:line="560" w:lineRule="exact"/>
              <w:jc w:val="center"/>
              <w:textAlignment w:val="center"/>
              <w:rPr>
                <w:rFonts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rPr>
              <w:t>业务外包工段</w:t>
            </w:r>
          </w:p>
        </w:tc>
        <w:tc>
          <w:tcPr>
            <w:tcW w:w="4686" w:type="dxa"/>
            <w:vMerge w:val="restart"/>
            <w:tcBorders>
              <w:top w:val="single" w:color="000000" w:sz="4" w:space="0"/>
              <w:left w:val="single" w:color="000000" w:sz="4" w:space="0"/>
              <w:bottom w:val="single" w:color="000000" w:sz="4" w:space="0"/>
              <w:right w:val="single" w:color="000000" w:sz="4" w:space="0"/>
            </w:tcBorders>
            <w:shd w:val="clear" w:color="auto" w:fill="FCE4D6"/>
            <w:vAlign w:val="center"/>
          </w:tcPr>
          <w:p>
            <w:pPr>
              <w:spacing w:line="560" w:lineRule="exact"/>
              <w:jc w:val="center"/>
              <w:textAlignment w:val="center"/>
              <w:rPr>
                <w:rFonts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rPr>
              <w:t>业务外包内容内容</w:t>
            </w:r>
          </w:p>
        </w:tc>
        <w:tc>
          <w:tcPr>
            <w:tcW w:w="1872" w:type="dxa"/>
            <w:vMerge w:val="restart"/>
            <w:tcBorders>
              <w:top w:val="single" w:color="000000" w:sz="4" w:space="0"/>
              <w:left w:val="single" w:color="000000" w:sz="4" w:space="0"/>
              <w:bottom w:val="single" w:color="000000" w:sz="4" w:space="0"/>
              <w:right w:val="single" w:color="000000" w:sz="4" w:space="0"/>
            </w:tcBorders>
            <w:shd w:val="clear" w:color="auto" w:fill="FCE4D6"/>
            <w:vAlign w:val="center"/>
          </w:tcPr>
          <w:p>
            <w:pPr>
              <w:spacing w:line="560" w:lineRule="exact"/>
              <w:jc w:val="center"/>
              <w:textAlignment w:val="center"/>
              <w:rPr>
                <w:rFonts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rPr>
              <w:t>费用（</w:t>
            </w:r>
            <w:r>
              <w:rPr>
                <w:rFonts w:hint="eastAsia" w:ascii="微软雅黑" w:hAnsi="微软雅黑" w:eastAsia="微软雅黑" w:cs="微软雅黑"/>
                <w:b/>
                <w:bCs/>
                <w:color w:val="000000"/>
                <w:kern w:val="0"/>
                <w:sz w:val="20"/>
                <w:szCs w:val="20"/>
                <w:lang w:val="en-US" w:eastAsia="zh-CN"/>
              </w:rPr>
              <w:t>人/</w:t>
            </w:r>
            <w:r>
              <w:rPr>
                <w:rFonts w:hint="eastAsia" w:ascii="微软雅黑" w:hAnsi="微软雅黑" w:eastAsia="微软雅黑" w:cs="微软雅黑"/>
                <w:b/>
                <w:bCs/>
                <w:color w:val="000000"/>
                <w:kern w:val="0"/>
                <w:sz w:val="20"/>
                <w:szCs w:val="20"/>
              </w:rPr>
              <w:t>元/月）</w:t>
            </w:r>
          </w:p>
        </w:tc>
        <w:tc>
          <w:tcPr>
            <w:tcW w:w="1513" w:type="dxa"/>
            <w:vMerge w:val="restart"/>
            <w:tcBorders>
              <w:top w:val="single" w:color="000000" w:sz="4" w:space="0"/>
              <w:left w:val="single" w:color="000000" w:sz="4" w:space="0"/>
              <w:bottom w:val="single" w:color="000000" w:sz="4" w:space="0"/>
              <w:right w:val="single" w:color="000000" w:sz="4" w:space="0"/>
            </w:tcBorders>
            <w:shd w:val="clear" w:color="auto" w:fill="FCE4D6"/>
            <w:vAlign w:val="center"/>
          </w:tcPr>
          <w:p>
            <w:pPr>
              <w:spacing w:line="560" w:lineRule="exact"/>
              <w:jc w:val="center"/>
              <w:textAlignment w:val="center"/>
              <w:rPr>
                <w:rFonts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rPr>
              <w:t>榨季总费用</w:t>
            </w:r>
          </w:p>
        </w:tc>
      </w:tr>
      <w:tr>
        <w:tblPrEx>
          <w:tblCellMar>
            <w:top w:w="0" w:type="dxa"/>
            <w:left w:w="108" w:type="dxa"/>
            <w:bottom w:w="0" w:type="dxa"/>
            <w:right w:w="108" w:type="dxa"/>
          </w:tblCellMar>
        </w:tblPrEx>
        <w:trPr>
          <w:trHeight w:val="560" w:hRule="atLeast"/>
          <w:jc w:val="center"/>
        </w:trPr>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DDEBF7"/>
            <w:vAlign w:val="center"/>
          </w:tcPr>
          <w:p>
            <w:pPr>
              <w:spacing w:line="560" w:lineRule="exact"/>
              <w:jc w:val="center"/>
              <w:rPr>
                <w:rFonts w:ascii="微软雅黑" w:hAnsi="微软雅黑" w:eastAsia="微软雅黑" w:cs="微软雅黑"/>
                <w:b/>
                <w:bCs/>
                <w:color w:val="000000"/>
                <w:sz w:val="20"/>
                <w:szCs w:val="20"/>
              </w:rPr>
            </w:pPr>
          </w:p>
        </w:tc>
        <w:tc>
          <w:tcPr>
            <w:tcW w:w="4686" w:type="dxa"/>
            <w:vMerge w:val="continue"/>
            <w:tcBorders>
              <w:top w:val="single" w:color="000000" w:sz="4" w:space="0"/>
              <w:left w:val="single" w:color="000000" w:sz="4" w:space="0"/>
              <w:bottom w:val="single" w:color="000000" w:sz="4" w:space="0"/>
              <w:right w:val="single" w:color="000000" w:sz="4" w:space="0"/>
            </w:tcBorders>
            <w:shd w:val="clear" w:color="auto" w:fill="FCE4D6"/>
            <w:vAlign w:val="center"/>
          </w:tcPr>
          <w:p>
            <w:pPr>
              <w:spacing w:line="560" w:lineRule="exact"/>
              <w:jc w:val="center"/>
              <w:rPr>
                <w:rFonts w:ascii="微软雅黑" w:hAnsi="微软雅黑" w:eastAsia="微软雅黑" w:cs="微软雅黑"/>
                <w:b/>
                <w:bCs/>
                <w:color w:val="000000"/>
                <w:sz w:val="20"/>
                <w:szCs w:val="20"/>
              </w:rPr>
            </w:pP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FCE4D6"/>
            <w:vAlign w:val="center"/>
          </w:tcPr>
          <w:p>
            <w:pPr>
              <w:spacing w:line="560" w:lineRule="exact"/>
              <w:jc w:val="center"/>
              <w:rPr>
                <w:rFonts w:ascii="微软雅黑" w:hAnsi="微软雅黑" w:eastAsia="微软雅黑" w:cs="微软雅黑"/>
                <w:b/>
                <w:bCs/>
                <w:color w:val="000000"/>
                <w:sz w:val="20"/>
                <w:szCs w:val="20"/>
              </w:rPr>
            </w:pPr>
          </w:p>
        </w:tc>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FCE4D6"/>
            <w:vAlign w:val="center"/>
          </w:tcPr>
          <w:p>
            <w:pPr>
              <w:spacing w:line="560" w:lineRule="exact"/>
              <w:jc w:val="center"/>
              <w:rPr>
                <w:rFonts w:ascii="微软雅黑" w:hAnsi="微软雅黑" w:eastAsia="微软雅黑" w:cs="微软雅黑"/>
                <w:b/>
                <w:bCs/>
                <w:color w:val="000000"/>
                <w:sz w:val="20"/>
                <w:szCs w:val="20"/>
              </w:rPr>
            </w:pPr>
          </w:p>
        </w:tc>
      </w:tr>
      <w:tr>
        <w:tblPrEx>
          <w:tblCellMar>
            <w:top w:w="0" w:type="dxa"/>
            <w:left w:w="108" w:type="dxa"/>
            <w:bottom w:w="0" w:type="dxa"/>
            <w:right w:w="108" w:type="dxa"/>
          </w:tblCellMar>
        </w:tblPrEx>
        <w:trPr>
          <w:trHeight w:val="469" w:hRule="atLeast"/>
          <w:jc w:val="center"/>
        </w:trPr>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both"/>
              <w:textAlignment w:val="center"/>
              <w:rPr>
                <w:rFonts w:ascii="仿宋_GB2312" w:hAnsi="仿宋_GB2312" w:eastAsia="仿宋_GB2312"/>
                <w:color w:val="000000"/>
                <w:kern w:val="0"/>
                <w:sz w:val="24"/>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textAlignment w:val="center"/>
              <w:rPr>
                <w:rFonts w:ascii="仿宋_GB2312" w:hAnsi="仿宋_GB2312" w:eastAsia="仿宋_GB2312"/>
                <w:color w:val="000000"/>
                <w:kern w:val="0"/>
                <w:sz w:val="24"/>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both"/>
              <w:textAlignment w:val="center"/>
              <w:rPr>
                <w:rFonts w:hint="default" w:ascii="微软雅黑" w:hAnsi="微软雅黑" w:eastAsia="微软雅黑" w:cs="微软雅黑"/>
                <w:color w:val="000000"/>
                <w:sz w:val="18"/>
                <w:szCs w:val="18"/>
                <w:lang w:val="en-US" w:eastAsia="zh-CN"/>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both"/>
              <w:textAlignment w:val="center"/>
              <w:rPr>
                <w:rFonts w:hint="default" w:ascii="微软雅黑" w:hAnsi="微软雅黑" w:eastAsia="微软雅黑" w:cs="微软雅黑"/>
                <w:color w:val="000000"/>
                <w:sz w:val="18"/>
                <w:szCs w:val="18"/>
                <w:lang w:val="en-US" w:eastAsia="zh-CN"/>
              </w:rPr>
            </w:pPr>
          </w:p>
        </w:tc>
      </w:tr>
      <w:tr>
        <w:tblPrEx>
          <w:tblCellMar>
            <w:top w:w="0" w:type="dxa"/>
            <w:left w:w="108" w:type="dxa"/>
            <w:bottom w:w="0" w:type="dxa"/>
            <w:right w:w="108" w:type="dxa"/>
          </w:tblCellMar>
        </w:tblPrEx>
        <w:trPr>
          <w:trHeight w:val="285" w:hRule="atLeast"/>
          <w:jc w:val="center"/>
        </w:trPr>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both"/>
              <w:rPr>
                <w:rFonts w:ascii="仿宋_GB2312" w:hAnsi="仿宋_GB2312" w:eastAsia="仿宋_GB2312"/>
                <w:color w:val="000000"/>
                <w:sz w:val="24"/>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textAlignment w:val="center"/>
              <w:rPr>
                <w:rFonts w:ascii="仿宋_GB2312" w:hAnsi="仿宋_GB2312" w:eastAsia="仿宋_GB2312"/>
                <w:color w:val="000000"/>
                <w:sz w:val="24"/>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textAlignment w:val="center"/>
              <w:rPr>
                <w:rFonts w:hint="default" w:ascii="仿宋_GB2312" w:hAnsi="仿宋_GB2312" w:eastAsia="仿宋_GB2312"/>
                <w:color w:val="000000"/>
                <w:kern w:val="0"/>
                <w:sz w:val="24"/>
                <w:lang w:val="en-US" w:eastAsia="zh-CN"/>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both"/>
              <w:textAlignment w:val="center"/>
              <w:rPr>
                <w:rFonts w:hint="default" w:ascii="微软雅黑" w:hAnsi="微软雅黑" w:eastAsia="微软雅黑" w:cs="微软雅黑"/>
                <w:color w:val="000000"/>
                <w:sz w:val="18"/>
                <w:szCs w:val="18"/>
                <w:lang w:val="en-US" w:eastAsia="zh-CN"/>
              </w:rPr>
            </w:pPr>
          </w:p>
        </w:tc>
      </w:tr>
      <w:tr>
        <w:tblPrEx>
          <w:tblCellMar>
            <w:top w:w="0" w:type="dxa"/>
            <w:left w:w="108" w:type="dxa"/>
            <w:bottom w:w="0" w:type="dxa"/>
            <w:right w:w="108" w:type="dxa"/>
          </w:tblCellMar>
        </w:tblPrEx>
        <w:trPr>
          <w:trHeight w:val="285" w:hRule="atLeast"/>
          <w:jc w:val="center"/>
        </w:trPr>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Style w:val="19"/>
                <w:rFonts w:hint="eastAsia" w:ascii="仿宋_GB2312" w:hAnsi="仿宋_GB2312" w:eastAsia="仿宋_GB2312"/>
                <w:color w:val="000000"/>
                <w:sz w:val="24"/>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textAlignment w:val="center"/>
              <w:rPr>
                <w:rFonts w:hint="default" w:ascii="仿宋_GB2312" w:hAnsi="仿宋_GB2312" w:eastAsia="仿宋_GB2312"/>
                <w:color w:val="000000"/>
                <w:kern w:val="0"/>
                <w:sz w:val="24"/>
                <w:lang w:val="en-US" w:eastAsia="zh-CN"/>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line="560" w:lineRule="exact"/>
              <w:jc w:val="both"/>
              <w:textAlignment w:val="center"/>
              <w:rPr>
                <w:rFonts w:hint="default" w:ascii="微软雅黑" w:hAnsi="微软雅黑" w:eastAsia="微软雅黑" w:cs="微软雅黑"/>
                <w:color w:val="000000"/>
                <w:sz w:val="18"/>
                <w:szCs w:val="18"/>
                <w:lang w:val="en-US" w:eastAsia="zh-CN"/>
              </w:rPr>
            </w:pPr>
          </w:p>
        </w:tc>
      </w:tr>
      <w:tr>
        <w:tblPrEx>
          <w:tblCellMar>
            <w:top w:w="0" w:type="dxa"/>
            <w:left w:w="108" w:type="dxa"/>
            <w:bottom w:w="0" w:type="dxa"/>
            <w:right w:w="108" w:type="dxa"/>
          </w:tblCellMar>
        </w:tblPrEx>
        <w:trPr>
          <w:trHeight w:val="285" w:hRule="atLeast"/>
          <w:jc w:val="center"/>
        </w:trPr>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ascii="仿宋_GB2312" w:hAnsi="仿宋_GB2312" w:eastAsia="仿宋_GB2312"/>
                <w:color w:val="000000"/>
                <w:kern w:val="0"/>
                <w:sz w:val="22"/>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textAlignment w:val="center"/>
              <w:rPr>
                <w:rFonts w:ascii="仿宋_GB2312" w:hAnsi="仿宋_GB2312" w:eastAsia="仿宋_GB2312"/>
                <w:color w:val="000000"/>
                <w:sz w:val="24"/>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textAlignment w:val="center"/>
              <w:rPr>
                <w:rFonts w:hint="default" w:ascii="仿宋_GB2312" w:hAnsi="仿宋_GB2312" w:eastAsia="仿宋_GB2312"/>
                <w:color w:val="000000"/>
                <w:kern w:val="0"/>
                <w:sz w:val="24"/>
                <w:lang w:val="en-US" w:eastAsia="zh-CN"/>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line="560" w:lineRule="exact"/>
              <w:jc w:val="both"/>
              <w:textAlignment w:val="center"/>
              <w:rPr>
                <w:rFonts w:hint="default" w:ascii="微软雅黑" w:hAnsi="微软雅黑" w:eastAsia="微软雅黑" w:cs="微软雅黑"/>
                <w:color w:val="000000"/>
                <w:sz w:val="18"/>
                <w:szCs w:val="18"/>
                <w:lang w:val="en-US" w:eastAsia="zh-CN"/>
              </w:rPr>
            </w:pPr>
          </w:p>
        </w:tc>
      </w:tr>
      <w:tr>
        <w:tblPrEx>
          <w:tblCellMar>
            <w:top w:w="0" w:type="dxa"/>
            <w:left w:w="108" w:type="dxa"/>
            <w:bottom w:w="0" w:type="dxa"/>
            <w:right w:w="108" w:type="dxa"/>
          </w:tblCellMar>
        </w:tblPrEx>
        <w:trPr>
          <w:trHeight w:val="285" w:hRule="atLeast"/>
          <w:jc w:val="center"/>
        </w:trPr>
        <w:tc>
          <w:tcPr>
            <w:tcW w:w="17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Style w:val="19"/>
                <w:rFonts w:ascii="仿宋_GB2312" w:hAnsi="仿宋_GB2312" w:eastAsia="仿宋_GB2312"/>
                <w:color w:val="000000"/>
                <w:sz w:val="24"/>
              </w:rPr>
            </w:pPr>
            <w:r>
              <w:rPr>
                <w:rStyle w:val="19"/>
                <w:rFonts w:hint="eastAsia" w:ascii="仿宋_GB2312" w:hAnsi="仿宋_GB2312" w:eastAsia="仿宋_GB2312"/>
                <w:color w:val="000000"/>
                <w:sz w:val="24"/>
              </w:rPr>
              <w:t>合计</w:t>
            </w:r>
          </w:p>
        </w:tc>
        <w:tc>
          <w:tcPr>
            <w:tcW w:w="4686"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textAlignment w:val="center"/>
              <w:rPr>
                <w:rStyle w:val="19"/>
                <w:rFonts w:ascii="仿宋_GB2312" w:hAnsi="仿宋_GB2312" w:eastAsia="仿宋_GB2312"/>
                <w:color w:val="000000"/>
                <w:kern w:val="0"/>
                <w:sz w:val="24"/>
              </w:rPr>
            </w:pPr>
          </w:p>
        </w:tc>
        <w:tc>
          <w:tcPr>
            <w:tcW w:w="1872"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等线" w:hAnsi="等线" w:eastAsia="等线" w:cs="等线"/>
                <w:color w:val="000000"/>
                <w:sz w:val="22"/>
                <w:szCs w:val="22"/>
              </w:rPr>
            </w:pPr>
          </w:p>
        </w:tc>
        <w:tc>
          <w:tcPr>
            <w:tcW w:w="151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both"/>
              <w:textAlignment w:val="bottom"/>
              <w:rPr>
                <w:rFonts w:hint="default" w:ascii="等线" w:hAnsi="等线" w:eastAsia="等线" w:cs="等线"/>
                <w:color w:val="000000"/>
                <w:kern w:val="0"/>
                <w:sz w:val="22"/>
                <w:szCs w:val="22"/>
                <w:lang w:val="en-US" w:eastAsia="zh-CN"/>
              </w:rPr>
            </w:pPr>
          </w:p>
        </w:tc>
      </w:tr>
    </w:tbl>
    <w:p>
      <w:pPr>
        <w:spacing w:line="540" w:lineRule="exact"/>
        <w:rPr>
          <w:sz w:val="24"/>
          <w:szCs w:val="24"/>
        </w:rPr>
      </w:pPr>
      <w:r>
        <w:rPr>
          <w:rFonts w:hint="eastAsia"/>
          <w:sz w:val="24"/>
          <w:szCs w:val="24"/>
        </w:rPr>
        <w:t>注：时间最终以甲方实际生产累计天数为准。</w:t>
      </w:r>
    </w:p>
    <w:p>
      <w:pPr>
        <w:spacing w:line="540" w:lineRule="exact"/>
      </w:pPr>
      <w:r>
        <w:rPr>
          <w:rFonts w:hint="eastAsia"/>
        </w:rPr>
        <w:t>二、质量要求：</w:t>
      </w:r>
    </w:p>
    <w:p>
      <w:pPr>
        <w:spacing w:line="540" w:lineRule="exact"/>
        <w:rPr>
          <w:rFonts w:hint="eastAsia"/>
        </w:rPr>
      </w:pPr>
      <w:r>
        <w:rPr>
          <w:rFonts w:hint="eastAsia"/>
        </w:rPr>
        <w:t>1、乙方必须有一名管理人员，保证岗位不出现空岗，确保生产顺利进行；</w:t>
      </w:r>
    </w:p>
    <w:p>
      <w:pPr>
        <w:spacing w:line="540" w:lineRule="exact"/>
        <w:rPr>
          <w:rFonts w:hint="eastAsia"/>
        </w:rPr>
      </w:pPr>
      <w:r>
        <w:rPr>
          <w:rFonts w:hint="eastAsia"/>
        </w:rPr>
        <w:t>2、乙方负责自己组织人员,人员必须保证生产需要，所有人员上岗前必须买保险（工伤保险或雇主责任险</w:t>
      </w:r>
      <w:r>
        <w:rPr>
          <w:rFonts w:hint="eastAsia"/>
          <w:lang w:val="en-US" w:eastAsia="zh-CN"/>
        </w:rPr>
        <w:t>不少于120万</w:t>
      </w:r>
      <w:r>
        <w:rPr>
          <w:rFonts w:hint="eastAsia"/>
          <w:lang w:eastAsia="zh-CN"/>
        </w:rPr>
        <w:t>，</w:t>
      </w:r>
      <w:r>
        <w:rPr>
          <w:rFonts w:hint="eastAsia"/>
        </w:rPr>
        <w:t>工亡赔付率必须达到国家工亡赔付标准)。费用由乙方承担。现场卫生由乙方负责清理并保持，凡因卫生打扫不彻底被公司检查所扣分或</w:t>
      </w:r>
      <w:r>
        <w:rPr>
          <w:rFonts w:hint="eastAsia"/>
          <w:lang w:eastAsia="zh-CN"/>
        </w:rPr>
        <w:t>考核</w:t>
      </w:r>
      <w:r>
        <w:rPr>
          <w:rFonts w:hint="eastAsia"/>
        </w:rPr>
        <w:t>由乙方全部承担。</w:t>
      </w:r>
    </w:p>
    <w:p>
      <w:pPr>
        <w:spacing w:line="540" w:lineRule="exact"/>
        <w:rPr>
          <w:rFonts w:hint="eastAsia"/>
        </w:rPr>
      </w:pPr>
      <w:r>
        <w:rPr>
          <w:rFonts w:hint="eastAsia"/>
        </w:rPr>
        <w:t>3、不按要求执行生产工作</w:t>
      </w:r>
      <w:r>
        <w:rPr>
          <w:rFonts w:hint="eastAsia"/>
          <w:lang w:eastAsia="zh-CN"/>
        </w:rPr>
        <w:t>，乙方</w:t>
      </w:r>
      <w:r>
        <w:rPr>
          <w:rFonts w:hint="eastAsia"/>
        </w:rPr>
        <w:t>一次</w:t>
      </w:r>
      <w:r>
        <w:rPr>
          <w:rFonts w:hint="eastAsia"/>
          <w:lang w:eastAsia="zh-CN"/>
        </w:rPr>
        <w:t>支付违约金</w:t>
      </w:r>
      <w:r>
        <w:rPr>
          <w:rFonts w:hint="eastAsia"/>
        </w:rPr>
        <w:t>200.00元(贰佰元整)，由车间进行考核，行政办监督执行。</w:t>
      </w:r>
    </w:p>
    <w:p>
      <w:pPr>
        <w:spacing w:line="540" w:lineRule="exact"/>
        <w:rPr>
          <w:rFonts w:hint="eastAsia"/>
        </w:rPr>
      </w:pPr>
      <w:r>
        <w:rPr>
          <w:rFonts w:hint="eastAsia"/>
          <w:lang w:val="en-US" w:eastAsia="zh-CN"/>
        </w:rPr>
        <w:t>4、</w:t>
      </w:r>
      <w:r>
        <w:rPr>
          <w:rFonts w:hint="eastAsia"/>
        </w:rPr>
        <w:t>乙方需向甲方交纳</w:t>
      </w:r>
      <w:r>
        <w:rPr>
          <w:rFonts w:hint="eastAsia"/>
          <w:lang w:val="en-US" w:eastAsia="zh-CN"/>
        </w:rPr>
        <w:t>伍仟</w:t>
      </w:r>
      <w:r>
        <w:rPr>
          <w:rFonts w:hint="eastAsia"/>
        </w:rPr>
        <w:t>元(</w:t>
      </w:r>
      <w:r>
        <w:rPr>
          <w:rFonts w:hint="eastAsia"/>
          <w:lang w:val="en-US" w:eastAsia="zh-CN"/>
        </w:rPr>
        <w:t>5000</w:t>
      </w:r>
      <w:r>
        <w:rPr>
          <w:rFonts w:hint="eastAsia"/>
        </w:rPr>
        <w:t>元)合同履约保证金,以保证其工作质量,如有违约,保证金全部没收，</w:t>
      </w:r>
      <w:r>
        <w:rPr>
          <w:rFonts w:hint="eastAsia"/>
          <w:lang w:eastAsia="zh-CN"/>
        </w:rPr>
        <w:t>业务完成后</w:t>
      </w:r>
      <w:r>
        <w:rPr>
          <w:rFonts w:hint="eastAsia"/>
        </w:rPr>
        <w:t>如无违约事项发生，经甲方</w:t>
      </w:r>
      <w:r>
        <w:rPr>
          <w:rFonts w:hint="eastAsia"/>
          <w:lang w:eastAsia="zh-CN"/>
        </w:rPr>
        <w:t>制糖车间</w:t>
      </w:r>
      <w:r>
        <w:rPr>
          <w:rFonts w:hint="eastAsia"/>
        </w:rPr>
        <w:t>确认签字后，保证金再予以退还。</w:t>
      </w:r>
    </w:p>
    <w:p>
      <w:pPr>
        <w:spacing w:line="540" w:lineRule="exact"/>
        <w:rPr>
          <w:rFonts w:hint="eastAsia"/>
        </w:rPr>
      </w:pPr>
      <w:r>
        <w:rPr>
          <w:rFonts w:hint="eastAsia"/>
          <w:lang w:val="en-US" w:eastAsia="zh-CN"/>
        </w:rPr>
        <w:t>5</w:t>
      </w:r>
      <w:r>
        <w:rPr>
          <w:rFonts w:hint="eastAsia"/>
        </w:rPr>
        <w:t>、乙方需向甲方交</w:t>
      </w:r>
      <w:r>
        <w:rPr>
          <w:rFonts w:hint="eastAsia"/>
          <w:lang w:val="en-US" w:eastAsia="zh-CN"/>
        </w:rPr>
        <w:t>伍仟</w:t>
      </w:r>
      <w:r>
        <w:rPr>
          <w:rFonts w:hint="eastAsia"/>
        </w:rPr>
        <w:t>元(</w:t>
      </w:r>
      <w:r>
        <w:rPr>
          <w:rFonts w:hint="eastAsia"/>
          <w:lang w:val="en-US" w:eastAsia="zh-CN"/>
        </w:rPr>
        <w:t>5000</w:t>
      </w:r>
      <w:r>
        <w:rPr>
          <w:rFonts w:hint="eastAsia"/>
        </w:rPr>
        <w:t>元)风险抵押金，以保证其工作安全。如有安全事故,风险金全部扣除。</w:t>
      </w:r>
      <w:r>
        <w:rPr>
          <w:rFonts w:hint="eastAsia"/>
          <w:lang w:eastAsia="zh-CN"/>
        </w:rPr>
        <w:t>业务完成后</w:t>
      </w:r>
      <w:r>
        <w:rPr>
          <w:rFonts w:hint="eastAsia"/>
        </w:rPr>
        <w:t>，如无安全事项发生，经甲方安环办确认签字后，保证金再予以退还。</w:t>
      </w:r>
    </w:p>
    <w:p>
      <w:pPr>
        <w:spacing w:line="540" w:lineRule="exact"/>
        <w:rPr>
          <w:rFonts w:hint="eastAsia"/>
        </w:rPr>
      </w:pPr>
      <w:r>
        <w:rPr>
          <w:rFonts w:hint="eastAsia"/>
        </w:rPr>
        <w:t>三、付款方式：</w:t>
      </w:r>
      <w:bookmarkStart w:id="0" w:name="OLE_LINK1"/>
    </w:p>
    <w:p>
      <w:pPr>
        <w:spacing w:line="540" w:lineRule="exact"/>
        <w:rPr>
          <w:rFonts w:hint="eastAsia"/>
        </w:rPr>
      </w:pPr>
      <w:r>
        <w:rPr>
          <w:rFonts w:hint="eastAsia"/>
        </w:rPr>
        <w:t>1）合同总价：预计      元</w:t>
      </w:r>
    </w:p>
    <w:p>
      <w:pPr>
        <w:spacing w:line="540" w:lineRule="exact"/>
        <w:rPr>
          <w:rFonts w:hint="eastAsia"/>
        </w:rPr>
      </w:pPr>
      <w:r>
        <w:rPr>
          <w:rFonts w:hint="eastAsia"/>
        </w:rPr>
        <w:t>2）</w:t>
      </w:r>
      <w:r>
        <w:rPr>
          <w:rFonts w:hint="eastAsia"/>
          <w:lang w:val="en-US" w:eastAsia="zh-CN"/>
        </w:rPr>
        <w:t>次月5日</w:t>
      </w:r>
      <w:r>
        <w:rPr>
          <w:rFonts w:hint="eastAsia"/>
        </w:rPr>
        <w:t>根据双方确认的当月费用，乙方开具发票，甲方按资金计划一次性结算(电汇)。</w:t>
      </w:r>
    </w:p>
    <w:bookmarkEnd w:id="0"/>
    <w:p>
      <w:pPr>
        <w:spacing w:line="540" w:lineRule="exact"/>
        <w:rPr>
          <w:rFonts w:hint="eastAsia"/>
        </w:rPr>
      </w:pPr>
      <w:r>
        <w:rPr>
          <w:rFonts w:hint="eastAsia"/>
        </w:rPr>
        <w:t>四、工期：</w:t>
      </w:r>
    </w:p>
    <w:p>
      <w:pPr>
        <w:spacing w:line="540" w:lineRule="exact"/>
        <w:rPr>
          <w:rFonts w:hint="eastAsia"/>
        </w:rPr>
      </w:pPr>
      <w:r>
        <w:rPr>
          <w:rFonts w:hint="eastAsia"/>
        </w:rPr>
        <w:t>本合同自甲乙双方签字盖章后生效，至202</w:t>
      </w:r>
      <w:r>
        <w:rPr>
          <w:rFonts w:hint="eastAsia"/>
          <w:lang w:val="en-US" w:eastAsia="zh-CN"/>
        </w:rPr>
        <w:t>4</w:t>
      </w:r>
      <w:r>
        <w:rPr>
          <w:rFonts w:hint="eastAsia"/>
        </w:rPr>
        <w:t>/202</w:t>
      </w:r>
      <w:r>
        <w:rPr>
          <w:rFonts w:hint="eastAsia"/>
          <w:lang w:val="en-US" w:eastAsia="zh-CN"/>
        </w:rPr>
        <w:t>5</w:t>
      </w:r>
      <w:r>
        <w:rPr>
          <w:rFonts w:hint="eastAsia"/>
        </w:rPr>
        <w:t>生产榨期结束本合同其他相关条款的承诺或责任执行完毕止。</w:t>
      </w:r>
    </w:p>
    <w:p>
      <w:pPr>
        <w:spacing w:line="540" w:lineRule="exact"/>
        <w:rPr>
          <w:rFonts w:hint="eastAsia"/>
        </w:rPr>
      </w:pPr>
      <w:r>
        <w:rPr>
          <w:rFonts w:hint="eastAsia"/>
        </w:rPr>
        <w:t>五、安全：</w:t>
      </w:r>
    </w:p>
    <w:p>
      <w:pPr>
        <w:spacing w:line="540" w:lineRule="exact"/>
        <w:rPr>
          <w:rFonts w:hint="eastAsia"/>
        </w:rPr>
      </w:pPr>
      <w:r>
        <w:rPr>
          <w:rFonts w:hint="eastAsia"/>
        </w:rPr>
        <w:t>1）乙方人员必须接受甲方的安全培训，遵守甲方的各项管理制度；业务外包人员保险必须齐全。</w:t>
      </w:r>
    </w:p>
    <w:p>
      <w:pPr>
        <w:spacing w:line="540" w:lineRule="exact"/>
        <w:rPr>
          <w:rFonts w:hint="eastAsia"/>
          <w:lang w:val="en-US" w:eastAsia="zh-CN"/>
        </w:rPr>
      </w:pPr>
      <w:r>
        <w:rPr>
          <w:rFonts w:hint="eastAsia"/>
          <w:lang w:val="en-US" w:eastAsia="zh-CN"/>
        </w:rPr>
        <w:t>2）在业务外包工作中若发生安全事故，甲方不承担</w:t>
      </w:r>
      <w:r>
        <w:rPr>
          <w:rFonts w:hint="eastAsia"/>
        </w:rPr>
        <w:t>，一切责任由乙方全部承担，与甲方无关。 若发生安全事故连带甲方负责，甲方的赔偿费用从乙方合同履约金和承包费中扣除。</w:t>
      </w:r>
    </w:p>
    <w:p>
      <w:pPr>
        <w:spacing w:line="540" w:lineRule="exact"/>
        <w:rPr>
          <w:rFonts w:hint="eastAsia"/>
        </w:rPr>
      </w:pPr>
      <w:r>
        <w:rPr>
          <w:rFonts w:hint="eastAsia"/>
        </w:rPr>
        <w:t>管理及验收要求：</w:t>
      </w:r>
    </w:p>
    <w:p>
      <w:pPr>
        <w:spacing w:line="540" w:lineRule="exact"/>
        <w:rPr>
          <w:rFonts w:hint="eastAsia"/>
        </w:rPr>
      </w:pPr>
      <w:r>
        <w:rPr>
          <w:rFonts w:hint="eastAsia"/>
        </w:rPr>
        <w:t>1）乙方必须保证不出现空岗，不能无故不在岗位上。</w:t>
      </w:r>
    </w:p>
    <w:p>
      <w:pPr>
        <w:spacing w:line="540" w:lineRule="exact"/>
        <w:rPr>
          <w:rFonts w:hint="eastAsia"/>
        </w:rPr>
      </w:pPr>
      <w:r>
        <w:rPr>
          <w:rFonts w:hint="eastAsia"/>
        </w:rPr>
        <w:t>2）乙方在合同期内,未按生产要求完成任务影响生产，甲方有权解除合同。</w:t>
      </w:r>
    </w:p>
    <w:p>
      <w:pPr>
        <w:spacing w:line="540" w:lineRule="exact"/>
        <w:rPr>
          <w:rFonts w:hint="eastAsia"/>
        </w:rPr>
      </w:pPr>
      <w:r>
        <w:rPr>
          <w:rFonts w:hint="eastAsia"/>
        </w:rPr>
        <w:t>七、违约责任：</w:t>
      </w:r>
    </w:p>
    <w:p>
      <w:pPr>
        <w:spacing w:line="540" w:lineRule="exact"/>
        <w:rPr>
          <w:rFonts w:hint="eastAsia"/>
        </w:rPr>
      </w:pPr>
      <w:r>
        <w:rPr>
          <w:rFonts w:hint="eastAsia"/>
        </w:rPr>
        <w:t>1、甲、乙双方的合同责任和违约责任以本合同所明示规定的责任条款为准。</w:t>
      </w:r>
    </w:p>
    <w:p>
      <w:pPr>
        <w:spacing w:line="540" w:lineRule="exact"/>
        <w:rPr>
          <w:rFonts w:hint="eastAsia"/>
        </w:rPr>
      </w:pPr>
      <w:r>
        <w:rPr>
          <w:rFonts w:hint="eastAsia"/>
          <w:lang w:val="en-US" w:eastAsia="zh-CN"/>
        </w:rPr>
        <w:t>2、</w:t>
      </w:r>
      <w:r>
        <w:rPr>
          <w:rFonts w:hint="eastAsia"/>
        </w:rPr>
        <w:t>乙方未能按合同规定完成生产，则要承担违约责任。如出现影响车间正常生产，每出现一次按日费用进行双倍罚款；如连续发生三次以上影响车间正常生产的事情，甲方有权单方面解除合同并追究乙方的违约责任。</w:t>
      </w:r>
    </w:p>
    <w:p>
      <w:pPr>
        <w:spacing w:line="540" w:lineRule="exact"/>
        <w:rPr>
          <w:rFonts w:hint="eastAsia"/>
        </w:rPr>
      </w:pPr>
      <w:r>
        <w:rPr>
          <w:rFonts w:hint="eastAsia"/>
        </w:rPr>
        <w:t>八、合同争议的解决方式：</w:t>
      </w:r>
    </w:p>
    <w:p>
      <w:pPr>
        <w:spacing w:line="540" w:lineRule="exact"/>
        <w:rPr>
          <w:rFonts w:hint="eastAsia"/>
        </w:rPr>
      </w:pPr>
      <w:r>
        <w:rPr>
          <w:rFonts w:hint="eastAsia"/>
        </w:rPr>
        <w:t>由甲、乙双方协商解决。若协商不妥，则任何一方均可向甲方所在地人民法院提起诉讼；律师费等相关费用由违约方承担。</w:t>
      </w:r>
    </w:p>
    <w:p>
      <w:pPr>
        <w:spacing w:line="540" w:lineRule="exact"/>
        <w:rPr>
          <w:rFonts w:hint="eastAsia"/>
        </w:rPr>
      </w:pPr>
      <w:r>
        <w:rPr>
          <w:rFonts w:hint="eastAsia"/>
        </w:rPr>
        <w:t>九、本合同一式三份，甲方持两份、乙方持一份。</w:t>
      </w:r>
    </w:p>
    <w:p>
      <w:pPr>
        <w:spacing w:line="540" w:lineRule="exact"/>
        <w:rPr>
          <w:rFonts w:hint="eastAsia"/>
        </w:rPr>
      </w:pPr>
    </w:p>
    <w:p>
      <w:pPr>
        <w:spacing w:line="540" w:lineRule="exact"/>
        <w:rPr>
          <w:rFonts w:hint="eastAsia"/>
        </w:rPr>
      </w:pPr>
    </w:p>
    <w:tbl>
      <w:tblPr>
        <w:tblStyle w:val="10"/>
        <w:tblpPr w:leftFromText="180" w:rightFromText="180" w:vertAnchor="text" w:horzAnchor="page" w:tblpX="1290" w:tblpY="61"/>
        <w:tblOverlap w:val="never"/>
        <w:tblW w:w="9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4"/>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964" w:type="dxa"/>
            <w:tcBorders>
              <w:top w:val="single" w:color="auto" w:sz="4" w:space="0"/>
              <w:left w:val="single" w:color="auto" w:sz="4" w:space="0"/>
              <w:bottom w:val="single" w:color="auto" w:sz="4" w:space="0"/>
              <w:right w:val="single" w:color="auto" w:sz="4" w:space="0"/>
            </w:tcBorders>
          </w:tcPr>
          <w:p>
            <w:pPr>
              <w:spacing w:line="540" w:lineRule="exact"/>
              <w:rPr>
                <w:rFonts w:hint="eastAsia"/>
              </w:rPr>
            </w:pPr>
            <w:r>
              <w:rPr>
                <w:rFonts w:hint="eastAsia"/>
              </w:rPr>
              <w:t>需方</w:t>
            </w:r>
          </w:p>
        </w:tc>
        <w:tc>
          <w:tcPr>
            <w:tcW w:w="4964" w:type="dxa"/>
            <w:tcBorders>
              <w:top w:val="single" w:color="auto" w:sz="4" w:space="0"/>
              <w:left w:val="nil"/>
              <w:bottom w:val="single" w:color="auto" w:sz="4" w:space="0"/>
              <w:right w:val="single" w:color="auto" w:sz="4" w:space="0"/>
            </w:tcBorders>
          </w:tcPr>
          <w:p>
            <w:pPr>
              <w:spacing w:line="540" w:lineRule="exact"/>
              <w:rPr>
                <w:rFonts w:hint="eastAsia"/>
              </w:rPr>
            </w:pPr>
            <w:r>
              <w:rPr>
                <w:rFonts w:hint="eastAsia"/>
              </w:rPr>
              <w:t>供方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964" w:type="dxa"/>
            <w:tcBorders>
              <w:top w:val="single" w:color="auto" w:sz="4" w:space="0"/>
              <w:left w:val="single" w:color="auto" w:sz="4" w:space="0"/>
              <w:bottom w:val="single" w:color="auto" w:sz="4" w:space="0"/>
              <w:right w:val="single" w:color="auto" w:sz="4" w:space="0"/>
            </w:tcBorders>
            <w:vAlign w:val="center"/>
          </w:tcPr>
          <w:p>
            <w:pPr>
              <w:spacing w:line="540" w:lineRule="exact"/>
              <w:rPr>
                <w:rFonts w:hint="eastAsia"/>
              </w:rPr>
            </w:pPr>
            <w:r>
              <w:rPr>
                <w:rFonts w:hint="eastAsia"/>
              </w:rPr>
              <w:t>单位名称(章)：</w:t>
            </w:r>
            <w:bookmarkStart w:id="1" w:name="CompanyNameTitle"/>
            <w:r>
              <w:rPr>
                <w:rFonts w:hint="eastAsia"/>
              </w:rPr>
              <w:t>中粮糖业控股股份有限公司奇台糖业分公司</w:t>
            </w:r>
            <w:bookmarkEnd w:id="1"/>
            <w:r>
              <w:rPr>
                <w:rFonts w:hint="eastAsia"/>
              </w:rPr>
              <w:t xml:space="preserve">     </w:t>
            </w:r>
          </w:p>
        </w:tc>
        <w:tc>
          <w:tcPr>
            <w:tcW w:w="4964" w:type="dxa"/>
            <w:tcBorders>
              <w:top w:val="single" w:color="auto" w:sz="4" w:space="0"/>
              <w:left w:val="nil"/>
              <w:bottom w:val="single" w:color="auto" w:sz="4" w:space="0"/>
              <w:right w:val="single" w:color="auto" w:sz="4" w:space="0"/>
            </w:tcBorders>
            <w:vAlign w:val="center"/>
          </w:tcPr>
          <w:p>
            <w:pPr>
              <w:spacing w:line="540" w:lineRule="exact"/>
              <w:rPr>
                <w:rFonts w:hint="eastAsia"/>
              </w:rPr>
            </w:pPr>
            <w:r>
              <w:rPr>
                <w:rFonts w:hint="eastAsia"/>
              </w:rPr>
              <w:t xml:space="preserve">单位名称(章)：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964" w:type="dxa"/>
            <w:tcBorders>
              <w:top w:val="single" w:color="auto" w:sz="4" w:space="0"/>
              <w:left w:val="single" w:color="auto" w:sz="4" w:space="0"/>
              <w:bottom w:val="single" w:color="auto" w:sz="4" w:space="0"/>
              <w:right w:val="single" w:color="auto" w:sz="4" w:space="0"/>
            </w:tcBorders>
            <w:vAlign w:val="center"/>
          </w:tcPr>
          <w:p>
            <w:pPr>
              <w:spacing w:line="540" w:lineRule="exact"/>
              <w:rPr>
                <w:rFonts w:hint="eastAsia"/>
              </w:rPr>
            </w:pPr>
            <w:r>
              <w:rPr>
                <w:rFonts w:hint="eastAsia"/>
              </w:rPr>
              <w:t xml:space="preserve">单位地址：新疆昌吉回族自治州奇台县乌奇公路2区12丘48幢     </w:t>
            </w:r>
          </w:p>
        </w:tc>
        <w:tc>
          <w:tcPr>
            <w:tcW w:w="4964" w:type="dxa"/>
            <w:tcBorders>
              <w:top w:val="single" w:color="auto" w:sz="4" w:space="0"/>
              <w:left w:val="nil"/>
              <w:bottom w:val="single" w:color="auto" w:sz="4" w:space="0"/>
              <w:right w:val="single" w:color="auto" w:sz="4" w:space="0"/>
            </w:tcBorders>
            <w:vAlign w:val="center"/>
          </w:tcPr>
          <w:p>
            <w:pPr>
              <w:spacing w:line="540" w:lineRule="exact"/>
              <w:rPr>
                <w:rFonts w:hint="eastAsia"/>
              </w:rPr>
            </w:pPr>
            <w:r>
              <w:rPr>
                <w:rFonts w:hint="eastAsia"/>
              </w:rPr>
              <w:t xml:space="preserve">单位地址：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964" w:type="dxa"/>
            <w:tcBorders>
              <w:top w:val="single" w:color="auto" w:sz="4" w:space="0"/>
              <w:left w:val="single" w:color="auto" w:sz="4" w:space="0"/>
              <w:bottom w:val="single" w:color="auto" w:sz="4" w:space="0"/>
              <w:right w:val="single" w:color="auto" w:sz="4" w:space="0"/>
            </w:tcBorders>
            <w:vAlign w:val="center"/>
          </w:tcPr>
          <w:p>
            <w:pPr>
              <w:spacing w:line="540" w:lineRule="exact"/>
              <w:rPr>
                <w:rFonts w:hint="eastAsia"/>
              </w:rPr>
            </w:pPr>
            <w:r>
              <w:rPr>
                <w:rFonts w:hint="eastAsia"/>
              </w:rPr>
              <w:t>法定代表人：</w:t>
            </w:r>
            <w:bookmarkStart w:id="2" w:name="OrganizationBank"/>
            <w:r>
              <w:rPr>
                <w:rFonts w:hint="eastAsia"/>
              </w:rPr>
              <w:t>工商银行奇台县支行营业部</w:t>
            </w:r>
            <w:bookmarkEnd w:id="2"/>
            <w:r>
              <w:rPr>
                <w:rFonts w:hint="eastAsia"/>
              </w:rPr>
              <w:t xml:space="preserve">     </w:t>
            </w:r>
          </w:p>
        </w:tc>
        <w:tc>
          <w:tcPr>
            <w:tcW w:w="4964" w:type="dxa"/>
            <w:tcBorders>
              <w:top w:val="single" w:color="auto" w:sz="4" w:space="0"/>
              <w:left w:val="nil"/>
              <w:bottom w:val="single" w:color="auto" w:sz="4" w:space="0"/>
              <w:right w:val="single" w:color="auto" w:sz="4" w:space="0"/>
            </w:tcBorders>
            <w:vAlign w:val="center"/>
          </w:tcPr>
          <w:p>
            <w:pPr>
              <w:spacing w:line="540" w:lineRule="exact"/>
              <w:rPr>
                <w:rFonts w:hint="eastAsia"/>
              </w:rPr>
            </w:pPr>
            <w:r>
              <w:rPr>
                <w:rFonts w:hint="eastAsia"/>
              </w:rPr>
              <w:t xml:space="preserve">法定代表人：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964" w:type="dxa"/>
            <w:tcBorders>
              <w:top w:val="single" w:color="auto" w:sz="4" w:space="0"/>
              <w:left w:val="single" w:color="auto" w:sz="4" w:space="0"/>
              <w:bottom w:val="single" w:color="auto" w:sz="4" w:space="0"/>
              <w:right w:val="single" w:color="auto" w:sz="4" w:space="0"/>
            </w:tcBorders>
            <w:vAlign w:val="center"/>
          </w:tcPr>
          <w:p>
            <w:pPr>
              <w:spacing w:line="540" w:lineRule="exact"/>
              <w:rPr>
                <w:rFonts w:hint="eastAsia"/>
              </w:rPr>
            </w:pPr>
            <w:r>
              <w:rPr>
                <w:rFonts w:hint="eastAsia"/>
              </w:rPr>
              <w:t xml:space="preserve">授权代表：     </w:t>
            </w:r>
          </w:p>
        </w:tc>
        <w:tc>
          <w:tcPr>
            <w:tcW w:w="4964" w:type="dxa"/>
            <w:tcBorders>
              <w:top w:val="single" w:color="auto" w:sz="4" w:space="0"/>
              <w:left w:val="nil"/>
              <w:bottom w:val="single" w:color="auto" w:sz="4" w:space="0"/>
              <w:right w:val="single" w:color="auto" w:sz="4" w:space="0"/>
            </w:tcBorders>
            <w:vAlign w:val="center"/>
          </w:tcPr>
          <w:p>
            <w:pPr>
              <w:spacing w:line="540" w:lineRule="exact"/>
              <w:rPr>
                <w:rFonts w:hint="eastAsia"/>
              </w:rPr>
            </w:pPr>
            <w:r>
              <w:rPr>
                <w:rFonts w:hint="eastAsia"/>
              </w:rPr>
              <w:t xml:space="preserve">授权代表：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964" w:type="dxa"/>
            <w:tcBorders>
              <w:top w:val="single" w:color="auto" w:sz="4" w:space="0"/>
              <w:left w:val="single" w:color="auto" w:sz="4" w:space="0"/>
              <w:bottom w:val="single" w:color="auto" w:sz="4" w:space="0"/>
              <w:right w:val="single" w:color="auto" w:sz="4" w:space="0"/>
            </w:tcBorders>
            <w:vAlign w:val="center"/>
          </w:tcPr>
          <w:p>
            <w:pPr>
              <w:spacing w:line="540" w:lineRule="exact"/>
              <w:rPr>
                <w:rFonts w:hint="eastAsia"/>
              </w:rPr>
            </w:pPr>
            <w:r>
              <w:rPr>
                <w:rFonts w:hint="eastAsia"/>
              </w:rPr>
              <w:t xml:space="preserve">开户银行：     </w:t>
            </w:r>
          </w:p>
        </w:tc>
        <w:tc>
          <w:tcPr>
            <w:tcW w:w="4964" w:type="dxa"/>
            <w:tcBorders>
              <w:top w:val="single" w:color="auto" w:sz="4" w:space="0"/>
              <w:left w:val="nil"/>
              <w:bottom w:val="single" w:color="auto" w:sz="4" w:space="0"/>
              <w:right w:val="single" w:color="auto" w:sz="4" w:space="0"/>
            </w:tcBorders>
            <w:vAlign w:val="center"/>
          </w:tcPr>
          <w:p>
            <w:pPr>
              <w:spacing w:line="540" w:lineRule="exact"/>
              <w:rPr>
                <w:rFonts w:hint="eastAsia"/>
              </w:rPr>
            </w:pPr>
            <w:r>
              <w:rPr>
                <w:rFonts w:hint="eastAsia"/>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964" w:type="dxa"/>
            <w:tcBorders>
              <w:top w:val="single" w:color="auto" w:sz="4" w:space="0"/>
              <w:left w:val="single" w:color="auto" w:sz="4" w:space="0"/>
              <w:bottom w:val="single" w:color="auto" w:sz="4" w:space="0"/>
              <w:right w:val="single" w:color="auto" w:sz="4" w:space="0"/>
            </w:tcBorders>
            <w:vAlign w:val="center"/>
          </w:tcPr>
          <w:p>
            <w:pPr>
              <w:spacing w:line="540" w:lineRule="exact"/>
              <w:rPr>
                <w:rFonts w:hint="eastAsia"/>
              </w:rPr>
            </w:pPr>
            <w:r>
              <w:rPr>
                <w:rFonts w:hint="eastAsia"/>
              </w:rPr>
              <w:t>帐号：</w:t>
            </w:r>
            <w:bookmarkStart w:id="3" w:name="OrganizationBankAccount"/>
            <w:r>
              <w:rPr>
                <w:rFonts w:hint="eastAsia"/>
              </w:rPr>
              <w:t>3004862009200015023</w:t>
            </w:r>
            <w:bookmarkEnd w:id="3"/>
            <w:r>
              <w:rPr>
                <w:rFonts w:hint="eastAsia"/>
              </w:rPr>
              <w:t xml:space="preserve">     </w:t>
            </w:r>
          </w:p>
        </w:tc>
        <w:tc>
          <w:tcPr>
            <w:tcW w:w="4964" w:type="dxa"/>
            <w:tcBorders>
              <w:top w:val="single" w:color="auto" w:sz="4" w:space="0"/>
              <w:left w:val="nil"/>
              <w:bottom w:val="single" w:color="auto" w:sz="4" w:space="0"/>
              <w:right w:val="single" w:color="auto" w:sz="4" w:space="0"/>
            </w:tcBorders>
            <w:vAlign w:val="center"/>
          </w:tcPr>
          <w:p>
            <w:pPr>
              <w:spacing w:line="540" w:lineRule="exact"/>
              <w:rPr>
                <w:rFonts w:hint="eastAsia"/>
              </w:rPr>
            </w:pPr>
            <w:r>
              <w:rPr>
                <w:rFonts w:hint="eastAsia"/>
              </w:rPr>
              <w:t xml:space="preserve">帐号：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964" w:type="dxa"/>
            <w:tcBorders>
              <w:top w:val="single" w:color="auto" w:sz="4" w:space="0"/>
              <w:left w:val="single" w:color="auto" w:sz="4" w:space="0"/>
              <w:bottom w:val="single" w:color="auto" w:sz="4" w:space="0"/>
              <w:right w:val="single" w:color="auto" w:sz="4" w:space="0"/>
            </w:tcBorders>
            <w:vAlign w:val="center"/>
          </w:tcPr>
          <w:p>
            <w:pPr>
              <w:spacing w:line="540" w:lineRule="exact"/>
              <w:rPr>
                <w:rFonts w:hint="eastAsia"/>
              </w:rPr>
            </w:pPr>
            <w:r>
              <w:rPr>
                <w:rFonts w:hint="eastAsia"/>
              </w:rPr>
              <w:t>税号：</w:t>
            </w:r>
            <w:bookmarkStart w:id="4" w:name="OrganizationEmail"/>
            <w:r>
              <w:rPr>
                <w:rFonts w:hint="eastAsia"/>
              </w:rPr>
              <w:t>91652325734460241R</w:t>
            </w:r>
            <w:bookmarkEnd w:id="4"/>
            <w:r>
              <w:rPr>
                <w:rFonts w:hint="eastAsia"/>
              </w:rPr>
              <w:t xml:space="preserve">     </w:t>
            </w:r>
          </w:p>
        </w:tc>
        <w:tc>
          <w:tcPr>
            <w:tcW w:w="4964" w:type="dxa"/>
            <w:tcBorders>
              <w:top w:val="single" w:color="auto" w:sz="4" w:space="0"/>
              <w:left w:val="nil"/>
              <w:bottom w:val="single" w:color="auto" w:sz="4" w:space="0"/>
              <w:right w:val="single" w:color="auto" w:sz="4" w:space="0"/>
            </w:tcBorders>
            <w:vAlign w:val="center"/>
          </w:tcPr>
          <w:p>
            <w:pPr>
              <w:spacing w:line="540" w:lineRule="exact"/>
              <w:rPr>
                <w:rFonts w:hint="eastAsia"/>
              </w:rPr>
            </w:pPr>
            <w:r>
              <w:rPr>
                <w:rFonts w:hint="eastAsia"/>
              </w:rPr>
              <w:t xml:space="preserve">税号：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964" w:type="dxa"/>
            <w:tcBorders>
              <w:top w:val="single" w:color="auto" w:sz="4" w:space="0"/>
              <w:left w:val="single" w:color="auto" w:sz="4" w:space="0"/>
              <w:bottom w:val="single" w:color="auto" w:sz="4" w:space="0"/>
              <w:right w:val="single" w:color="auto" w:sz="4" w:space="0"/>
            </w:tcBorders>
            <w:vAlign w:val="center"/>
          </w:tcPr>
          <w:p>
            <w:pPr>
              <w:spacing w:line="540" w:lineRule="exact"/>
              <w:rPr>
                <w:rFonts w:hint="eastAsia"/>
              </w:rPr>
            </w:pPr>
            <w:r>
              <w:rPr>
                <w:rFonts w:hint="eastAsia"/>
              </w:rPr>
              <w:t>电话：</w:t>
            </w:r>
            <w:bookmarkStart w:id="5" w:name="OrganizationTelephone"/>
            <w:r>
              <w:rPr>
                <w:rFonts w:hint="eastAsia"/>
              </w:rPr>
              <w:t>0994-7247305</w:t>
            </w:r>
            <w:bookmarkEnd w:id="5"/>
            <w:r>
              <w:rPr>
                <w:rFonts w:hint="eastAsia"/>
              </w:rPr>
              <w:t xml:space="preserve">     </w:t>
            </w:r>
          </w:p>
        </w:tc>
        <w:tc>
          <w:tcPr>
            <w:tcW w:w="4964" w:type="dxa"/>
            <w:tcBorders>
              <w:top w:val="single" w:color="auto" w:sz="4" w:space="0"/>
              <w:left w:val="nil"/>
              <w:bottom w:val="single" w:color="auto" w:sz="4" w:space="0"/>
              <w:right w:val="single" w:color="auto" w:sz="4" w:space="0"/>
            </w:tcBorders>
            <w:vAlign w:val="center"/>
          </w:tcPr>
          <w:p>
            <w:pPr>
              <w:spacing w:line="540" w:lineRule="exact"/>
              <w:rPr>
                <w:rFonts w:hint="eastAsia"/>
              </w:rPr>
            </w:pPr>
            <w:r>
              <w:rPr>
                <w:rFonts w:hint="eastAsia"/>
              </w:rPr>
              <w:t xml:space="preserve">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964" w:type="dxa"/>
            <w:tcBorders>
              <w:top w:val="single" w:color="auto" w:sz="4" w:space="0"/>
              <w:left w:val="single" w:color="auto" w:sz="4" w:space="0"/>
              <w:bottom w:val="single" w:color="auto" w:sz="4" w:space="0"/>
              <w:right w:val="single" w:color="auto" w:sz="4" w:space="0"/>
            </w:tcBorders>
            <w:vAlign w:val="center"/>
          </w:tcPr>
          <w:p>
            <w:pPr>
              <w:spacing w:line="540" w:lineRule="exact"/>
              <w:rPr>
                <w:rFonts w:hint="eastAsia"/>
              </w:rPr>
            </w:pPr>
            <w:r>
              <w:rPr>
                <w:rFonts w:hint="eastAsia"/>
              </w:rPr>
              <w:t xml:space="preserve">传真：     </w:t>
            </w:r>
          </w:p>
        </w:tc>
        <w:tc>
          <w:tcPr>
            <w:tcW w:w="4964" w:type="dxa"/>
            <w:tcBorders>
              <w:top w:val="single" w:color="auto" w:sz="4" w:space="0"/>
              <w:left w:val="nil"/>
              <w:bottom w:val="single" w:color="auto" w:sz="4" w:space="0"/>
              <w:right w:val="single" w:color="auto" w:sz="4" w:space="0"/>
            </w:tcBorders>
            <w:vAlign w:val="center"/>
          </w:tcPr>
          <w:p>
            <w:pPr>
              <w:spacing w:line="540" w:lineRule="exact"/>
              <w:rPr>
                <w:rFonts w:hint="eastAsia"/>
              </w:rPr>
            </w:pPr>
            <w:r>
              <w:rPr>
                <w:rFonts w:hint="eastAsia"/>
              </w:rPr>
              <w:t xml:space="preserve">传真：     </w:t>
            </w:r>
          </w:p>
        </w:tc>
      </w:tr>
    </w:tbl>
    <w:p>
      <w:pPr>
        <w:spacing w:line="540" w:lineRule="exact"/>
        <w:rPr>
          <w:rFonts w:hint="eastAsia"/>
        </w:rPr>
      </w:pPr>
      <w:r>
        <w:rPr>
          <w:rFonts w:hint="eastAsia"/>
        </w:rPr>
        <w:t xml:space="preserve">  </w:t>
      </w:r>
    </w:p>
    <w:p>
      <w:pPr>
        <w:numPr>
          <w:ilvl w:val="0"/>
          <w:numId w:val="2"/>
        </w:numPr>
        <w:spacing w:line="360" w:lineRule="auto"/>
        <w:jc w:val="center"/>
        <w:rPr>
          <w:rFonts w:hint="eastAsia" w:ascii="黑体" w:eastAsia="黑体"/>
          <w:bCs/>
          <w:sz w:val="24"/>
          <w:szCs w:val="24"/>
        </w:rPr>
      </w:pPr>
      <w:r>
        <w:rPr>
          <w:rFonts w:hint="eastAsia" w:ascii="黑体" w:eastAsia="黑体"/>
          <w:bCs/>
          <w:sz w:val="24"/>
          <w:szCs w:val="24"/>
        </w:rPr>
        <w:t xml:space="preserve">  承包方入厂安全资料清单</w:t>
      </w:r>
    </w:p>
    <w:p>
      <w:pPr>
        <w:numPr>
          <w:ilvl w:val="0"/>
          <w:numId w:val="0"/>
        </w:numPr>
        <w:spacing w:line="360" w:lineRule="auto"/>
        <w:jc w:val="both"/>
        <w:rPr>
          <w:rFonts w:hint="eastAsia" w:ascii="黑体" w:eastAsia="黑体"/>
          <w:bCs/>
          <w:sz w:val="24"/>
          <w:szCs w:val="24"/>
        </w:rPr>
      </w:pPr>
    </w:p>
    <w:p>
      <w:pPr>
        <w:spacing w:line="360" w:lineRule="auto"/>
        <w:jc w:val="center"/>
        <w:rPr>
          <w:rFonts w:ascii="黑体" w:hAnsi="黑体" w:eastAsia="黑体"/>
          <w:b/>
          <w:sz w:val="24"/>
          <w:szCs w:val="24"/>
        </w:rPr>
      </w:pPr>
      <w:r>
        <w:rPr>
          <w:rFonts w:hint="eastAsia" w:ascii="黑体" w:hAnsi="黑体" w:eastAsia="黑体"/>
          <w:sz w:val="24"/>
          <w:szCs w:val="24"/>
        </w:rPr>
        <w:t>项目承包方入厂安全资料清单（征求意见稿）</w:t>
      </w:r>
    </w:p>
    <w:p>
      <w:pPr>
        <w:spacing w:line="360" w:lineRule="auto"/>
        <w:ind w:firstLine="482" w:firstLineChars="200"/>
        <w:rPr>
          <w:rFonts w:ascii="宋体" w:hAnsi="宋体"/>
          <w:b/>
          <w:sz w:val="24"/>
          <w:szCs w:val="24"/>
        </w:rPr>
      </w:pPr>
      <w:r>
        <w:rPr>
          <w:rFonts w:hint="eastAsia" w:ascii="宋体" w:hAnsi="宋体"/>
          <w:b/>
          <w:kern w:val="0"/>
          <w:sz w:val="24"/>
          <w:szCs w:val="24"/>
        </w:rPr>
        <w:t>中标人在进场前要经过安全审查审核通过后，方可施工，具体要求如下：</w:t>
      </w:r>
    </w:p>
    <w:p>
      <w:pPr>
        <w:spacing w:line="360" w:lineRule="auto"/>
        <w:ind w:firstLine="480" w:firstLineChars="200"/>
        <w:rPr>
          <w:rFonts w:ascii="宋体" w:hAnsi="宋体"/>
          <w:sz w:val="24"/>
          <w:szCs w:val="24"/>
        </w:rPr>
      </w:pPr>
      <w:r>
        <w:rPr>
          <w:rFonts w:hint="eastAsia" w:ascii="宋体" w:hAnsi="宋体"/>
          <w:sz w:val="24"/>
          <w:szCs w:val="24"/>
        </w:rPr>
        <w:t>1. 提供一份所有作业人员花名册▲</w:t>
      </w:r>
    </w:p>
    <w:p>
      <w:pPr>
        <w:spacing w:line="360" w:lineRule="auto"/>
        <w:ind w:firstLine="480" w:firstLineChars="200"/>
        <w:rPr>
          <w:rFonts w:ascii="宋体" w:hAnsi="宋体"/>
          <w:sz w:val="24"/>
          <w:szCs w:val="24"/>
        </w:rPr>
      </w:pPr>
      <w:r>
        <w:rPr>
          <w:rFonts w:hint="eastAsia" w:ascii="宋体" w:hAnsi="宋体"/>
          <w:sz w:val="24"/>
          <w:szCs w:val="24"/>
        </w:rPr>
        <w:t>2. 提供所有作业人员身份证（复印件）▲</w:t>
      </w:r>
    </w:p>
    <w:p>
      <w:pPr>
        <w:spacing w:line="360" w:lineRule="auto"/>
        <w:ind w:firstLine="480" w:firstLineChars="200"/>
        <w:rPr>
          <w:rFonts w:ascii="宋体" w:hAnsi="宋体"/>
          <w:sz w:val="24"/>
          <w:szCs w:val="24"/>
        </w:rPr>
      </w:pPr>
      <w:r>
        <w:rPr>
          <w:rFonts w:hint="eastAsia" w:ascii="宋体" w:hAnsi="宋体"/>
          <w:sz w:val="24"/>
          <w:szCs w:val="24"/>
        </w:rPr>
        <w:t>3.为每一位作业人员提供一份“健康体检”表（医院体检证明）▲</w:t>
      </w:r>
    </w:p>
    <w:p>
      <w:pPr>
        <w:spacing w:line="360" w:lineRule="auto"/>
        <w:ind w:firstLine="480" w:firstLineChars="200"/>
        <w:rPr>
          <w:rFonts w:ascii="宋体" w:hAnsi="宋体"/>
          <w:sz w:val="24"/>
          <w:szCs w:val="24"/>
        </w:rPr>
      </w:pPr>
      <w:r>
        <w:rPr>
          <w:rFonts w:hint="eastAsia" w:ascii="宋体" w:hAnsi="宋体"/>
          <w:sz w:val="24"/>
          <w:szCs w:val="24"/>
        </w:rPr>
        <w:t>4.项目经理及专职安全员并持证上岗▲</w:t>
      </w:r>
    </w:p>
    <w:p>
      <w:pPr>
        <w:spacing w:line="360" w:lineRule="auto"/>
        <w:ind w:firstLine="480" w:firstLineChars="200"/>
        <w:rPr>
          <w:rFonts w:ascii="宋体" w:hAnsi="宋体"/>
          <w:sz w:val="24"/>
          <w:szCs w:val="24"/>
        </w:rPr>
      </w:pPr>
      <w:r>
        <w:rPr>
          <w:rFonts w:hint="eastAsia" w:ascii="宋体" w:hAnsi="宋体"/>
          <w:sz w:val="24"/>
          <w:szCs w:val="24"/>
        </w:rPr>
        <w:t>5.每一位作业人员的安全规程培训考试，合格后方可上岗▲</w:t>
      </w:r>
    </w:p>
    <w:p>
      <w:pPr>
        <w:spacing w:line="360" w:lineRule="auto"/>
        <w:ind w:firstLine="480" w:firstLineChars="200"/>
        <w:rPr>
          <w:rFonts w:ascii="宋体" w:hAnsi="宋体"/>
          <w:sz w:val="24"/>
          <w:szCs w:val="24"/>
        </w:rPr>
      </w:pPr>
      <w:r>
        <w:rPr>
          <w:rFonts w:hint="eastAsia" w:ascii="宋体" w:hAnsi="宋体"/>
          <w:sz w:val="24"/>
          <w:szCs w:val="24"/>
        </w:rPr>
        <w:t>6. 承包单位与每一位员工签订劳动合同（提供复印件）</w:t>
      </w:r>
    </w:p>
    <w:p>
      <w:pPr>
        <w:spacing w:line="360" w:lineRule="auto"/>
        <w:ind w:firstLine="480" w:firstLineChars="200"/>
        <w:rPr>
          <w:rFonts w:ascii="宋体" w:hAnsi="宋体"/>
          <w:sz w:val="24"/>
          <w:szCs w:val="24"/>
        </w:rPr>
      </w:pPr>
      <w:r>
        <w:rPr>
          <w:rFonts w:hint="eastAsia" w:ascii="宋体" w:hAnsi="宋体"/>
          <w:sz w:val="24"/>
          <w:szCs w:val="24"/>
        </w:rPr>
        <w:t>7.为所有作业人员办理工伤保险或意外保险（提供保险凭证）▲</w:t>
      </w:r>
    </w:p>
    <w:p>
      <w:pPr>
        <w:spacing w:line="360" w:lineRule="auto"/>
        <w:ind w:firstLine="480" w:firstLineChars="200"/>
        <w:rPr>
          <w:rFonts w:ascii="宋体" w:hAnsi="宋体"/>
          <w:sz w:val="24"/>
          <w:szCs w:val="24"/>
        </w:rPr>
      </w:pPr>
      <w:r>
        <w:rPr>
          <w:rFonts w:hint="eastAsia" w:ascii="宋体" w:hAnsi="宋体"/>
          <w:sz w:val="24"/>
          <w:szCs w:val="24"/>
        </w:rPr>
        <w:t>8.按规定缴纳安全风险抵押金▲</w:t>
      </w:r>
    </w:p>
    <w:p>
      <w:pPr>
        <w:spacing w:line="360" w:lineRule="auto"/>
        <w:ind w:firstLine="480" w:firstLineChars="200"/>
        <w:rPr>
          <w:rFonts w:ascii="宋体" w:hAnsi="宋体"/>
          <w:sz w:val="24"/>
          <w:szCs w:val="24"/>
        </w:rPr>
      </w:pPr>
      <w:r>
        <w:rPr>
          <w:rFonts w:hint="eastAsia" w:ascii="宋体" w:hAnsi="宋体"/>
          <w:sz w:val="24"/>
          <w:szCs w:val="24"/>
        </w:rPr>
        <w:t>9.提供所有作业人员月度考勤表（进场以后执行）▲</w:t>
      </w:r>
    </w:p>
    <w:p>
      <w:pPr>
        <w:spacing w:line="360" w:lineRule="auto"/>
        <w:ind w:firstLine="480" w:firstLineChars="200"/>
        <w:rPr>
          <w:rFonts w:ascii="宋体" w:hAnsi="宋体"/>
          <w:sz w:val="24"/>
          <w:szCs w:val="24"/>
        </w:rPr>
      </w:pPr>
      <w:r>
        <w:rPr>
          <w:rFonts w:hint="eastAsia" w:ascii="宋体" w:hAnsi="宋体"/>
          <w:sz w:val="24"/>
          <w:szCs w:val="24"/>
        </w:rPr>
        <w:t>10.提供所有作业人员劳动防护用品清单（如：安全帽、工作服、工作鞋、口罩、手套、耳塞、防护眼镜等）▲</w:t>
      </w:r>
    </w:p>
    <w:p>
      <w:pPr>
        <w:spacing w:line="360" w:lineRule="auto"/>
        <w:ind w:firstLine="480" w:firstLineChars="200"/>
        <w:rPr>
          <w:rFonts w:ascii="宋体" w:hAnsi="宋体"/>
          <w:sz w:val="24"/>
          <w:szCs w:val="24"/>
        </w:rPr>
      </w:pPr>
      <w:r>
        <w:rPr>
          <w:rFonts w:hint="eastAsia" w:ascii="宋体" w:hAnsi="宋体"/>
          <w:sz w:val="24"/>
          <w:szCs w:val="24"/>
        </w:rPr>
        <w:t>11.提供每位员工月度安全培训记录及档案（进场以后执行）</w:t>
      </w:r>
    </w:p>
    <w:p>
      <w:pPr>
        <w:spacing w:line="360" w:lineRule="auto"/>
        <w:ind w:firstLine="480" w:firstLineChars="200"/>
        <w:rPr>
          <w:rFonts w:ascii="宋体" w:hAnsi="宋体"/>
          <w:sz w:val="24"/>
          <w:szCs w:val="24"/>
        </w:rPr>
      </w:pPr>
      <w:r>
        <w:rPr>
          <w:rFonts w:hint="eastAsia" w:ascii="宋体" w:hAnsi="宋体"/>
          <w:sz w:val="24"/>
          <w:szCs w:val="24"/>
        </w:rPr>
        <w:t>12.提供安全生产管理办法、安全技术措施、施工组织措施▲</w:t>
      </w:r>
    </w:p>
    <w:p>
      <w:pPr>
        <w:spacing w:line="360" w:lineRule="auto"/>
        <w:ind w:firstLine="480" w:firstLineChars="200"/>
        <w:rPr>
          <w:rFonts w:ascii="宋体" w:hAnsi="宋体"/>
          <w:sz w:val="24"/>
          <w:szCs w:val="24"/>
        </w:rPr>
      </w:pPr>
      <w:r>
        <w:rPr>
          <w:rFonts w:hint="eastAsia" w:ascii="宋体" w:hAnsi="宋体"/>
          <w:sz w:val="24"/>
          <w:szCs w:val="24"/>
        </w:rPr>
        <w:t xml:space="preserve">13.提供有效的营业执照、施工资质、安全生产许可证等文件▲ </w:t>
      </w:r>
    </w:p>
    <w:p>
      <w:pPr>
        <w:spacing w:line="360" w:lineRule="auto"/>
        <w:ind w:firstLine="480" w:firstLineChars="200"/>
        <w:rPr>
          <w:rFonts w:ascii="宋体" w:hAnsi="宋体"/>
          <w:sz w:val="24"/>
          <w:szCs w:val="24"/>
        </w:rPr>
      </w:pPr>
      <w:r>
        <w:rPr>
          <w:rFonts w:hint="eastAsia" w:ascii="宋体" w:hAnsi="宋体"/>
          <w:sz w:val="24"/>
          <w:szCs w:val="24"/>
        </w:rPr>
        <w:t>14.项目经理和安全员委托书（承包商单位有效文函）▲</w:t>
      </w:r>
    </w:p>
    <w:p>
      <w:pPr>
        <w:spacing w:line="360" w:lineRule="auto"/>
        <w:ind w:firstLine="480" w:firstLineChars="200"/>
        <w:rPr>
          <w:rFonts w:ascii="宋体" w:hAnsi="宋体"/>
          <w:sz w:val="24"/>
          <w:szCs w:val="24"/>
        </w:rPr>
      </w:pPr>
      <w:r>
        <w:rPr>
          <w:rFonts w:hint="eastAsia" w:ascii="宋体" w:hAnsi="宋体"/>
          <w:sz w:val="24"/>
          <w:szCs w:val="24"/>
        </w:rPr>
        <w:t>15.项目安全管理组织机构图，及安全生产责任制；</w:t>
      </w:r>
    </w:p>
    <w:p>
      <w:pPr>
        <w:spacing w:line="360" w:lineRule="auto"/>
        <w:ind w:firstLine="480" w:firstLineChars="200"/>
        <w:rPr>
          <w:rFonts w:ascii="宋体" w:hAnsi="宋体"/>
          <w:sz w:val="24"/>
          <w:szCs w:val="24"/>
        </w:rPr>
      </w:pPr>
      <w:r>
        <w:rPr>
          <w:rFonts w:hint="eastAsia" w:ascii="宋体" w:hAnsi="宋体"/>
          <w:sz w:val="24"/>
          <w:szCs w:val="24"/>
        </w:rPr>
        <w:t>16</w:t>
      </w:r>
      <w:r>
        <w:rPr>
          <w:rFonts w:hint="eastAsia" w:ascii="宋体" w:hAnsi="宋体"/>
          <w:b/>
          <w:sz w:val="24"/>
          <w:szCs w:val="24"/>
        </w:rPr>
        <w:t>.</w:t>
      </w:r>
      <w:r>
        <w:rPr>
          <w:rFonts w:hint="eastAsia" w:ascii="宋体" w:hAnsi="宋体"/>
          <w:sz w:val="24"/>
          <w:szCs w:val="24"/>
        </w:rPr>
        <w:t>签订外来施工作业人员的安全承诺▲（进场前签定）</w:t>
      </w:r>
    </w:p>
    <w:p>
      <w:pPr>
        <w:spacing w:line="360" w:lineRule="auto"/>
        <w:ind w:firstLine="480" w:firstLineChars="200"/>
        <w:rPr>
          <w:rFonts w:ascii="宋体" w:hAnsi="宋体"/>
          <w:sz w:val="24"/>
          <w:szCs w:val="24"/>
        </w:rPr>
      </w:pPr>
      <w:r>
        <w:rPr>
          <w:rFonts w:hint="eastAsia" w:ascii="宋体" w:hAnsi="宋体"/>
          <w:sz w:val="24"/>
          <w:szCs w:val="24"/>
        </w:rPr>
        <w:t>17.提供现场“应急施救药品”▲(附药品清单)</w:t>
      </w:r>
    </w:p>
    <w:p>
      <w:pPr>
        <w:spacing w:line="360" w:lineRule="auto"/>
        <w:ind w:firstLine="480" w:firstLineChars="200"/>
        <w:rPr>
          <w:rFonts w:ascii="宋体" w:hAnsi="宋体"/>
          <w:sz w:val="24"/>
          <w:szCs w:val="24"/>
        </w:rPr>
      </w:pPr>
      <w:r>
        <w:rPr>
          <w:rFonts w:hint="eastAsia" w:ascii="宋体" w:hAnsi="宋体"/>
          <w:sz w:val="24"/>
          <w:szCs w:val="24"/>
        </w:rPr>
        <w:t>18.施工项目开工申请▲</w:t>
      </w:r>
    </w:p>
    <w:p>
      <w:pPr>
        <w:spacing w:line="360" w:lineRule="auto"/>
        <w:ind w:firstLine="480" w:firstLineChars="200"/>
        <w:rPr>
          <w:rFonts w:ascii="宋体" w:hAnsi="宋体"/>
          <w:sz w:val="24"/>
          <w:szCs w:val="24"/>
        </w:rPr>
      </w:pPr>
      <w:r>
        <w:rPr>
          <w:rFonts w:hint="eastAsia" w:ascii="宋体" w:hAnsi="宋体"/>
          <w:sz w:val="24"/>
          <w:szCs w:val="24"/>
        </w:rPr>
        <w:t>19.提供承包合同、安全协议（复印件）▲</w:t>
      </w:r>
    </w:p>
    <w:p>
      <w:pPr>
        <w:spacing w:line="360" w:lineRule="auto"/>
        <w:ind w:firstLine="480" w:firstLineChars="200"/>
        <w:rPr>
          <w:rFonts w:ascii="宋体" w:hAnsi="宋体"/>
          <w:sz w:val="24"/>
          <w:szCs w:val="24"/>
        </w:rPr>
      </w:pPr>
      <w:r>
        <w:rPr>
          <w:rFonts w:hint="eastAsia" w:ascii="宋体" w:hAnsi="宋体"/>
          <w:sz w:val="24"/>
          <w:szCs w:val="24"/>
        </w:rPr>
        <w:t>20.提供作业工器具清单、合格证</w:t>
      </w:r>
    </w:p>
    <w:p>
      <w:pPr>
        <w:spacing w:line="360" w:lineRule="auto"/>
        <w:ind w:firstLine="480" w:firstLineChars="200"/>
        <w:rPr>
          <w:rFonts w:ascii="宋体" w:hAnsi="宋体"/>
          <w:sz w:val="24"/>
          <w:szCs w:val="24"/>
        </w:rPr>
      </w:pPr>
      <w:r>
        <w:rPr>
          <w:rFonts w:hint="eastAsia" w:ascii="宋体" w:hAnsi="宋体"/>
          <w:sz w:val="24"/>
          <w:szCs w:val="24"/>
        </w:rPr>
        <w:t>21.特殊作业人员清单、特种作业资格证▲</w:t>
      </w:r>
    </w:p>
    <w:p>
      <w:pPr>
        <w:spacing w:line="360" w:lineRule="auto"/>
        <w:ind w:firstLine="480" w:firstLineChars="200"/>
        <w:rPr>
          <w:rFonts w:ascii="宋体" w:hAnsi="宋体"/>
          <w:b/>
          <w:sz w:val="24"/>
          <w:szCs w:val="24"/>
        </w:rPr>
      </w:pPr>
      <w:r>
        <w:rPr>
          <w:rFonts w:hint="eastAsia" w:ascii="宋体" w:hAnsi="宋体"/>
          <w:sz w:val="24"/>
          <w:szCs w:val="24"/>
        </w:rPr>
        <w:t>22．提供企业两年内无事故地方政府证明</w:t>
      </w:r>
    </w:p>
    <w:p>
      <w:pPr>
        <w:spacing w:line="360" w:lineRule="auto"/>
        <w:ind w:firstLine="460" w:firstLineChars="192"/>
        <w:jc w:val="left"/>
        <w:rPr>
          <w:rFonts w:ascii="宋体" w:hAnsi="宋体"/>
          <w:sz w:val="24"/>
          <w:szCs w:val="24"/>
        </w:rPr>
      </w:pPr>
      <w:r>
        <w:rPr>
          <w:rFonts w:hint="eastAsia" w:ascii="宋体" w:hAnsi="宋体"/>
          <w:sz w:val="24"/>
          <w:szCs w:val="24"/>
        </w:rPr>
        <w:t>以上资料作为外包项目承包商进入招标人作业的安全管理软件资料。表中有注▲的为必须合格项目，否则不具备入厂作业</w:t>
      </w:r>
    </w:p>
    <w:p>
      <w:pPr>
        <w:snapToGrid w:val="0"/>
        <w:spacing w:line="575" w:lineRule="exact"/>
        <w:jc w:val="center"/>
        <w:rPr>
          <w:rFonts w:hint="eastAsia" w:ascii="微软雅黑" w:hAnsi="微软雅黑" w:eastAsia="微软雅黑" w:cs="微软雅黑"/>
          <w:sz w:val="38"/>
          <w:szCs w:val="38"/>
        </w:rPr>
      </w:pPr>
    </w:p>
    <w:p>
      <w:pPr>
        <w:snapToGrid w:val="0"/>
        <w:spacing w:line="575" w:lineRule="exact"/>
        <w:jc w:val="center"/>
        <w:rPr>
          <w:rFonts w:hint="eastAsia" w:ascii="微软雅黑" w:hAnsi="微软雅黑" w:eastAsia="微软雅黑" w:cs="微软雅黑"/>
          <w:sz w:val="38"/>
          <w:szCs w:val="38"/>
        </w:rPr>
      </w:pPr>
    </w:p>
    <w:p>
      <w:pPr>
        <w:snapToGrid w:val="0"/>
        <w:spacing w:line="575" w:lineRule="exact"/>
        <w:jc w:val="center"/>
        <w:rPr>
          <w:rFonts w:hint="eastAsia" w:ascii="微软雅黑" w:hAnsi="微软雅黑" w:eastAsia="微软雅黑" w:cs="微软雅黑"/>
          <w:sz w:val="38"/>
          <w:szCs w:val="38"/>
        </w:rPr>
      </w:pPr>
    </w:p>
    <w:p>
      <w:pPr>
        <w:snapToGrid w:val="0"/>
        <w:spacing w:line="575" w:lineRule="exact"/>
        <w:jc w:val="center"/>
        <w:rPr>
          <w:rFonts w:hint="eastAsia" w:ascii="微软雅黑" w:hAnsi="微软雅黑" w:eastAsia="微软雅黑" w:cs="微软雅黑"/>
          <w:sz w:val="38"/>
          <w:szCs w:val="38"/>
        </w:rPr>
      </w:pPr>
    </w:p>
    <w:p>
      <w:pPr>
        <w:snapToGrid w:val="0"/>
        <w:spacing w:line="575" w:lineRule="exact"/>
        <w:jc w:val="center"/>
        <w:rPr>
          <w:rFonts w:hint="eastAsia" w:ascii="微软雅黑" w:hAnsi="微软雅黑" w:eastAsia="微软雅黑" w:cs="微软雅黑"/>
          <w:sz w:val="38"/>
          <w:szCs w:val="38"/>
        </w:rPr>
      </w:pPr>
    </w:p>
    <w:p>
      <w:pPr>
        <w:snapToGrid w:val="0"/>
        <w:spacing w:line="575" w:lineRule="exact"/>
        <w:jc w:val="center"/>
        <w:rPr>
          <w:rFonts w:hint="eastAsia" w:ascii="微软雅黑" w:hAnsi="微软雅黑" w:eastAsia="微软雅黑" w:cs="微软雅黑"/>
          <w:sz w:val="38"/>
          <w:szCs w:val="38"/>
        </w:rPr>
      </w:pPr>
    </w:p>
    <w:p>
      <w:pPr>
        <w:snapToGrid w:val="0"/>
        <w:spacing w:line="575" w:lineRule="exact"/>
        <w:jc w:val="center"/>
        <w:rPr>
          <w:rFonts w:hint="eastAsia" w:ascii="微软雅黑" w:hAnsi="微软雅黑" w:eastAsia="微软雅黑" w:cs="微软雅黑"/>
          <w:sz w:val="38"/>
          <w:szCs w:val="38"/>
        </w:rPr>
      </w:pPr>
    </w:p>
    <w:p>
      <w:pPr>
        <w:snapToGrid w:val="0"/>
        <w:spacing w:line="575" w:lineRule="exact"/>
        <w:jc w:val="center"/>
        <w:rPr>
          <w:rFonts w:hint="eastAsia" w:ascii="微软雅黑" w:hAnsi="微软雅黑" w:eastAsia="微软雅黑" w:cs="微软雅黑"/>
          <w:sz w:val="38"/>
          <w:szCs w:val="38"/>
        </w:rPr>
      </w:pPr>
    </w:p>
    <w:p>
      <w:pPr>
        <w:snapToGrid w:val="0"/>
        <w:spacing w:line="575" w:lineRule="exact"/>
        <w:jc w:val="center"/>
        <w:rPr>
          <w:rFonts w:hint="eastAsia" w:ascii="微软雅黑" w:hAnsi="微软雅黑" w:eastAsia="微软雅黑" w:cs="微软雅黑"/>
          <w:sz w:val="38"/>
          <w:szCs w:val="38"/>
        </w:rPr>
      </w:pPr>
    </w:p>
    <w:p>
      <w:pPr>
        <w:snapToGrid w:val="0"/>
        <w:spacing w:line="575" w:lineRule="exact"/>
        <w:jc w:val="center"/>
        <w:rPr>
          <w:rFonts w:hint="eastAsia" w:ascii="微软雅黑" w:hAnsi="微软雅黑" w:eastAsia="微软雅黑" w:cs="微软雅黑"/>
          <w:sz w:val="38"/>
          <w:szCs w:val="38"/>
        </w:rPr>
      </w:pPr>
    </w:p>
    <w:p>
      <w:pPr>
        <w:snapToGrid w:val="0"/>
        <w:spacing w:line="575" w:lineRule="exact"/>
        <w:jc w:val="center"/>
        <w:rPr>
          <w:rFonts w:hint="eastAsia" w:ascii="微软雅黑" w:hAnsi="微软雅黑" w:eastAsia="微软雅黑" w:cs="微软雅黑"/>
          <w:sz w:val="38"/>
          <w:szCs w:val="38"/>
        </w:rPr>
      </w:pPr>
    </w:p>
    <w:p>
      <w:pPr>
        <w:snapToGrid w:val="0"/>
        <w:spacing w:line="575" w:lineRule="exact"/>
        <w:jc w:val="center"/>
        <w:rPr>
          <w:rFonts w:hint="eastAsia" w:ascii="微软雅黑" w:hAnsi="微软雅黑" w:eastAsia="微软雅黑" w:cs="微软雅黑"/>
          <w:sz w:val="38"/>
          <w:szCs w:val="38"/>
        </w:rPr>
      </w:pPr>
    </w:p>
    <w:p>
      <w:pPr>
        <w:snapToGrid w:val="0"/>
        <w:spacing w:line="575" w:lineRule="exact"/>
        <w:jc w:val="center"/>
        <w:rPr>
          <w:rFonts w:hint="eastAsia" w:ascii="微软雅黑" w:hAnsi="微软雅黑" w:eastAsia="微软雅黑" w:cs="微软雅黑"/>
          <w:sz w:val="38"/>
          <w:szCs w:val="38"/>
        </w:rPr>
      </w:pPr>
    </w:p>
    <w:p>
      <w:pPr>
        <w:snapToGrid w:val="0"/>
        <w:spacing w:line="575" w:lineRule="exact"/>
        <w:jc w:val="center"/>
        <w:rPr>
          <w:rFonts w:hint="eastAsia" w:ascii="微软雅黑" w:hAnsi="微软雅黑" w:eastAsia="微软雅黑" w:cs="微软雅黑"/>
          <w:sz w:val="38"/>
          <w:szCs w:val="38"/>
        </w:rPr>
      </w:pPr>
    </w:p>
    <w:p>
      <w:pPr>
        <w:snapToGrid w:val="0"/>
        <w:spacing w:line="575" w:lineRule="exact"/>
        <w:jc w:val="center"/>
        <w:rPr>
          <w:rFonts w:hint="eastAsia" w:ascii="微软雅黑" w:hAnsi="微软雅黑" w:eastAsia="微软雅黑" w:cs="微软雅黑"/>
          <w:sz w:val="38"/>
          <w:szCs w:val="38"/>
        </w:rPr>
      </w:pPr>
    </w:p>
    <w:p>
      <w:pPr>
        <w:snapToGrid w:val="0"/>
        <w:spacing w:line="575" w:lineRule="exact"/>
        <w:jc w:val="center"/>
        <w:rPr>
          <w:rFonts w:hint="eastAsia" w:ascii="微软雅黑" w:hAnsi="微软雅黑" w:eastAsia="微软雅黑" w:cs="微软雅黑"/>
          <w:sz w:val="38"/>
          <w:szCs w:val="38"/>
        </w:rPr>
      </w:pPr>
    </w:p>
    <w:p>
      <w:pPr>
        <w:snapToGrid w:val="0"/>
        <w:spacing w:line="575" w:lineRule="exact"/>
        <w:jc w:val="center"/>
        <w:rPr>
          <w:rFonts w:hint="eastAsia" w:ascii="微软雅黑" w:hAnsi="微软雅黑" w:eastAsia="微软雅黑" w:cs="微软雅黑"/>
          <w:sz w:val="38"/>
          <w:szCs w:val="38"/>
        </w:rPr>
      </w:pPr>
    </w:p>
    <w:p>
      <w:pPr>
        <w:snapToGrid w:val="0"/>
        <w:spacing w:line="575" w:lineRule="exact"/>
        <w:jc w:val="center"/>
        <w:rPr>
          <w:rFonts w:hint="eastAsia" w:ascii="微软雅黑" w:hAnsi="微软雅黑" w:eastAsia="微软雅黑" w:cs="微软雅黑"/>
          <w:sz w:val="38"/>
          <w:szCs w:val="38"/>
        </w:rPr>
      </w:pPr>
    </w:p>
    <w:p>
      <w:pPr>
        <w:snapToGrid w:val="0"/>
        <w:spacing w:line="575" w:lineRule="exact"/>
        <w:jc w:val="center"/>
        <w:rPr>
          <w:rFonts w:hint="eastAsia" w:ascii="微软雅黑" w:hAnsi="微软雅黑" w:eastAsia="微软雅黑" w:cs="微软雅黑"/>
          <w:sz w:val="38"/>
          <w:szCs w:val="38"/>
        </w:rPr>
      </w:pPr>
    </w:p>
    <w:p>
      <w:pPr>
        <w:snapToGrid w:val="0"/>
        <w:spacing w:line="575" w:lineRule="exact"/>
        <w:jc w:val="center"/>
        <w:rPr>
          <w:rFonts w:hint="eastAsia" w:ascii="微软雅黑" w:hAnsi="微软雅黑" w:eastAsia="微软雅黑" w:cs="微软雅黑"/>
          <w:sz w:val="38"/>
          <w:szCs w:val="38"/>
        </w:rPr>
      </w:pPr>
    </w:p>
    <w:p>
      <w:pPr>
        <w:snapToGrid w:val="0"/>
        <w:spacing w:line="575" w:lineRule="exact"/>
        <w:jc w:val="center"/>
        <w:rPr>
          <w:rFonts w:hint="eastAsia" w:ascii="微软雅黑" w:hAnsi="微软雅黑" w:eastAsia="微软雅黑" w:cs="微软雅黑"/>
          <w:sz w:val="38"/>
          <w:szCs w:val="38"/>
        </w:rPr>
      </w:pPr>
    </w:p>
    <w:p>
      <w:pPr>
        <w:snapToGrid w:val="0"/>
        <w:spacing w:line="575" w:lineRule="exact"/>
        <w:jc w:val="center"/>
        <w:rPr>
          <w:rFonts w:hint="eastAsia" w:ascii="微软雅黑" w:hAnsi="微软雅黑" w:eastAsia="微软雅黑" w:cs="微软雅黑"/>
          <w:sz w:val="38"/>
          <w:szCs w:val="38"/>
        </w:rPr>
      </w:pPr>
    </w:p>
    <w:p>
      <w:pPr>
        <w:snapToGrid w:val="0"/>
        <w:spacing w:line="575" w:lineRule="exact"/>
        <w:jc w:val="center"/>
        <w:rPr>
          <w:rFonts w:ascii="微软雅黑" w:hAnsi="微软雅黑" w:eastAsia="微软雅黑" w:cs="微软雅黑"/>
          <w:sz w:val="38"/>
          <w:szCs w:val="38"/>
        </w:rPr>
      </w:pPr>
      <w:r>
        <w:rPr>
          <w:rFonts w:hint="eastAsia" w:ascii="微软雅黑" w:hAnsi="微软雅黑" w:eastAsia="微软雅黑" w:cs="微软雅黑"/>
          <w:sz w:val="38"/>
          <w:szCs w:val="38"/>
        </w:rPr>
        <w:t>(</w:t>
      </w:r>
      <w:r>
        <w:rPr>
          <w:rFonts w:hint="eastAsia" w:ascii="微软雅黑" w:hAnsi="微软雅黑" w:eastAsia="微软雅黑" w:cs="微软雅黑"/>
          <w:sz w:val="38"/>
          <w:szCs w:val="38"/>
          <w:lang w:val="en-US" w:eastAsia="zh-CN"/>
        </w:rPr>
        <w:t>质检办业务外包</w:t>
      </w:r>
      <w:r>
        <w:rPr>
          <w:rFonts w:hint="eastAsia" w:ascii="微软雅黑" w:hAnsi="微软雅黑" w:eastAsia="微软雅黑" w:cs="微软雅黑"/>
          <w:sz w:val="38"/>
          <w:szCs w:val="38"/>
        </w:rPr>
        <w:t>项目</w:t>
      </w:r>
      <w:r>
        <w:rPr>
          <w:rFonts w:ascii="微软雅黑" w:hAnsi="微软雅黑" w:eastAsia="微软雅黑" w:cs="微软雅黑"/>
          <w:sz w:val="38"/>
          <w:szCs w:val="38"/>
        </w:rPr>
        <w:t>)</w:t>
      </w:r>
    </w:p>
    <w:p>
      <w:pPr>
        <w:snapToGrid w:val="0"/>
        <w:spacing w:line="575" w:lineRule="exact"/>
        <w:jc w:val="center"/>
        <w:rPr>
          <w:rFonts w:hint="eastAsia" w:ascii="微软雅黑" w:hAnsi="微软雅黑" w:eastAsia="微软雅黑" w:cs="微软雅黑"/>
          <w:sz w:val="40"/>
          <w:szCs w:val="40"/>
        </w:rPr>
      </w:pPr>
      <w:r>
        <w:rPr>
          <w:rFonts w:hint="eastAsia" w:ascii="微软雅黑" w:hAnsi="微软雅黑" w:eastAsia="微软雅黑" w:cs="微软雅黑"/>
          <w:sz w:val="38"/>
          <w:szCs w:val="38"/>
        </w:rPr>
        <w:t>安全管理协议</w:t>
      </w:r>
    </w:p>
    <w:p>
      <w:pPr>
        <w:snapToGrid w:val="0"/>
        <w:spacing w:line="575" w:lineRule="exact"/>
        <w:rPr>
          <w:rFonts w:ascii="仿宋_GB2312" w:hAnsi="仿宋" w:eastAsia="仿宋_GB2312" w:cs="仿宋"/>
          <w:sz w:val="32"/>
          <w:szCs w:val="30"/>
        </w:rPr>
      </w:pPr>
    </w:p>
    <w:p>
      <w:pPr>
        <w:snapToGrid w:val="0"/>
        <w:spacing w:line="575" w:lineRule="exact"/>
        <w:rPr>
          <w:rFonts w:hint="eastAsia" w:ascii="仿宋_GB2312" w:hAnsi="仿宋" w:eastAsia="仿宋_GB2312" w:cs="仿宋"/>
          <w:sz w:val="32"/>
          <w:szCs w:val="30"/>
        </w:rPr>
      </w:pPr>
      <w:r>
        <w:rPr>
          <w:rFonts w:hint="eastAsia" w:ascii="仿宋_GB2312" w:hAnsi="仿宋" w:eastAsia="仿宋_GB2312" w:cs="仿宋"/>
          <w:sz w:val="32"/>
          <w:szCs w:val="30"/>
        </w:rPr>
        <w:t xml:space="preserve">甲方（发包方）： </w:t>
      </w:r>
    </w:p>
    <w:p>
      <w:pPr>
        <w:snapToGrid w:val="0"/>
        <w:spacing w:line="575" w:lineRule="exact"/>
        <w:rPr>
          <w:rFonts w:hint="eastAsia" w:ascii="仿宋_GB2312" w:hAnsi="仿宋" w:eastAsia="仿宋_GB2312" w:cs="仿宋"/>
          <w:sz w:val="32"/>
          <w:szCs w:val="30"/>
        </w:rPr>
      </w:pPr>
      <w:r>
        <w:rPr>
          <w:rFonts w:hint="eastAsia" w:ascii="仿宋_GB2312" w:hAnsi="仿宋" w:eastAsia="仿宋_GB2312" w:cs="仿宋"/>
          <w:sz w:val="32"/>
          <w:szCs w:val="30"/>
        </w:rPr>
        <w:t xml:space="preserve">乙方（承包方）： </w:t>
      </w:r>
    </w:p>
    <w:p>
      <w:pPr>
        <w:pStyle w:val="2"/>
        <w:shd w:val="clear" w:color="auto" w:fill="FFFFFF"/>
        <w:snapToGrid w:val="0"/>
        <w:spacing w:before="0" w:beforeAutospacing="0" w:after="0" w:afterAutospacing="0" w:line="575" w:lineRule="exact"/>
        <w:ind w:firstLine="640" w:firstLineChars="200"/>
        <w:jc w:val="both"/>
        <w:rPr>
          <w:rFonts w:hint="eastAsia" w:ascii="仿宋_GB2312" w:hAnsi="仿宋" w:eastAsia="仿宋_GB2312" w:cs="仿宋"/>
          <w:b w:val="0"/>
          <w:sz w:val="32"/>
          <w:szCs w:val="30"/>
        </w:rPr>
      </w:pPr>
      <w:r>
        <w:rPr>
          <w:rFonts w:hint="eastAsia" w:ascii="仿宋_GB2312" w:hAnsi="仿宋" w:eastAsia="仿宋_GB2312" w:cs="仿宋"/>
          <w:b w:val="0"/>
          <w:sz w:val="32"/>
          <w:szCs w:val="30"/>
        </w:rPr>
        <w:t>为了确保</w:t>
      </w:r>
      <w:r>
        <w:rPr>
          <w:rFonts w:hint="eastAsia" w:ascii="仿宋_GB2312" w:hAnsi="仿宋" w:eastAsia="仿宋_GB2312" w:cs="仿宋"/>
          <w:b w:val="0"/>
          <w:sz w:val="32"/>
          <w:szCs w:val="30"/>
          <w:lang w:val="en-US" w:eastAsia="zh-CN"/>
        </w:rPr>
        <w:t>质检办业务外包</w:t>
      </w:r>
      <w:bookmarkStart w:id="6" w:name="_GoBack"/>
      <w:bookmarkEnd w:id="6"/>
      <w:r>
        <w:rPr>
          <w:rFonts w:hint="eastAsia" w:ascii="仿宋_GB2312" w:hAnsi="仿宋" w:eastAsia="仿宋_GB2312" w:cs="仿宋"/>
          <w:b w:val="0"/>
          <w:sz w:val="32"/>
          <w:szCs w:val="30"/>
        </w:rPr>
        <w:t>项目全过程的安全管理，杜绝发生安全生产事</w:t>
      </w:r>
      <w:r>
        <w:rPr>
          <w:rFonts w:hint="eastAsia" w:ascii="仿宋_GB2312" w:hAnsi="仿宋" w:eastAsia="仿宋_GB2312" w:cs="仿宋"/>
          <w:b w:val="0"/>
          <w:bCs w:val="0"/>
          <w:sz w:val="32"/>
          <w:szCs w:val="30"/>
        </w:rPr>
        <w:t>故，</w:t>
      </w:r>
      <w:r>
        <w:rPr>
          <w:rFonts w:hint="eastAsia" w:ascii="仿宋_GB2312" w:hAnsi="仿宋" w:eastAsia="仿宋_GB2312" w:cs="仿宋"/>
          <w:b w:val="0"/>
          <w:sz w:val="32"/>
          <w:szCs w:val="30"/>
        </w:rPr>
        <w:t>根据《安全生产法》、《民法典》、《建设工程安全生产管理条例》等法律法规和甲方承包商制度要求</w:t>
      </w:r>
      <w:r>
        <w:rPr>
          <w:rFonts w:hint="eastAsia" w:ascii="仿宋_GB2312" w:hAnsi="仿宋" w:eastAsia="仿宋_GB2312" w:cs="仿宋"/>
          <w:b w:val="0"/>
          <w:bCs w:val="0"/>
          <w:sz w:val="32"/>
          <w:szCs w:val="30"/>
        </w:rPr>
        <w:t>，经</w:t>
      </w:r>
      <w:r>
        <w:rPr>
          <w:rFonts w:hint="eastAsia" w:ascii="仿宋_GB2312" w:hAnsi="仿宋" w:eastAsia="仿宋_GB2312" w:cs="仿宋"/>
          <w:b w:val="0"/>
          <w:sz w:val="32"/>
          <w:szCs w:val="30"/>
        </w:rPr>
        <w:t>双方友好协商，对甲乙双方的安全生产责任、权利规定如下：</w:t>
      </w:r>
    </w:p>
    <w:p>
      <w:pPr>
        <w:adjustRightInd w:val="0"/>
        <w:snapToGrid w:val="0"/>
        <w:spacing w:line="575" w:lineRule="exact"/>
        <w:rPr>
          <w:rFonts w:hint="eastAsia" w:ascii="黑体" w:hAnsi="黑体" w:eastAsia="黑体" w:cs="黑体"/>
          <w:sz w:val="32"/>
          <w:szCs w:val="32"/>
        </w:rPr>
      </w:pPr>
      <w:r>
        <w:rPr>
          <w:rFonts w:hint="eastAsia" w:ascii="黑体" w:hAnsi="黑体" w:eastAsia="黑体" w:cs="黑体"/>
          <w:sz w:val="32"/>
          <w:szCs w:val="32"/>
        </w:rPr>
        <w:t>1 甲方的职责、权利</w:t>
      </w:r>
    </w:p>
    <w:p>
      <w:pPr>
        <w:snapToGrid w:val="0"/>
        <w:spacing w:line="575" w:lineRule="exact"/>
        <w:ind w:firstLine="640" w:firstLineChars="200"/>
        <w:rPr>
          <w:rFonts w:ascii="楷体" w:hAnsi="楷体" w:eastAsia="楷体" w:cs="楷体"/>
          <w:sz w:val="32"/>
          <w:szCs w:val="32"/>
        </w:rPr>
      </w:pPr>
      <w:r>
        <w:rPr>
          <w:rFonts w:hint="eastAsia" w:ascii="楷体" w:hAnsi="楷体" w:eastAsia="楷体" w:cs="楷体"/>
          <w:sz w:val="32"/>
          <w:szCs w:val="32"/>
        </w:rPr>
        <w:t>1</w:t>
      </w:r>
      <w:r>
        <w:rPr>
          <w:rFonts w:ascii="楷体" w:hAnsi="楷体" w:eastAsia="楷体" w:cs="楷体"/>
          <w:sz w:val="32"/>
          <w:szCs w:val="32"/>
        </w:rPr>
        <w:t xml:space="preserve">.1 </w:t>
      </w:r>
      <w:r>
        <w:rPr>
          <w:rFonts w:hint="eastAsia" w:ascii="楷体" w:hAnsi="楷体" w:eastAsia="楷体" w:cs="楷体"/>
          <w:sz w:val="32"/>
          <w:szCs w:val="32"/>
        </w:rPr>
        <w:t>甲方职责</w:t>
      </w:r>
    </w:p>
    <w:p>
      <w:pPr>
        <w:snapToGrid w:val="0"/>
        <w:spacing w:line="575" w:lineRule="exact"/>
        <w:ind w:firstLine="640" w:firstLineChars="200"/>
        <w:rPr>
          <w:rFonts w:ascii="仿宋_GB2312" w:hAnsi="楷体" w:eastAsia="仿宋_GB2312" w:cs="楷体"/>
          <w:sz w:val="32"/>
          <w:szCs w:val="32"/>
        </w:rPr>
      </w:pPr>
      <w:r>
        <w:rPr>
          <w:rFonts w:hint="eastAsia" w:ascii="仿宋_GB2312" w:hAnsi="仿宋" w:eastAsia="仿宋_GB2312" w:cs="仿宋"/>
          <w:sz w:val="32"/>
          <w:szCs w:val="32"/>
        </w:rPr>
        <w:t>甲方有责任</w:t>
      </w:r>
      <w:r>
        <w:rPr>
          <w:rFonts w:hint="eastAsia" w:ascii="仿宋_GB2312" w:hAnsi="楷体" w:eastAsia="仿宋_GB2312" w:cs="楷体"/>
          <w:sz w:val="32"/>
          <w:szCs w:val="32"/>
        </w:rPr>
        <w:t>监督指导乙方按照甲方的信息化管理系统进行承包商全生命周期管理，确保乙方正确理解和应用该系统并遵循相关要求。</w:t>
      </w:r>
    </w:p>
    <w:p>
      <w:pPr>
        <w:numPr>
          <w:ilvl w:val="2"/>
          <w:numId w:val="3"/>
        </w:numPr>
        <w:snapToGrid w:val="0"/>
        <w:spacing w:line="575" w:lineRule="exact"/>
        <w:rPr>
          <w:rFonts w:ascii="仿宋_GB2312" w:hAnsi="楷体" w:eastAsia="仿宋_GB2312" w:cs="楷体"/>
          <w:sz w:val="32"/>
          <w:szCs w:val="32"/>
        </w:rPr>
      </w:pPr>
      <w:r>
        <w:rPr>
          <w:rFonts w:hint="eastAsia" w:ascii="仿宋_GB2312" w:hAnsi="楷体" w:eastAsia="仿宋_GB2312" w:cs="楷体"/>
          <w:sz w:val="32"/>
          <w:szCs w:val="32"/>
        </w:rPr>
        <w:t>作业前管理要求</w:t>
      </w:r>
    </w:p>
    <w:p>
      <w:pPr>
        <w:snapToGrid w:val="0"/>
        <w:spacing w:line="575" w:lineRule="exact"/>
        <w:ind w:firstLine="640" w:firstLineChars="200"/>
        <w:rPr>
          <w:rFonts w:hint="eastAsia" w:ascii="仿宋_GB2312" w:hAnsi="楷体" w:eastAsia="仿宋_GB2312" w:cs="楷体"/>
          <w:sz w:val="32"/>
          <w:szCs w:val="32"/>
        </w:rPr>
      </w:pPr>
      <w:r>
        <w:rPr>
          <w:rFonts w:hint="eastAsia" w:ascii="仿宋_GB2312" w:hAnsi="仿宋_GB2312" w:eastAsia="仿宋_GB2312" w:cs="仿宋_GB2312"/>
          <w:sz w:val="32"/>
          <w:szCs w:val="32"/>
          <w:lang w:val="zh-CN" w:bidi="zh-CN"/>
        </w:rPr>
        <w:t>开展作业前准入资质核验，</w:t>
      </w:r>
      <w:r>
        <w:rPr>
          <w:rFonts w:hint="eastAsia" w:ascii="仿宋_GB2312" w:eastAsia="仿宋_GB2312"/>
          <w:sz w:val="32"/>
          <w:szCs w:val="32"/>
        </w:rPr>
        <w:t>审查验证乙方作业安全条件，对乙方人员进行进场安全交底</w:t>
      </w:r>
      <w:r>
        <w:rPr>
          <w:rFonts w:hint="eastAsia" w:ascii="仿宋_GB2312" w:hAnsi="仿宋" w:eastAsia="仿宋_GB2312" w:cs="仿宋"/>
          <w:kern w:val="36"/>
          <w:sz w:val="32"/>
          <w:szCs w:val="30"/>
        </w:rPr>
        <w:t>。</w:t>
      </w:r>
    </w:p>
    <w:p>
      <w:pPr>
        <w:widowControl/>
        <w:spacing w:line="575" w:lineRule="exact"/>
        <w:ind w:firstLine="739" w:firstLineChars="231"/>
        <w:rPr>
          <w:rFonts w:hint="eastAsia" w:ascii="仿宋_GB2312" w:hAnsi="仿宋" w:eastAsia="仿宋_GB2312" w:cs="仿宋"/>
          <w:sz w:val="32"/>
          <w:szCs w:val="32"/>
        </w:rPr>
      </w:pPr>
      <w:r>
        <w:rPr>
          <w:rFonts w:hint="eastAsia" w:ascii="仿宋_GB2312" w:hAnsi="楷体" w:eastAsia="仿宋_GB2312" w:cs="楷体"/>
          <w:sz w:val="32"/>
          <w:szCs w:val="32"/>
        </w:rPr>
        <w:t>——负责</w:t>
      </w:r>
      <w:r>
        <w:rPr>
          <w:rFonts w:hint="eastAsia" w:ascii="仿宋_GB2312" w:hAnsi="仿宋" w:eastAsia="仿宋_GB2312" w:cs="仿宋"/>
          <w:kern w:val="36"/>
          <w:sz w:val="32"/>
          <w:szCs w:val="30"/>
        </w:rPr>
        <w:t>审核乙方承包资质证件及提供的各类无事故证明、保险、安全培训、作业方案、现场处置方案等文件资料</w:t>
      </w:r>
      <w:r>
        <w:rPr>
          <w:rFonts w:hint="eastAsia" w:ascii="仿宋_GB2312" w:hAnsi="仿宋" w:eastAsia="仿宋_GB2312" w:cs="仿宋"/>
          <w:sz w:val="32"/>
          <w:szCs w:val="32"/>
        </w:rPr>
        <w:t>。</w:t>
      </w:r>
    </w:p>
    <w:p>
      <w:pPr>
        <w:snapToGrid w:val="0"/>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——核验乙方安全管理机构及人员配备情况及</w:t>
      </w:r>
      <w:r>
        <w:rPr>
          <w:rFonts w:hint="eastAsia" w:ascii="仿宋_GB2312" w:eastAsia="仿宋_GB2312"/>
          <w:sz w:val="32"/>
          <w:szCs w:val="32"/>
        </w:rPr>
        <w:t>相应安全（特种作业）资格证书</w:t>
      </w:r>
      <w:r>
        <w:rPr>
          <w:rFonts w:hint="eastAsia" w:ascii="仿宋_GB2312" w:hAnsi="楷体" w:eastAsia="仿宋_GB2312" w:cs="楷体"/>
          <w:sz w:val="32"/>
          <w:szCs w:val="32"/>
        </w:rPr>
        <w:t>；</w:t>
      </w:r>
    </w:p>
    <w:p>
      <w:pPr>
        <w:snapToGrid w:val="0"/>
        <w:spacing w:line="575" w:lineRule="exact"/>
        <w:ind w:firstLine="640" w:firstLineChars="200"/>
        <w:rPr>
          <w:rFonts w:hint="eastAsia" w:ascii="仿宋_GB2312" w:hAnsi="楷体" w:eastAsia="仿宋_GB2312" w:cs="楷体"/>
          <w:sz w:val="32"/>
          <w:szCs w:val="32"/>
        </w:rPr>
      </w:pPr>
      <w:r>
        <w:rPr>
          <w:rFonts w:hint="eastAsia" w:ascii="仿宋_GB2312" w:hAnsi="楷体" w:eastAsia="仿宋_GB2312" w:cs="楷体"/>
          <w:sz w:val="32"/>
          <w:szCs w:val="32"/>
        </w:rPr>
        <w:t>——核验乙方</w:t>
      </w:r>
      <w:r>
        <w:rPr>
          <w:rFonts w:hint="eastAsia" w:ascii="仿宋_GB2312" w:eastAsia="仿宋_GB2312"/>
          <w:sz w:val="32"/>
          <w:szCs w:val="32"/>
        </w:rPr>
        <w:t>作业设备设施、工具、物料、劳动保护用品等与乙方承包项目的匹配性以及安全性等；</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——负责对乙方人员</w:t>
      </w:r>
      <w:r>
        <w:rPr>
          <w:rFonts w:hint="eastAsia" w:ascii="仿宋_GB2312" w:hAnsi="仿宋" w:eastAsia="仿宋_GB2312" w:cs="仿宋"/>
          <w:sz w:val="32"/>
          <w:szCs w:val="32"/>
        </w:rPr>
        <w:t>进行安全风险交底；</w:t>
      </w:r>
    </w:p>
    <w:p>
      <w:pPr>
        <w:snapToGrid w:val="0"/>
        <w:spacing w:line="575" w:lineRule="exact"/>
        <w:ind w:firstLine="640" w:firstLineChars="200"/>
        <w:rPr>
          <w:rFonts w:ascii="仿宋_GB2312" w:hAnsi="仿宋" w:eastAsia="仿宋_GB2312" w:cs="仿宋"/>
          <w:sz w:val="32"/>
          <w:szCs w:val="32"/>
        </w:rPr>
      </w:pPr>
      <w:r>
        <w:rPr>
          <w:rFonts w:hint="eastAsia" w:ascii="仿宋_GB2312" w:hAnsi="楷体" w:eastAsia="仿宋_GB2312" w:cs="楷体"/>
          <w:sz w:val="32"/>
          <w:szCs w:val="32"/>
        </w:rPr>
        <w:t>——</w:t>
      </w:r>
      <w:r>
        <w:rPr>
          <w:rFonts w:hint="eastAsia" w:ascii="仿宋_GB2312" w:hAnsi="仿宋" w:eastAsia="仿宋_GB2312" w:cs="仿宋"/>
          <w:sz w:val="32"/>
          <w:szCs w:val="32"/>
        </w:rPr>
        <w:t>提供必要的工作条件；</w:t>
      </w:r>
    </w:p>
    <w:p>
      <w:pPr>
        <w:snapToGrid w:val="0"/>
        <w:spacing w:line="575" w:lineRule="exact"/>
        <w:ind w:left="720"/>
        <w:rPr>
          <w:rFonts w:ascii="仿宋_GB2312" w:hAnsi="楷体" w:eastAsia="仿宋_GB2312" w:cs="楷体"/>
          <w:sz w:val="32"/>
          <w:szCs w:val="32"/>
        </w:rPr>
      </w:pPr>
      <w:r>
        <w:rPr>
          <w:rFonts w:hint="eastAsia" w:ascii="仿宋_GB2312" w:hAnsi="仿宋" w:eastAsia="仿宋_GB2312" w:cs="仿宋"/>
          <w:sz w:val="32"/>
          <w:szCs w:val="32"/>
        </w:rPr>
        <w:t xml:space="preserve">1.1.2 </w:t>
      </w:r>
      <w:r>
        <w:rPr>
          <w:rFonts w:hint="eastAsia" w:ascii="仿宋_GB2312" w:hAnsi="楷体" w:eastAsia="仿宋_GB2312" w:cs="楷体"/>
          <w:sz w:val="32"/>
          <w:szCs w:val="32"/>
        </w:rPr>
        <w:t>作业中管理要求</w:t>
      </w:r>
    </w:p>
    <w:p>
      <w:pPr>
        <w:snapToGrid w:val="0"/>
        <w:spacing w:line="575" w:lineRule="exact"/>
        <w:ind w:firstLine="640" w:firstLineChars="200"/>
        <w:rPr>
          <w:rFonts w:hint="eastAsia" w:ascii="仿宋_GB2312" w:hAnsi="楷体" w:eastAsia="仿宋_GB2312" w:cs="楷体"/>
          <w:sz w:val="32"/>
          <w:szCs w:val="32"/>
        </w:rPr>
      </w:pPr>
      <w:r>
        <w:rPr>
          <w:rFonts w:hint="eastAsia" w:ascii="仿宋_GB2312" w:hAnsi="楷体" w:eastAsia="仿宋_GB2312" w:cs="楷体"/>
          <w:sz w:val="32"/>
          <w:szCs w:val="32"/>
        </w:rPr>
        <w:t>建立信息交流机制，对乙方提报的工作计划或作业任务进行确认，开展作业监督检查，监督办理危险作业等作业许可，指导协调应急处置。</w:t>
      </w:r>
    </w:p>
    <w:p>
      <w:pPr>
        <w:snapToGrid w:val="0"/>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——负责审查乙方提报的《每日作业计划》；</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——监督检查乙方风险管控措施和</w:t>
      </w:r>
      <w:r>
        <w:rPr>
          <w:rFonts w:hint="eastAsia" w:ascii="仿宋_GB2312" w:hAnsi="仿宋" w:eastAsia="仿宋_GB2312" w:cs="仿宋"/>
          <w:sz w:val="32"/>
          <w:szCs w:val="32"/>
        </w:rPr>
        <w:t>危大工程的方案落实情况，并督促整改闭环。</w:t>
      </w:r>
    </w:p>
    <w:p>
      <w:pPr>
        <w:snapToGrid w:val="0"/>
        <w:spacing w:line="575" w:lineRule="exact"/>
        <w:ind w:firstLine="640" w:firstLineChars="200"/>
        <w:rPr>
          <w:rFonts w:ascii="仿宋_GB2312" w:hAnsi="仿宋" w:eastAsia="仿宋_GB2312" w:cs="仿宋"/>
          <w:sz w:val="32"/>
          <w:szCs w:val="32"/>
        </w:rPr>
      </w:pPr>
      <w:r>
        <w:rPr>
          <w:rFonts w:hint="eastAsia" w:ascii="仿宋_GB2312" w:hAnsi="楷体" w:eastAsia="仿宋_GB2312" w:cs="楷体"/>
          <w:sz w:val="32"/>
          <w:szCs w:val="32"/>
        </w:rPr>
        <w:t>——负责指挥协调</w:t>
      </w:r>
      <w:r>
        <w:rPr>
          <w:rFonts w:hint="eastAsia" w:ascii="仿宋_GB2312" w:hAnsi="仿宋" w:eastAsia="仿宋_GB2312" w:cs="仿宋"/>
          <w:sz w:val="32"/>
          <w:szCs w:val="32"/>
        </w:rPr>
        <w:t>乙方现场安全生产事故应急救援工作，充分调动甲乙双方的应急资源。</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——对承包商危险作业实施许可管理；按照变更作业相关制度实施变更作业管理；</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eastAsia="仿宋_GB2312"/>
          <w:sz w:val="32"/>
          <w:szCs w:val="32"/>
        </w:rPr>
        <w:t>两个以上承包商或承包商与本单位在同一作业区域内作业，一方可能危及对方生产安全的，组织签订安全生产管理协议，明确各自的安全生产管理职责和应当采取的安全措施，并指定专人进行安全检查与协调指挥。</w:t>
      </w:r>
    </w:p>
    <w:p>
      <w:pPr>
        <w:snapToGrid w:val="0"/>
        <w:spacing w:line="575"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1.1.3作业后管理要求</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eastAsia="仿宋_GB2312"/>
          <w:sz w:val="32"/>
          <w:szCs w:val="32"/>
        </w:rPr>
        <w:t>组织对乙方按照甲方考核评价相关制度进行考核评价，开展项目验收。</w:t>
      </w:r>
    </w:p>
    <w:p>
      <w:pPr>
        <w:snapToGrid w:val="0"/>
        <w:spacing w:line="575"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1.2 权利</w:t>
      </w:r>
    </w:p>
    <w:p>
      <w:pPr>
        <w:snapToGrid w:val="0"/>
        <w:spacing w:line="575"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1.2.1 有权否决乙方的分包方案。</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1.2.3 有权对乙方现场安全工作不称职的现场负责人、安全管理负责人和作业人员，提出约谈、警告、调离岗位、直至撤换等要求。</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1.2.4 有权制止并纠正乙方作业现场的“三违”行为，遇到危及安全生产的紧急情况，有权下令停止作业。</w:t>
      </w:r>
    </w:p>
    <w:p>
      <w:pPr>
        <w:snapToGrid w:val="0"/>
        <w:spacing w:line="575"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1.2.5 乙方实施过程中违反国家有关法律法规的，甲方有权决定解除与乙方之间的合同及本协议。</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1.2.6 有权要求乙方遵守并执行甲方制定或发布的全部的安全方面的管理制度和要求。</w:t>
      </w:r>
    </w:p>
    <w:p>
      <w:pPr>
        <w:adjustRightInd w:val="0"/>
        <w:snapToGrid w:val="0"/>
        <w:spacing w:line="575" w:lineRule="exact"/>
        <w:rPr>
          <w:rFonts w:ascii="黑体" w:hAnsi="黑体" w:eastAsia="黑体" w:cs="黑体"/>
          <w:sz w:val="32"/>
          <w:szCs w:val="32"/>
        </w:rPr>
      </w:pPr>
      <w:r>
        <w:rPr>
          <w:rFonts w:hint="eastAsia" w:ascii="黑体" w:hAnsi="黑体" w:eastAsia="黑体" w:cs="黑体"/>
          <w:sz w:val="32"/>
          <w:szCs w:val="32"/>
        </w:rPr>
        <w:t>2 乙方的职责、权利</w:t>
      </w:r>
    </w:p>
    <w:p>
      <w:pPr>
        <w:snapToGrid w:val="0"/>
        <w:spacing w:line="575"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 xml:space="preserve">2.1 乙方责任 </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乙方按照甲方承包商管理制度及信息化管理系统要求，提供、上传相关资料文件，对资料的真实性、有效性、合法性负责。安全合规有序开展作业，确保项目满足质量及使用要求。</w:t>
      </w:r>
    </w:p>
    <w:p>
      <w:pPr>
        <w:snapToGrid w:val="0"/>
        <w:spacing w:line="575" w:lineRule="exact"/>
        <w:ind w:firstLine="720" w:firstLineChars="225"/>
        <w:rPr>
          <w:rFonts w:ascii="仿宋_GB2312" w:hAnsi="楷体" w:eastAsia="仿宋_GB2312" w:cs="楷体"/>
          <w:sz w:val="32"/>
          <w:szCs w:val="32"/>
        </w:rPr>
      </w:pPr>
      <w:r>
        <w:rPr>
          <w:rFonts w:hint="eastAsia" w:ascii="仿宋_GB2312" w:hAnsi="仿宋" w:eastAsia="仿宋_GB2312" w:cs="仿宋"/>
          <w:sz w:val="32"/>
          <w:szCs w:val="32"/>
        </w:rPr>
        <w:t>2.1.1</w:t>
      </w:r>
      <w:r>
        <w:rPr>
          <w:rFonts w:hint="eastAsia" w:ascii="仿宋_GB2312" w:hAnsi="楷体" w:eastAsia="仿宋_GB2312" w:cs="楷体"/>
          <w:sz w:val="32"/>
          <w:szCs w:val="32"/>
        </w:rPr>
        <w:t>作业前工作要求</w:t>
      </w:r>
    </w:p>
    <w:p>
      <w:pPr>
        <w:snapToGrid w:val="0"/>
        <w:spacing w:line="575" w:lineRule="exact"/>
        <w:ind w:firstLine="720" w:firstLineChars="225"/>
        <w:rPr>
          <w:rFonts w:ascii="仿宋_GB2312" w:hAnsi="楷体" w:eastAsia="仿宋_GB2312" w:cs="楷体"/>
          <w:sz w:val="32"/>
          <w:szCs w:val="32"/>
        </w:rPr>
      </w:pPr>
      <w:r>
        <w:rPr>
          <w:rFonts w:hint="eastAsia" w:ascii="仿宋_GB2312" w:hAnsi="楷体" w:eastAsia="仿宋_GB2312" w:cs="楷体"/>
          <w:sz w:val="32"/>
          <w:szCs w:val="32"/>
        </w:rPr>
        <w:t>提供企业相关信息，签订安全协议，接受安全条件审查，开展安全培训交底工作。</w:t>
      </w:r>
    </w:p>
    <w:p>
      <w:pPr>
        <w:widowControl/>
        <w:spacing w:line="575" w:lineRule="exact"/>
        <w:ind w:firstLine="739" w:firstLineChars="231"/>
        <w:rPr>
          <w:rFonts w:hint="eastAsia" w:ascii="仿宋_GB2312" w:hAnsi="仿宋" w:eastAsia="仿宋_GB2312" w:cs="仿宋"/>
          <w:sz w:val="32"/>
          <w:szCs w:val="32"/>
        </w:rPr>
      </w:pPr>
      <w:r>
        <w:rPr>
          <w:rFonts w:hint="eastAsia" w:ascii="仿宋_GB2312" w:hAnsi="楷体" w:eastAsia="仿宋_GB2312" w:cs="楷体"/>
          <w:sz w:val="32"/>
          <w:szCs w:val="32"/>
        </w:rPr>
        <w:t>——提交</w:t>
      </w:r>
      <w:r>
        <w:rPr>
          <w:rFonts w:hint="eastAsia" w:ascii="仿宋_GB2312" w:hAnsi="仿宋" w:eastAsia="仿宋_GB2312" w:cs="仿宋"/>
          <w:kern w:val="36"/>
          <w:sz w:val="32"/>
          <w:szCs w:val="30"/>
        </w:rPr>
        <w:t>资质证件、无事故证明、人员保险、人员资格证书、安全培训、作业方案、现场处置方案等文件资料</w:t>
      </w:r>
      <w:r>
        <w:rPr>
          <w:rFonts w:hint="eastAsia" w:ascii="仿宋_GB2312" w:hAnsi="仿宋" w:eastAsia="仿宋_GB2312" w:cs="仿宋"/>
          <w:sz w:val="32"/>
          <w:szCs w:val="32"/>
        </w:rPr>
        <w:t>，并对真实性、有效性和合法性负责。</w:t>
      </w:r>
    </w:p>
    <w:p>
      <w:pPr>
        <w:snapToGrid w:val="0"/>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——配备安全管理机构及人员；</w:t>
      </w:r>
    </w:p>
    <w:p>
      <w:pPr>
        <w:snapToGrid w:val="0"/>
        <w:spacing w:line="575" w:lineRule="exact"/>
        <w:ind w:firstLine="640" w:firstLineChars="200"/>
        <w:rPr>
          <w:rFonts w:hint="eastAsia" w:ascii="仿宋_GB2312" w:hAnsi="楷体" w:eastAsia="仿宋_GB2312" w:cs="楷体"/>
          <w:sz w:val="32"/>
          <w:szCs w:val="32"/>
        </w:rPr>
      </w:pPr>
      <w:r>
        <w:rPr>
          <w:rFonts w:hint="eastAsia" w:ascii="仿宋_GB2312" w:hAnsi="楷体" w:eastAsia="仿宋_GB2312" w:cs="楷体"/>
          <w:sz w:val="32"/>
          <w:szCs w:val="32"/>
        </w:rPr>
        <w:t>——配备</w:t>
      </w:r>
      <w:r>
        <w:rPr>
          <w:rFonts w:hint="eastAsia" w:ascii="仿宋_GB2312" w:eastAsia="仿宋_GB2312"/>
          <w:sz w:val="32"/>
          <w:szCs w:val="32"/>
        </w:rPr>
        <w:t>作业设备设施、工具、物料、劳动保护用品等物品，并对符合性、安全性和完好性负责；</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——负责对乙方作业人员</w:t>
      </w:r>
      <w:r>
        <w:rPr>
          <w:rFonts w:hint="eastAsia" w:ascii="仿宋_GB2312" w:hAnsi="仿宋" w:eastAsia="仿宋_GB2312" w:cs="仿宋"/>
          <w:sz w:val="32"/>
          <w:szCs w:val="32"/>
        </w:rPr>
        <w:t>进行安全风险交底；</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w:t>
      </w:r>
      <w:r>
        <w:rPr>
          <w:rFonts w:hint="eastAsia" w:ascii="仿宋_GB2312" w:eastAsia="仿宋_GB2312"/>
          <w:sz w:val="32"/>
          <w:szCs w:val="32"/>
        </w:rPr>
        <w:t>严禁违法分包和挂靠资质</w:t>
      </w:r>
      <w:r>
        <w:rPr>
          <w:rFonts w:hint="eastAsia" w:ascii="仿宋_GB2312" w:hAnsi="仿宋" w:eastAsia="仿宋_GB2312" w:cs="仿宋"/>
          <w:sz w:val="32"/>
          <w:szCs w:val="32"/>
        </w:rPr>
        <w:t>。如违反，则甲方有权决定解除与乙方之间的合同及本协议。</w:t>
      </w:r>
    </w:p>
    <w:p>
      <w:pPr>
        <w:snapToGrid w:val="0"/>
        <w:spacing w:line="575" w:lineRule="exact"/>
        <w:ind w:left="720"/>
        <w:rPr>
          <w:rFonts w:ascii="仿宋_GB2312" w:hAnsi="楷体" w:eastAsia="仿宋_GB2312" w:cs="楷体"/>
          <w:sz w:val="32"/>
          <w:szCs w:val="32"/>
        </w:rPr>
      </w:pPr>
      <w:r>
        <w:rPr>
          <w:rFonts w:hint="eastAsia" w:ascii="仿宋_GB2312" w:hAnsi="楷体" w:eastAsia="仿宋_GB2312" w:cs="楷体"/>
          <w:sz w:val="32"/>
          <w:szCs w:val="32"/>
        </w:rPr>
        <w:t>2.1.2作业中管理要求</w:t>
      </w:r>
    </w:p>
    <w:p>
      <w:pPr>
        <w:snapToGrid w:val="0"/>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按照甲方要求参加值班例会或项目例会，按时提报的工作计划或作业任务，定期开展安全检查并整改关闭，按照规定办理危险作业等作业许可，开展安全事故应急处置。</w:t>
      </w:r>
    </w:p>
    <w:p>
      <w:pPr>
        <w:snapToGrid w:val="0"/>
        <w:spacing w:line="575" w:lineRule="exact"/>
        <w:ind w:firstLine="640" w:firstLineChars="200"/>
        <w:rPr>
          <w:rFonts w:hint="eastAsia" w:ascii="仿宋_GB2312" w:hAnsi="楷体" w:eastAsia="仿宋_GB2312" w:cs="楷体"/>
          <w:sz w:val="32"/>
          <w:szCs w:val="32"/>
        </w:rPr>
      </w:pPr>
      <w:r>
        <w:rPr>
          <w:rFonts w:hint="eastAsia" w:ascii="仿宋_GB2312" w:eastAsia="仿宋_GB2312"/>
          <w:sz w:val="32"/>
          <w:szCs w:val="32"/>
        </w:rPr>
        <w:t>禁止擅自改变每日作业活动的性质、范围和条件，禁止在作业任务规定时间之外开展作业，禁止在无人监管的情况下开展作业。</w:t>
      </w:r>
    </w:p>
    <w:p>
      <w:pPr>
        <w:snapToGrid w:val="0"/>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——负责提报的《每日作业计划》；</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——按照施工方案落实风险管控措施</w:t>
      </w:r>
      <w:r>
        <w:rPr>
          <w:rFonts w:hint="eastAsia" w:ascii="仿宋_GB2312" w:hAnsi="仿宋" w:eastAsia="仿宋_GB2312" w:cs="仿宋"/>
          <w:sz w:val="32"/>
          <w:szCs w:val="32"/>
        </w:rPr>
        <w:t>；</w:t>
      </w:r>
    </w:p>
    <w:p>
      <w:pPr>
        <w:snapToGrid w:val="0"/>
        <w:spacing w:line="575" w:lineRule="exact"/>
        <w:ind w:firstLine="640" w:firstLineChars="200"/>
        <w:rPr>
          <w:rFonts w:ascii="仿宋_GB2312" w:hAnsi="仿宋" w:eastAsia="仿宋_GB2312" w:cs="仿宋"/>
          <w:sz w:val="32"/>
          <w:szCs w:val="32"/>
        </w:rPr>
      </w:pPr>
      <w:r>
        <w:rPr>
          <w:rFonts w:hint="eastAsia" w:ascii="仿宋_GB2312" w:hAnsi="楷体" w:eastAsia="仿宋_GB2312" w:cs="楷体"/>
          <w:sz w:val="32"/>
          <w:szCs w:val="32"/>
        </w:rPr>
        <w:t>——负责指挥</w:t>
      </w:r>
      <w:r>
        <w:rPr>
          <w:rFonts w:hint="eastAsia" w:ascii="仿宋_GB2312" w:hAnsi="仿宋" w:eastAsia="仿宋_GB2312" w:cs="仿宋"/>
          <w:sz w:val="32"/>
          <w:szCs w:val="32"/>
        </w:rPr>
        <w:t>现场安全生产事故应急救援工作，并及时向甲方报告，并积极配合甲方的应急指挥、协调事故救援工作。</w:t>
      </w:r>
    </w:p>
    <w:p>
      <w:pPr>
        <w:snapToGrid w:val="0"/>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——按照甲方制度要求，危险作业办理许可方可作业；按照甲方变更作业相关制度实施变更作业管理；</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——特种作业人员须持有与作业相应的、合格的特种作业证，特种设备操作人员需持有效的特种设备操作员证；</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w:t>
      </w:r>
      <w:r>
        <w:rPr>
          <w:rFonts w:hint="eastAsia" w:ascii="仿宋_GB2312" w:hAnsi="仿宋" w:eastAsia="仿宋_GB2312" w:cs="仿宋"/>
          <w:sz w:val="32"/>
          <w:szCs w:val="32"/>
        </w:rPr>
        <w:t>现场存在交叉作业时，应服从甲方协调、指挥。</w:t>
      </w:r>
    </w:p>
    <w:p>
      <w:pPr>
        <w:snapToGrid w:val="0"/>
        <w:spacing w:line="575" w:lineRule="exact"/>
        <w:ind w:firstLine="720" w:firstLineChars="225"/>
        <w:rPr>
          <w:rFonts w:ascii="仿宋_GB2312" w:hAnsi="楷体" w:eastAsia="仿宋_GB2312" w:cs="楷体"/>
          <w:sz w:val="32"/>
          <w:szCs w:val="32"/>
        </w:rPr>
      </w:pPr>
      <w:r>
        <w:rPr>
          <w:rFonts w:hint="eastAsia" w:ascii="仿宋_GB2312" w:hAnsi="楷体" w:eastAsia="仿宋_GB2312" w:cs="楷体"/>
          <w:sz w:val="32"/>
          <w:szCs w:val="32"/>
        </w:rPr>
        <w:t>——施工过程中，存在重大变更（方案、工具、人员等）或重大隐患、事故征兆以及事故的情况，应及时、如实报告甲方。</w:t>
      </w:r>
    </w:p>
    <w:p>
      <w:pPr>
        <w:widowControl/>
        <w:ind w:firstLine="640" w:firstLineChars="200"/>
        <w:jc w:val="left"/>
        <w:rPr>
          <w:rFonts w:hint="eastAsia" w:ascii="仿宋_GB2312" w:hAnsi="仿宋" w:eastAsia="仿宋_GB2312" w:cs="仿宋"/>
          <w:sz w:val="32"/>
          <w:szCs w:val="32"/>
        </w:rPr>
      </w:pPr>
      <w:r>
        <w:rPr>
          <w:rFonts w:hint="eastAsia" w:ascii="仿宋_GB2312" w:hAnsi="楷体" w:eastAsia="仿宋_GB2312" w:cs="楷体"/>
          <w:sz w:val="32"/>
          <w:szCs w:val="32"/>
        </w:rPr>
        <w:t>——</w:t>
      </w:r>
      <w:r>
        <w:rPr>
          <w:rFonts w:hint="eastAsia" w:ascii="仿宋_GB2312" w:hAnsi="仿宋" w:eastAsia="仿宋_GB2312" w:cs="仿宋"/>
          <w:sz w:val="32"/>
          <w:szCs w:val="32"/>
        </w:rPr>
        <w:t>涉及危大工程的，</w:t>
      </w:r>
      <w:r>
        <w:rPr>
          <w:rFonts w:hint="eastAsia" w:ascii="仿宋_GB2312" w:eastAsia="仿宋_GB2312"/>
          <w:sz w:val="32"/>
          <w:szCs w:val="32"/>
        </w:rPr>
        <w:t>根据《危险性较大的分部分项工程安全管理规定》及甲方相关制度标准，组织编制危大工程专项施工方案。</w:t>
      </w:r>
    </w:p>
    <w:p>
      <w:pPr>
        <w:widowControl/>
        <w:ind w:firstLine="640" w:firstLineChars="200"/>
        <w:jc w:val="left"/>
        <w:rPr>
          <w:rFonts w:ascii="仿宋_GB2312" w:hAnsi="仿宋" w:eastAsia="仿宋_GB2312" w:cs="仿宋"/>
          <w:sz w:val="32"/>
          <w:szCs w:val="32"/>
        </w:rPr>
      </w:pPr>
      <w:r>
        <w:rPr>
          <w:rFonts w:hint="eastAsia" w:ascii="仿宋_GB2312" w:hAnsi="楷体" w:eastAsia="仿宋_GB2312" w:cs="楷体"/>
          <w:sz w:val="32"/>
          <w:szCs w:val="32"/>
        </w:rPr>
        <w:t>——</w:t>
      </w:r>
      <w:r>
        <w:rPr>
          <w:rFonts w:hint="eastAsia" w:ascii="仿宋_GB2312" w:hAnsi="仿宋" w:eastAsia="仿宋_GB2312" w:cs="仿宋"/>
          <w:sz w:val="32"/>
          <w:szCs w:val="32"/>
        </w:rPr>
        <w:t>作业过程中违反国家有关法律法规造成损失的，承担相应责任，若因此给甲方造成损失或处罚的，承担经济损失。</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w:t>
      </w:r>
      <w:r>
        <w:rPr>
          <w:rFonts w:hint="eastAsia" w:ascii="仿宋_GB2312" w:hAnsi="仿宋" w:eastAsia="仿宋_GB2312" w:cs="仿宋"/>
          <w:sz w:val="32"/>
          <w:szCs w:val="32"/>
        </w:rPr>
        <w:t>作业过程中严禁使用</w:t>
      </w:r>
      <w:r>
        <w:rPr>
          <w:rFonts w:ascii="仿宋_GB2312" w:hAnsi="仿宋" w:eastAsia="仿宋_GB2312" w:cs="仿宋"/>
          <w:sz w:val="32"/>
          <w:szCs w:val="32"/>
        </w:rPr>
        <w:t>国家明令禁止使用或耗能大、对环境造成较大破坏的设备</w:t>
      </w:r>
      <w:r>
        <w:rPr>
          <w:rFonts w:hint="eastAsia" w:ascii="仿宋_GB2312" w:hAnsi="仿宋" w:eastAsia="仿宋_GB2312" w:cs="仿宋"/>
          <w:sz w:val="32"/>
          <w:szCs w:val="32"/>
        </w:rPr>
        <w:t>设施，运输车辆需符合排放标准要求，作业现场需做好防扬撒措施，规范处置作业过程中产生的固废、危废。</w:t>
      </w:r>
    </w:p>
    <w:p>
      <w:pPr>
        <w:snapToGrid w:val="0"/>
        <w:spacing w:line="575" w:lineRule="exact"/>
        <w:ind w:left="720"/>
        <w:rPr>
          <w:rFonts w:ascii="仿宋_GB2312" w:hAnsi="楷体" w:eastAsia="仿宋_GB2312" w:cs="楷体"/>
          <w:sz w:val="32"/>
          <w:szCs w:val="32"/>
        </w:rPr>
      </w:pPr>
      <w:r>
        <w:rPr>
          <w:rFonts w:hint="eastAsia" w:ascii="仿宋_GB2312" w:hAnsi="楷体" w:eastAsia="仿宋_GB2312" w:cs="楷体"/>
          <w:sz w:val="32"/>
          <w:szCs w:val="32"/>
        </w:rPr>
        <w:t>2.1.3作业后管理要求</w:t>
      </w:r>
    </w:p>
    <w:p>
      <w:pPr>
        <w:snapToGrid w:val="0"/>
        <w:spacing w:line="575" w:lineRule="exact"/>
        <w:ind w:firstLine="640" w:firstLineChars="200"/>
        <w:rPr>
          <w:rFonts w:hint="eastAsia" w:ascii="仿宋_GB2312" w:hAnsi="楷体" w:eastAsia="仿宋_GB2312" w:cs="楷体"/>
          <w:sz w:val="32"/>
          <w:szCs w:val="32"/>
        </w:rPr>
      </w:pPr>
      <w:r>
        <w:rPr>
          <w:rFonts w:hint="eastAsia" w:ascii="仿宋_GB2312" w:hAnsi="楷体" w:eastAsia="仿宋_GB2312" w:cs="楷体"/>
          <w:sz w:val="32"/>
          <w:szCs w:val="32"/>
        </w:rPr>
        <w:t>对甲方提供的技术资料保密，并提供真实有效的竣工验收资料。</w:t>
      </w:r>
    </w:p>
    <w:p>
      <w:pPr>
        <w:snapToGrid w:val="0"/>
        <w:spacing w:line="575"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——对甲方提供的技术资料的保密性负责；</w:t>
      </w:r>
    </w:p>
    <w:p>
      <w:pPr>
        <w:snapToGrid w:val="0"/>
        <w:spacing w:line="575" w:lineRule="exact"/>
        <w:ind w:firstLine="640" w:firstLineChars="200"/>
        <w:rPr>
          <w:rFonts w:hint="eastAsia" w:ascii="仿宋_GB2312" w:hAnsi="楷体" w:eastAsia="仿宋_GB2312" w:cs="楷体"/>
          <w:sz w:val="32"/>
          <w:szCs w:val="32"/>
        </w:rPr>
      </w:pPr>
      <w:r>
        <w:rPr>
          <w:rFonts w:hint="eastAsia" w:ascii="仿宋_GB2312" w:hAnsi="仿宋" w:eastAsia="仿宋_GB2312" w:cs="仿宋"/>
          <w:sz w:val="32"/>
          <w:szCs w:val="32"/>
        </w:rPr>
        <w:t>——对提交竣工验收相关资料的真实性负责</w:t>
      </w:r>
      <w:r>
        <w:rPr>
          <w:rFonts w:hint="eastAsia" w:ascii="仿宋_GB2312" w:hAnsi="楷体" w:eastAsia="仿宋_GB2312" w:cs="楷体"/>
          <w:sz w:val="32"/>
          <w:szCs w:val="32"/>
        </w:rPr>
        <w:t>。</w:t>
      </w:r>
    </w:p>
    <w:p>
      <w:pPr>
        <w:snapToGrid w:val="0"/>
        <w:spacing w:line="575"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2.2 权利</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2.2.1 有权拒绝甲方的违章指挥、强令冒险作业要求。</w:t>
      </w:r>
    </w:p>
    <w:p>
      <w:pPr>
        <w:adjustRightInd w:val="0"/>
        <w:snapToGrid w:val="0"/>
        <w:spacing w:line="575" w:lineRule="exact"/>
        <w:rPr>
          <w:rFonts w:hint="eastAsia" w:ascii="黑体" w:hAnsi="黑体" w:eastAsia="黑体" w:cs="黑体"/>
          <w:sz w:val="32"/>
          <w:szCs w:val="32"/>
        </w:rPr>
      </w:pPr>
      <w:r>
        <w:rPr>
          <w:rFonts w:hint="eastAsia" w:ascii="黑体" w:hAnsi="黑体" w:eastAsia="黑体" w:cs="黑体"/>
          <w:sz w:val="32"/>
          <w:szCs w:val="32"/>
        </w:rPr>
        <w:t>3 违约追偿</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违反相关规定、约定，甲方有权按照违约事项，要求乙方在规定的期限内支付违约金并承担违约责任，如甲方要求的期限内未上交违约金的，甲方有权在工程款中双倍扣除。违约事项及违约金标准详见附表《安全文明施工现场违约情形及违约金》。</w:t>
      </w:r>
    </w:p>
    <w:p>
      <w:pPr>
        <w:adjustRightInd w:val="0"/>
        <w:snapToGrid w:val="0"/>
        <w:spacing w:line="575" w:lineRule="exact"/>
        <w:rPr>
          <w:rFonts w:hint="eastAsia" w:ascii="黑体" w:hAnsi="黑体" w:eastAsia="黑体" w:cs="黑体"/>
          <w:sz w:val="32"/>
          <w:szCs w:val="32"/>
        </w:rPr>
      </w:pPr>
      <w:r>
        <w:rPr>
          <w:rFonts w:hint="eastAsia" w:ascii="黑体" w:hAnsi="黑体" w:eastAsia="黑体" w:cs="黑体"/>
          <w:sz w:val="32"/>
          <w:szCs w:val="32"/>
        </w:rPr>
        <w:t>4 协议有效期</w:t>
      </w:r>
    </w:p>
    <w:p>
      <w:pPr>
        <w:pStyle w:val="9"/>
        <w:snapToGrid w:val="0"/>
        <w:spacing w:after="0" w:line="575" w:lineRule="exact"/>
        <w:ind w:firstLine="684" w:firstLineChars="213"/>
        <w:rPr>
          <w:rFonts w:hint="eastAsia" w:ascii="仿宋_GB2312" w:hAnsi="仿宋" w:eastAsia="仿宋_GB2312" w:cs="仿宋"/>
          <w:sz w:val="32"/>
          <w:szCs w:val="32"/>
        </w:rPr>
      </w:pPr>
      <w:r>
        <w:rPr>
          <w:rFonts w:hint="eastAsia" w:ascii="仿宋_GB2312" w:hAnsi="仿宋" w:eastAsia="仿宋_GB2312" w:cs="仿宋"/>
          <w:sz w:val="32"/>
          <w:szCs w:val="32"/>
        </w:rPr>
        <w:t>本协议有效期与合同一致，到期后双方尚有合同的权利义务未履行完毕的，协议有效期延续至合同履行完毕时止。</w:t>
      </w:r>
    </w:p>
    <w:p>
      <w:pPr>
        <w:adjustRightInd w:val="0"/>
        <w:snapToGrid w:val="0"/>
        <w:spacing w:line="575" w:lineRule="exact"/>
        <w:rPr>
          <w:rFonts w:hint="eastAsia" w:ascii="黑体" w:hAnsi="黑体" w:eastAsia="黑体" w:cs="黑体"/>
          <w:sz w:val="32"/>
          <w:szCs w:val="32"/>
        </w:rPr>
      </w:pPr>
      <w:r>
        <w:rPr>
          <w:rFonts w:hint="eastAsia" w:ascii="黑体" w:hAnsi="黑体" w:eastAsia="黑体" w:cs="黑体"/>
          <w:sz w:val="32"/>
          <w:szCs w:val="32"/>
        </w:rPr>
        <w:t>5 协议效力</w:t>
      </w:r>
    </w:p>
    <w:p>
      <w:pPr>
        <w:snapToGrid w:val="0"/>
        <w:spacing w:line="575" w:lineRule="exact"/>
        <w:ind w:firstLine="681" w:firstLineChars="213"/>
        <w:rPr>
          <w:rFonts w:hint="eastAsia" w:ascii="仿宋_GB2312" w:hAnsi="仿宋" w:eastAsia="仿宋_GB2312" w:cs="仿宋"/>
          <w:sz w:val="32"/>
          <w:szCs w:val="32"/>
        </w:rPr>
      </w:pPr>
      <w:r>
        <w:rPr>
          <w:rFonts w:hint="eastAsia" w:ascii="仿宋_GB2312" w:hAnsi="仿宋" w:eastAsia="仿宋_GB2312" w:cs="仿宋"/>
          <w:sz w:val="32"/>
          <w:szCs w:val="32"/>
        </w:rPr>
        <w:t>本协议与合同具有同等效力。本协议一式两份，甲、乙双方各持一份，双方盖章后生效，具有同等的法律效力。</w:t>
      </w:r>
    </w:p>
    <w:p>
      <w:pPr>
        <w:snapToGrid w:val="0"/>
        <w:spacing w:line="575" w:lineRule="exact"/>
        <w:rPr>
          <w:rFonts w:hint="eastAsia" w:ascii="仿宋_GB2312" w:hAnsi="仿宋" w:eastAsia="仿宋_GB2312" w:cs="仿宋"/>
          <w:sz w:val="32"/>
          <w:szCs w:val="32"/>
        </w:rPr>
      </w:pPr>
    </w:p>
    <w:p>
      <w:pPr>
        <w:snapToGrid w:val="0"/>
        <w:spacing w:line="575" w:lineRule="exact"/>
        <w:rPr>
          <w:rFonts w:hint="eastAsia" w:ascii="仿宋_GB2312" w:hAnsi="仿宋" w:eastAsia="仿宋_GB2312" w:cs="仿宋"/>
          <w:sz w:val="32"/>
          <w:szCs w:val="32"/>
        </w:rPr>
      </w:pPr>
      <w:r>
        <w:rPr>
          <w:rFonts w:hint="eastAsia" w:ascii="仿宋_GB2312" w:hAnsi="仿宋" w:eastAsia="仿宋_GB2312" w:cs="仿宋"/>
          <w:sz w:val="32"/>
          <w:szCs w:val="32"/>
        </w:rPr>
        <w:t>甲方（盖章）：                乙方（盖章）：</w:t>
      </w:r>
    </w:p>
    <w:p>
      <w:pPr>
        <w:snapToGrid w:val="0"/>
        <w:spacing w:line="575"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年   月   日                  年   月   日</w:t>
      </w:r>
    </w:p>
    <w:p>
      <w:pPr>
        <w:pageBreakBefore/>
        <w:spacing w:line="360" w:lineRule="auto"/>
        <w:jc w:val="center"/>
        <w:rPr>
          <w:rFonts w:ascii="黑体" w:hAnsi="黑体" w:eastAsia="黑体" w:cs="仿宋_GB2312"/>
          <w:color w:val="000000"/>
          <w:kern w:val="0"/>
          <w:sz w:val="28"/>
          <w:szCs w:val="28"/>
        </w:rPr>
      </w:pPr>
      <w:r>
        <w:rPr>
          <w:rFonts w:hint="eastAsia" w:ascii="仿宋" w:hAnsi="仿宋" w:eastAsia="仿宋" w:cs="仿宋"/>
          <w:sz w:val="32"/>
          <w:szCs w:val="32"/>
        </w:rPr>
        <w:br w:type="page"/>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r>
      <w:rPr>
        <w:rFonts w:hint="eastAsia"/>
        <w:sz w:val="21"/>
      </w:rPr>
      <w:t>中粮糖业</w:t>
    </w:r>
    <w:r>
      <w:rPr>
        <w:rFonts w:hint="eastAsia"/>
        <w:sz w:val="21"/>
        <w:lang w:eastAsia="zh-CN"/>
      </w:rPr>
      <w:t>奇台</w:t>
    </w:r>
    <w:r>
      <w:rPr>
        <w:rFonts w:hint="eastAsia"/>
        <w:sz w:val="21"/>
      </w:rPr>
      <w:t xml:space="preserve">糖业分公司                                 </w:t>
    </w:r>
    <w:r>
      <w:drawing>
        <wp:inline distT="0" distB="0" distL="0" distR="0">
          <wp:extent cx="1569720" cy="502920"/>
          <wp:effectExtent l="19050" t="0" r="0" b="0"/>
          <wp:docPr id="4" name="图片 2" descr="C:\2-公文\PPT模板\中粮糖业PPT模板\中粮糖业标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2-公文\PPT模板\中粮糖业PPT模板\中粮糖业标识.png"/>
                  <pic:cNvPicPr>
                    <a:picLocks noChangeAspect="1" noChangeArrowheads="1"/>
                  </pic:cNvPicPr>
                </pic:nvPicPr>
                <pic:blipFill>
                  <a:blip r:embed="rId1"/>
                  <a:srcRect/>
                  <a:stretch>
                    <a:fillRect/>
                  </a:stretch>
                </pic:blipFill>
                <pic:spPr>
                  <a:xfrm>
                    <a:off x="0" y="0"/>
                    <a:ext cx="1569720" cy="50292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28C10"/>
    <w:multiLevelType w:val="singleLevel"/>
    <w:tmpl w:val="9DD28C10"/>
    <w:lvl w:ilvl="0" w:tentative="0">
      <w:start w:val="4"/>
      <w:numFmt w:val="chineseCounting"/>
      <w:suff w:val="space"/>
      <w:lvlText w:val="第%1章"/>
      <w:lvlJc w:val="left"/>
      <w:rPr>
        <w:rFonts w:hint="eastAsia"/>
      </w:rPr>
    </w:lvl>
  </w:abstractNum>
  <w:abstractNum w:abstractNumId="1">
    <w:nsid w:val="6D4F50DF"/>
    <w:multiLevelType w:val="multilevel"/>
    <w:tmpl w:val="6D4F50DF"/>
    <w:lvl w:ilvl="0" w:tentative="0">
      <w:start w:val="1"/>
      <w:numFmt w:val="japaneseCounting"/>
      <w:lvlText w:val="第%1章"/>
      <w:lvlJc w:val="left"/>
      <w:pPr>
        <w:ind w:left="5278" w:hanging="1308"/>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71F921E0"/>
    <w:multiLevelType w:val="multilevel"/>
    <w:tmpl w:val="71F921E0"/>
    <w:lvl w:ilvl="0" w:tentative="0">
      <w:start w:val="1"/>
      <w:numFmt w:val="decimal"/>
      <w:lvlText w:val="%1"/>
      <w:lvlJc w:val="left"/>
      <w:pPr>
        <w:ind w:left="800" w:hanging="800"/>
      </w:pPr>
      <w:rPr>
        <w:rFonts w:hint="default"/>
      </w:rPr>
    </w:lvl>
    <w:lvl w:ilvl="1" w:tentative="0">
      <w:start w:val="1"/>
      <w:numFmt w:val="decimal"/>
      <w:lvlText w:val="%1.%2"/>
      <w:lvlJc w:val="left"/>
      <w:pPr>
        <w:ind w:left="1120" w:hanging="800"/>
      </w:pPr>
      <w:rPr>
        <w:rFonts w:hint="default"/>
      </w:rPr>
    </w:lvl>
    <w:lvl w:ilvl="2" w:tentative="0">
      <w:start w:val="1"/>
      <w:numFmt w:val="decimal"/>
      <w:lvlText w:val="%1.%2.%3"/>
      <w:lvlJc w:val="left"/>
      <w:pPr>
        <w:ind w:left="1720" w:hanging="1080"/>
      </w:pPr>
      <w:rPr>
        <w:rFonts w:hint="default"/>
      </w:rPr>
    </w:lvl>
    <w:lvl w:ilvl="3" w:tentative="0">
      <w:start w:val="1"/>
      <w:numFmt w:val="decimal"/>
      <w:lvlText w:val="%1.%2.%3.%4"/>
      <w:lvlJc w:val="left"/>
      <w:pPr>
        <w:ind w:left="2400" w:hanging="1440"/>
      </w:pPr>
      <w:rPr>
        <w:rFonts w:hint="default"/>
      </w:rPr>
    </w:lvl>
    <w:lvl w:ilvl="4" w:tentative="0">
      <w:start w:val="1"/>
      <w:numFmt w:val="decimal"/>
      <w:lvlText w:val="%1.%2.%3.%4.%5"/>
      <w:lvlJc w:val="left"/>
      <w:pPr>
        <w:ind w:left="2720" w:hanging="1440"/>
      </w:pPr>
      <w:rPr>
        <w:rFonts w:hint="default"/>
      </w:rPr>
    </w:lvl>
    <w:lvl w:ilvl="5" w:tentative="0">
      <w:start w:val="1"/>
      <w:numFmt w:val="decimal"/>
      <w:lvlText w:val="%1.%2.%3.%4.%5.%6"/>
      <w:lvlJc w:val="left"/>
      <w:pPr>
        <w:ind w:left="3400" w:hanging="1800"/>
      </w:pPr>
      <w:rPr>
        <w:rFonts w:hint="default"/>
      </w:rPr>
    </w:lvl>
    <w:lvl w:ilvl="6" w:tentative="0">
      <w:start w:val="1"/>
      <w:numFmt w:val="decimal"/>
      <w:lvlText w:val="%1.%2.%3.%4.%5.%6.%7"/>
      <w:lvlJc w:val="left"/>
      <w:pPr>
        <w:ind w:left="4080" w:hanging="2160"/>
      </w:pPr>
      <w:rPr>
        <w:rFonts w:hint="default"/>
      </w:rPr>
    </w:lvl>
    <w:lvl w:ilvl="7" w:tentative="0">
      <w:start w:val="1"/>
      <w:numFmt w:val="decimal"/>
      <w:lvlText w:val="%1.%2.%3.%4.%5.%6.%7.%8"/>
      <w:lvlJc w:val="left"/>
      <w:pPr>
        <w:ind w:left="4760" w:hanging="2520"/>
      </w:pPr>
      <w:rPr>
        <w:rFonts w:hint="default"/>
      </w:rPr>
    </w:lvl>
    <w:lvl w:ilvl="8" w:tentative="0">
      <w:start w:val="1"/>
      <w:numFmt w:val="decimal"/>
      <w:lvlText w:val="%1.%2.%3.%4.%5.%6.%7.%8.%9"/>
      <w:lvlJc w:val="left"/>
      <w:pPr>
        <w:ind w:left="5440" w:hanging="288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liYjQ1YWVhOWI3ZjU4NmRlZDRkOTVmMjhkMzY0YjYifQ=="/>
  </w:docVars>
  <w:rsids>
    <w:rsidRoot w:val="00E45A20"/>
    <w:rsid w:val="00006AB1"/>
    <w:rsid w:val="0001282E"/>
    <w:rsid w:val="00043CE6"/>
    <w:rsid w:val="000520DD"/>
    <w:rsid w:val="00054D8E"/>
    <w:rsid w:val="00063D71"/>
    <w:rsid w:val="000753BE"/>
    <w:rsid w:val="00077732"/>
    <w:rsid w:val="000839E6"/>
    <w:rsid w:val="00094F8F"/>
    <w:rsid w:val="000A4628"/>
    <w:rsid w:val="000A6494"/>
    <w:rsid w:val="000C4716"/>
    <w:rsid w:val="000E06FA"/>
    <w:rsid w:val="000E5116"/>
    <w:rsid w:val="000F3135"/>
    <w:rsid w:val="000F5223"/>
    <w:rsid w:val="00103B70"/>
    <w:rsid w:val="001063CB"/>
    <w:rsid w:val="001221F4"/>
    <w:rsid w:val="00134649"/>
    <w:rsid w:val="001379E9"/>
    <w:rsid w:val="001550AE"/>
    <w:rsid w:val="00160F99"/>
    <w:rsid w:val="00170B37"/>
    <w:rsid w:val="00171CBA"/>
    <w:rsid w:val="00181D4C"/>
    <w:rsid w:val="001824C8"/>
    <w:rsid w:val="001843E6"/>
    <w:rsid w:val="00197C9E"/>
    <w:rsid w:val="001D7DE7"/>
    <w:rsid w:val="001E0DAA"/>
    <w:rsid w:val="001E5D95"/>
    <w:rsid w:val="001E68FD"/>
    <w:rsid w:val="001F26A6"/>
    <w:rsid w:val="0022169F"/>
    <w:rsid w:val="00226476"/>
    <w:rsid w:val="00231234"/>
    <w:rsid w:val="002313E8"/>
    <w:rsid w:val="00246C36"/>
    <w:rsid w:val="00256546"/>
    <w:rsid w:val="00290EA0"/>
    <w:rsid w:val="00293DD3"/>
    <w:rsid w:val="00297BEE"/>
    <w:rsid w:val="002A0876"/>
    <w:rsid w:val="002A39A5"/>
    <w:rsid w:val="002C0F8B"/>
    <w:rsid w:val="002E1F45"/>
    <w:rsid w:val="002E5905"/>
    <w:rsid w:val="00315490"/>
    <w:rsid w:val="00334E4D"/>
    <w:rsid w:val="0033551D"/>
    <w:rsid w:val="00336B45"/>
    <w:rsid w:val="00365FDD"/>
    <w:rsid w:val="00367A9B"/>
    <w:rsid w:val="00371EE5"/>
    <w:rsid w:val="003830D6"/>
    <w:rsid w:val="00386DF1"/>
    <w:rsid w:val="003C08CF"/>
    <w:rsid w:val="003C3FEA"/>
    <w:rsid w:val="003E2E5F"/>
    <w:rsid w:val="004307AF"/>
    <w:rsid w:val="00465868"/>
    <w:rsid w:val="004679F5"/>
    <w:rsid w:val="00472F93"/>
    <w:rsid w:val="00497561"/>
    <w:rsid w:val="004B080A"/>
    <w:rsid w:val="004C4B59"/>
    <w:rsid w:val="004C4D86"/>
    <w:rsid w:val="004D206B"/>
    <w:rsid w:val="004E1D9E"/>
    <w:rsid w:val="004E1F35"/>
    <w:rsid w:val="004E53DD"/>
    <w:rsid w:val="004E75B7"/>
    <w:rsid w:val="004F4B55"/>
    <w:rsid w:val="00504DAC"/>
    <w:rsid w:val="0050796C"/>
    <w:rsid w:val="005120D6"/>
    <w:rsid w:val="00530041"/>
    <w:rsid w:val="005310AD"/>
    <w:rsid w:val="00550D44"/>
    <w:rsid w:val="0055284A"/>
    <w:rsid w:val="00556944"/>
    <w:rsid w:val="005658F1"/>
    <w:rsid w:val="005B2044"/>
    <w:rsid w:val="005C3200"/>
    <w:rsid w:val="005E7FA7"/>
    <w:rsid w:val="005F34B7"/>
    <w:rsid w:val="005F3E46"/>
    <w:rsid w:val="00600D54"/>
    <w:rsid w:val="00605BDA"/>
    <w:rsid w:val="00611551"/>
    <w:rsid w:val="00615BDA"/>
    <w:rsid w:val="00627431"/>
    <w:rsid w:val="006318C2"/>
    <w:rsid w:val="006323DA"/>
    <w:rsid w:val="0063761E"/>
    <w:rsid w:val="00642B3C"/>
    <w:rsid w:val="006545C9"/>
    <w:rsid w:val="00661CEC"/>
    <w:rsid w:val="006970A0"/>
    <w:rsid w:val="006A0871"/>
    <w:rsid w:val="006A1FB6"/>
    <w:rsid w:val="006C29BB"/>
    <w:rsid w:val="006C681C"/>
    <w:rsid w:val="006D482B"/>
    <w:rsid w:val="007153F2"/>
    <w:rsid w:val="0073666E"/>
    <w:rsid w:val="00753634"/>
    <w:rsid w:val="00756905"/>
    <w:rsid w:val="00760C9E"/>
    <w:rsid w:val="0077779B"/>
    <w:rsid w:val="00797BBF"/>
    <w:rsid w:val="007B0441"/>
    <w:rsid w:val="007B0C37"/>
    <w:rsid w:val="007B5814"/>
    <w:rsid w:val="007B5EF9"/>
    <w:rsid w:val="007D09AC"/>
    <w:rsid w:val="0080169E"/>
    <w:rsid w:val="00803F37"/>
    <w:rsid w:val="008121FF"/>
    <w:rsid w:val="0083146F"/>
    <w:rsid w:val="0083519B"/>
    <w:rsid w:val="0086387D"/>
    <w:rsid w:val="00863AB2"/>
    <w:rsid w:val="008652F8"/>
    <w:rsid w:val="00880A4D"/>
    <w:rsid w:val="00883C27"/>
    <w:rsid w:val="00897597"/>
    <w:rsid w:val="008A503F"/>
    <w:rsid w:val="008A711B"/>
    <w:rsid w:val="008C25B5"/>
    <w:rsid w:val="008D2869"/>
    <w:rsid w:val="008D38EA"/>
    <w:rsid w:val="008D7D39"/>
    <w:rsid w:val="008E0F4A"/>
    <w:rsid w:val="008F53E0"/>
    <w:rsid w:val="00901DAD"/>
    <w:rsid w:val="00910FC3"/>
    <w:rsid w:val="009113B4"/>
    <w:rsid w:val="00920551"/>
    <w:rsid w:val="00922871"/>
    <w:rsid w:val="00926953"/>
    <w:rsid w:val="00931B30"/>
    <w:rsid w:val="009478A8"/>
    <w:rsid w:val="00962596"/>
    <w:rsid w:val="009769B1"/>
    <w:rsid w:val="009D52BD"/>
    <w:rsid w:val="00A22A79"/>
    <w:rsid w:val="00A37EB1"/>
    <w:rsid w:val="00A449F7"/>
    <w:rsid w:val="00A56BD8"/>
    <w:rsid w:val="00A613CC"/>
    <w:rsid w:val="00A63B0D"/>
    <w:rsid w:val="00A77790"/>
    <w:rsid w:val="00A8781A"/>
    <w:rsid w:val="00AA4226"/>
    <w:rsid w:val="00AA4472"/>
    <w:rsid w:val="00AF5424"/>
    <w:rsid w:val="00B07916"/>
    <w:rsid w:val="00B10865"/>
    <w:rsid w:val="00B333C8"/>
    <w:rsid w:val="00B3500C"/>
    <w:rsid w:val="00B62758"/>
    <w:rsid w:val="00B64253"/>
    <w:rsid w:val="00B7134D"/>
    <w:rsid w:val="00B82461"/>
    <w:rsid w:val="00B878B3"/>
    <w:rsid w:val="00BA3B5C"/>
    <w:rsid w:val="00BB23AF"/>
    <w:rsid w:val="00BC7453"/>
    <w:rsid w:val="00BF3456"/>
    <w:rsid w:val="00C02685"/>
    <w:rsid w:val="00C036A1"/>
    <w:rsid w:val="00C03A30"/>
    <w:rsid w:val="00C10C50"/>
    <w:rsid w:val="00C23177"/>
    <w:rsid w:val="00C500AB"/>
    <w:rsid w:val="00C50414"/>
    <w:rsid w:val="00C8570F"/>
    <w:rsid w:val="00C9053A"/>
    <w:rsid w:val="00C90D6F"/>
    <w:rsid w:val="00C96711"/>
    <w:rsid w:val="00CA00E1"/>
    <w:rsid w:val="00CA6C1C"/>
    <w:rsid w:val="00CD62BD"/>
    <w:rsid w:val="00CF232E"/>
    <w:rsid w:val="00D03A7A"/>
    <w:rsid w:val="00D058D7"/>
    <w:rsid w:val="00D05A82"/>
    <w:rsid w:val="00D13B7F"/>
    <w:rsid w:val="00D1695D"/>
    <w:rsid w:val="00D20978"/>
    <w:rsid w:val="00D44F9A"/>
    <w:rsid w:val="00D5085E"/>
    <w:rsid w:val="00D7055E"/>
    <w:rsid w:val="00D91942"/>
    <w:rsid w:val="00D94EB8"/>
    <w:rsid w:val="00DA07B7"/>
    <w:rsid w:val="00DA1481"/>
    <w:rsid w:val="00DB0168"/>
    <w:rsid w:val="00DB4C45"/>
    <w:rsid w:val="00DC11E7"/>
    <w:rsid w:val="00DF04CD"/>
    <w:rsid w:val="00DF5D7C"/>
    <w:rsid w:val="00E0284E"/>
    <w:rsid w:val="00E03BDE"/>
    <w:rsid w:val="00E25654"/>
    <w:rsid w:val="00E36CDB"/>
    <w:rsid w:val="00E41881"/>
    <w:rsid w:val="00E45A20"/>
    <w:rsid w:val="00E656B0"/>
    <w:rsid w:val="00E73474"/>
    <w:rsid w:val="00E73E1E"/>
    <w:rsid w:val="00E82FE2"/>
    <w:rsid w:val="00E9211E"/>
    <w:rsid w:val="00E97754"/>
    <w:rsid w:val="00EA0F2E"/>
    <w:rsid w:val="00EB2A90"/>
    <w:rsid w:val="00EC5AB3"/>
    <w:rsid w:val="00ED2EF0"/>
    <w:rsid w:val="00EE109E"/>
    <w:rsid w:val="00EF3D44"/>
    <w:rsid w:val="00F11208"/>
    <w:rsid w:val="00F15B33"/>
    <w:rsid w:val="00F25954"/>
    <w:rsid w:val="00F34111"/>
    <w:rsid w:val="00F4255D"/>
    <w:rsid w:val="00F647BB"/>
    <w:rsid w:val="00F659BF"/>
    <w:rsid w:val="00F9719C"/>
    <w:rsid w:val="00FB5B4A"/>
    <w:rsid w:val="00FD4476"/>
    <w:rsid w:val="00FE7B39"/>
    <w:rsid w:val="00FF1CE5"/>
    <w:rsid w:val="00FF54FA"/>
    <w:rsid w:val="014D0BF6"/>
    <w:rsid w:val="03F07B0F"/>
    <w:rsid w:val="05754079"/>
    <w:rsid w:val="066775E0"/>
    <w:rsid w:val="068A6454"/>
    <w:rsid w:val="0C5A4859"/>
    <w:rsid w:val="1370343B"/>
    <w:rsid w:val="16784530"/>
    <w:rsid w:val="170F61FF"/>
    <w:rsid w:val="31684E9E"/>
    <w:rsid w:val="32231316"/>
    <w:rsid w:val="3FF33F31"/>
    <w:rsid w:val="402C2C1E"/>
    <w:rsid w:val="52A82682"/>
    <w:rsid w:val="56F95940"/>
    <w:rsid w:val="574348F6"/>
    <w:rsid w:val="6430083B"/>
    <w:rsid w:val="646031C3"/>
    <w:rsid w:val="674D2DCE"/>
    <w:rsid w:val="67CF7916"/>
    <w:rsid w:val="755A2B21"/>
    <w:rsid w:val="75EE32C2"/>
    <w:rsid w:val="7C261615"/>
    <w:rsid w:val="7F6D7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Body Text"/>
    <w:basedOn w:val="1"/>
    <w:qFormat/>
    <w:uiPriority w:val="0"/>
    <w:pPr>
      <w:autoSpaceDE w:val="0"/>
      <w:autoSpaceDN w:val="0"/>
      <w:adjustRightInd w:val="0"/>
    </w:pPr>
    <w:rPr>
      <w:rFonts w:eastAsia="仿宋_GB2312"/>
      <w:b/>
      <w:bCs/>
      <w:color w:val="FF3300"/>
      <w:sz w:val="40"/>
      <w:szCs w:val="40"/>
    </w:rPr>
  </w:style>
  <w:style w:type="paragraph" w:styleId="5">
    <w:name w:val="Plain Text"/>
    <w:basedOn w:val="1"/>
    <w:link w:val="18"/>
    <w:qFormat/>
    <w:uiPriority w:val="0"/>
    <w:rPr>
      <w:rFonts w:ascii="宋体" w:hAnsi="Courier New"/>
    </w:rPr>
  </w:style>
  <w:style w:type="paragraph" w:styleId="6">
    <w:name w:val="Balloon Text"/>
    <w:basedOn w:val="1"/>
    <w:link w:val="14"/>
    <w:semiHidden/>
    <w:unhideWhenUsed/>
    <w:qFormat/>
    <w:uiPriority w:val="99"/>
    <w:rPr>
      <w:sz w:val="18"/>
      <w:szCs w:val="18"/>
    </w:rPr>
  </w:style>
  <w:style w:type="paragraph" w:styleId="7">
    <w:name w:val="footer"/>
    <w:basedOn w:val="1"/>
    <w:link w:val="15"/>
    <w:semiHidden/>
    <w:unhideWhenUsed/>
    <w:qFormat/>
    <w:uiPriority w:val="99"/>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9">
    <w:name w:val="Body Text First Indent"/>
    <w:basedOn w:val="4"/>
    <w:unhideWhenUsed/>
    <w:qFormat/>
    <w:uiPriority w:val="99"/>
    <w:pPr>
      <w:ind w:firstLine="420" w:firstLineChars="100"/>
    </w:pPr>
    <w:rPr>
      <w:rFonts w:ascii="Calibri" w:hAnsi="Calibri"/>
      <w:szCs w:val="22"/>
    </w:rPr>
  </w:style>
  <w:style w:type="character" w:styleId="12">
    <w:name w:val="Hyperlink"/>
    <w:qFormat/>
    <w:uiPriority w:val="0"/>
    <w:rPr>
      <w:color w:val="0563C1"/>
      <w:u w:val="single"/>
    </w:rPr>
  </w:style>
  <w:style w:type="character" w:customStyle="1" w:styleId="13">
    <w:name w:val="页眉 Char"/>
    <w:basedOn w:val="11"/>
    <w:link w:val="8"/>
    <w:qFormat/>
    <w:uiPriority w:val="0"/>
    <w:rPr>
      <w:rFonts w:ascii="Times New Roman" w:hAnsi="Times New Roman" w:eastAsia="宋体" w:cs="Times New Roman"/>
      <w:sz w:val="18"/>
      <w:szCs w:val="18"/>
    </w:rPr>
  </w:style>
  <w:style w:type="character" w:customStyle="1" w:styleId="14">
    <w:name w:val="批注框文本 Char"/>
    <w:basedOn w:val="11"/>
    <w:link w:val="6"/>
    <w:semiHidden/>
    <w:qFormat/>
    <w:uiPriority w:val="99"/>
    <w:rPr>
      <w:sz w:val="18"/>
      <w:szCs w:val="18"/>
    </w:rPr>
  </w:style>
  <w:style w:type="character" w:customStyle="1" w:styleId="15">
    <w:name w:val="页脚 Char"/>
    <w:basedOn w:val="11"/>
    <w:link w:val="7"/>
    <w:semiHidden/>
    <w:qFormat/>
    <w:uiPriority w:val="99"/>
    <w:rPr>
      <w:sz w:val="18"/>
      <w:szCs w:val="18"/>
    </w:rPr>
  </w:style>
  <w:style w:type="paragraph" w:styleId="16">
    <w:name w:val="List Paragraph"/>
    <w:basedOn w:val="1"/>
    <w:qFormat/>
    <w:uiPriority w:val="34"/>
    <w:pPr>
      <w:ind w:firstLine="420" w:firstLineChars="200"/>
    </w:pPr>
    <w:rPr>
      <w:rFonts w:ascii="Times New Roman" w:hAnsi="Times New Roman" w:eastAsia="宋体" w:cs="Times New Roman"/>
      <w:szCs w:val="24"/>
    </w:rPr>
  </w:style>
  <w:style w:type="character" w:customStyle="1" w:styleId="17">
    <w:name w:val="纯文本 Char"/>
    <w:link w:val="5"/>
    <w:qFormat/>
    <w:uiPriority w:val="0"/>
    <w:rPr>
      <w:rFonts w:ascii="宋体" w:hAnsi="Courier New"/>
    </w:rPr>
  </w:style>
  <w:style w:type="character" w:customStyle="1" w:styleId="18">
    <w:name w:val="纯文本 Char1"/>
    <w:basedOn w:val="11"/>
    <w:link w:val="5"/>
    <w:semiHidden/>
    <w:qFormat/>
    <w:uiPriority w:val="99"/>
    <w:rPr>
      <w:rFonts w:ascii="宋体" w:hAnsi="Courier New" w:eastAsia="宋体" w:cs="Courier New"/>
      <w:szCs w:val="21"/>
    </w:rPr>
  </w:style>
  <w:style w:type="character" w:customStyle="1" w:styleId="19">
    <w:name w:val="NormalCharacter"/>
    <w:link w:val="1"/>
    <w:semiHidden/>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4758</Words>
  <Characters>5032</Characters>
  <Lines>35</Lines>
  <Paragraphs>10</Paragraphs>
  <TotalTime>1</TotalTime>
  <ScaleCrop>false</ScaleCrop>
  <LinksUpToDate>false</LinksUpToDate>
  <CharactersWithSpaces>5295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2022-01-04T09:02:00Z</dcterms:created>
  <dc:creator>COFCO\hj.th</dc:creator>
  <cp:lastModifiedBy>宓儿</cp:lastModifiedBy>
  <dcterms:modified xsi:type="dcterms:W3CDTF">2024-09-11T03:23:42Z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5B5BFD97D5F44AEFB8BB44A4D43B575A</vt:lpwstr>
  </property>
</Properties>
</file>