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6BC4E">
      <w:pPr>
        <w:jc w:val="center"/>
        <w:rPr>
          <w:rFonts w:hint="default"/>
          <w:sz w:val="32"/>
          <w:szCs w:val="32"/>
          <w:lang w:val="en-US" w:eastAsia="zh-CN"/>
        </w:rPr>
      </w:pPr>
      <w:r>
        <w:rPr>
          <w:rFonts w:hint="eastAsia"/>
          <w:sz w:val="32"/>
          <w:szCs w:val="32"/>
          <w:lang w:val="en-US" w:eastAsia="zh-CN"/>
        </w:rPr>
        <w:t>窗户遮光工程计划</w:t>
      </w:r>
    </w:p>
    <w:p w14:paraId="06EB9D46">
      <w:pPr>
        <w:rPr>
          <w:rFonts w:hint="eastAsia"/>
          <w:sz w:val="24"/>
          <w:szCs w:val="24"/>
          <w:lang w:val="en-US" w:eastAsia="zh-CN"/>
        </w:rPr>
      </w:pPr>
      <w:r>
        <w:rPr>
          <w:rFonts w:hint="eastAsia"/>
          <w:sz w:val="24"/>
          <w:szCs w:val="24"/>
          <w:lang w:val="en-US" w:eastAsia="zh-CN"/>
        </w:rPr>
        <w:t>1、背景：</w:t>
      </w:r>
    </w:p>
    <w:p w14:paraId="5C7BB704">
      <w:pPr>
        <w:ind w:firstLine="480" w:firstLineChars="200"/>
        <w:rPr>
          <w:rFonts w:hint="eastAsia"/>
          <w:sz w:val="24"/>
          <w:szCs w:val="24"/>
          <w:lang w:val="en-US" w:eastAsia="zh-CN"/>
        </w:rPr>
      </w:pPr>
      <w:r>
        <w:rPr>
          <w:rFonts w:hint="eastAsia"/>
          <w:sz w:val="24"/>
          <w:szCs w:val="24"/>
          <w:lang w:val="en-US" w:eastAsia="zh-CN"/>
        </w:rPr>
        <w:t>立体库货架上二维码因中间库天窗及南库和北库侧墙高窗太阳光照射过强，造成反光，导致运输四向车因二维码反光无法识别。影响立体仓储系统故障，无法正常高效完成成品糖运输和储存。</w:t>
      </w:r>
    </w:p>
    <w:p w14:paraId="6A00EE14">
      <w:pPr>
        <w:rPr>
          <w:rFonts w:hint="eastAsia"/>
          <w:sz w:val="24"/>
          <w:szCs w:val="24"/>
          <w:lang w:val="en-US" w:eastAsia="zh-CN"/>
        </w:rPr>
      </w:pPr>
      <w:r>
        <w:rPr>
          <w:rFonts w:hint="eastAsia"/>
          <w:sz w:val="24"/>
          <w:szCs w:val="24"/>
          <w:lang w:val="en-US" w:eastAsia="zh-CN"/>
        </w:rPr>
        <w:t>2、解决办法：</w:t>
      </w:r>
    </w:p>
    <w:p w14:paraId="43E09BAB">
      <w:pPr>
        <w:ind w:firstLine="480" w:firstLineChars="200"/>
        <w:rPr>
          <w:rFonts w:hint="eastAsia"/>
          <w:sz w:val="24"/>
          <w:szCs w:val="24"/>
          <w:lang w:val="en-US" w:eastAsia="zh-CN"/>
        </w:rPr>
      </w:pPr>
      <w:r>
        <w:rPr>
          <w:rFonts w:hint="eastAsia"/>
          <w:sz w:val="24"/>
          <w:szCs w:val="24"/>
          <w:lang w:val="en-US" w:eastAsia="zh-CN"/>
        </w:rPr>
        <w:t>根据现场运行情况，将阳光照射影响的窗户采用贴膜（此遮光为永久使用，贴膜耐久性差）或封板（铝塑板、彩钢板、镀锌钢板，厚度0.3mm或其他材质）进行遮光处理。</w:t>
      </w:r>
    </w:p>
    <w:p w14:paraId="56A67940">
      <w:pPr>
        <w:numPr>
          <w:ilvl w:val="0"/>
          <w:numId w:val="1"/>
        </w:numPr>
        <w:rPr>
          <w:rFonts w:hint="eastAsia"/>
          <w:sz w:val="24"/>
          <w:szCs w:val="24"/>
          <w:lang w:val="en-US" w:eastAsia="zh-CN"/>
        </w:rPr>
      </w:pPr>
      <w:r>
        <w:rPr>
          <w:rFonts w:hint="eastAsia"/>
          <w:sz w:val="24"/>
          <w:szCs w:val="24"/>
          <w:lang w:val="en-US" w:eastAsia="zh-CN"/>
        </w:rPr>
        <w:t>工程量及预估造价（0.03mm厚彩钢板）：</w:t>
      </w:r>
    </w:p>
    <w:p w14:paraId="720F6331">
      <w:pPr>
        <w:numPr>
          <w:ilvl w:val="0"/>
          <w:numId w:val="2"/>
        </w:numPr>
        <w:rPr>
          <w:rFonts w:hint="eastAsia"/>
          <w:sz w:val="24"/>
          <w:szCs w:val="24"/>
          <w:lang w:val="en-US" w:eastAsia="zh-CN"/>
        </w:rPr>
      </w:pPr>
      <w:r>
        <w:rPr>
          <w:rFonts w:hint="eastAsia"/>
          <w:sz w:val="24"/>
          <w:szCs w:val="24"/>
          <w:lang w:val="en-US" w:eastAsia="zh-CN"/>
        </w:rPr>
        <w:t>相关建筑单体遮光位置</w:t>
      </w:r>
    </w:p>
    <w:p w14:paraId="68731D68">
      <w:pPr>
        <w:numPr>
          <w:ilvl w:val="0"/>
          <w:numId w:val="0"/>
        </w:numPr>
        <w:rPr>
          <w:rFonts w:hint="eastAsia"/>
          <w:sz w:val="24"/>
          <w:szCs w:val="24"/>
          <w:lang w:val="en-US" w:eastAsia="zh-CN"/>
        </w:rPr>
      </w:pPr>
      <w:r>
        <w:rPr>
          <w:rFonts w:hint="eastAsia"/>
          <w:sz w:val="24"/>
          <w:szCs w:val="24"/>
          <w:lang w:val="en-US" w:eastAsia="zh-CN"/>
        </w:rPr>
        <w:t>普通成品库</w:t>
      </w:r>
    </w:p>
    <w:p w14:paraId="0A24C0D7">
      <w:pPr>
        <w:numPr>
          <w:ilvl w:val="0"/>
          <w:numId w:val="0"/>
        </w:numPr>
      </w:pPr>
      <w:r>
        <w:drawing>
          <wp:inline distT="0" distB="0" distL="114300" distR="114300">
            <wp:extent cx="5269230" cy="2456180"/>
            <wp:effectExtent l="0" t="0" r="7620" b="12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5269230" cy="2456180"/>
                    </a:xfrm>
                    <a:prstGeom prst="rect">
                      <a:avLst/>
                    </a:prstGeom>
                    <a:noFill/>
                    <a:ln>
                      <a:noFill/>
                    </a:ln>
                  </pic:spPr>
                </pic:pic>
              </a:graphicData>
            </a:graphic>
          </wp:inline>
        </w:drawing>
      </w:r>
    </w:p>
    <w:p w14:paraId="0BC3C5D9">
      <w:pPr>
        <w:numPr>
          <w:ilvl w:val="0"/>
          <w:numId w:val="0"/>
        </w:numPr>
        <w:rPr>
          <w:rFonts w:hint="eastAsia"/>
          <w:lang w:val="en-US" w:eastAsia="zh-CN"/>
        </w:rPr>
      </w:pPr>
      <w:r>
        <w:rPr>
          <w:rFonts w:hint="eastAsia"/>
          <w:lang w:val="en-US" w:eastAsia="zh-CN"/>
        </w:rPr>
        <w:t>立体库</w:t>
      </w:r>
    </w:p>
    <w:p w14:paraId="42A8643F">
      <w:pPr>
        <w:numPr>
          <w:ilvl w:val="0"/>
          <w:numId w:val="0"/>
        </w:numPr>
      </w:pPr>
      <w:r>
        <w:drawing>
          <wp:inline distT="0" distB="0" distL="114300" distR="114300">
            <wp:extent cx="5267960" cy="3388360"/>
            <wp:effectExtent l="0" t="0" r="8890" b="25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5267960" cy="3388360"/>
                    </a:xfrm>
                    <a:prstGeom prst="rect">
                      <a:avLst/>
                    </a:prstGeom>
                    <a:noFill/>
                    <a:ln>
                      <a:noFill/>
                    </a:ln>
                  </pic:spPr>
                </pic:pic>
              </a:graphicData>
            </a:graphic>
          </wp:inline>
        </w:drawing>
      </w:r>
    </w:p>
    <w:p w14:paraId="122069FF">
      <w:pPr>
        <w:numPr>
          <w:ilvl w:val="0"/>
          <w:numId w:val="0"/>
        </w:numPr>
      </w:pPr>
      <w:r>
        <w:drawing>
          <wp:inline distT="0" distB="0" distL="114300" distR="114300">
            <wp:extent cx="5267325" cy="2593975"/>
            <wp:effectExtent l="0" t="0" r="9525" b="1587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6"/>
                    <a:stretch>
                      <a:fillRect/>
                    </a:stretch>
                  </pic:blipFill>
                  <pic:spPr>
                    <a:xfrm>
                      <a:off x="0" y="0"/>
                      <a:ext cx="5267325" cy="2593975"/>
                    </a:xfrm>
                    <a:prstGeom prst="rect">
                      <a:avLst/>
                    </a:prstGeom>
                    <a:noFill/>
                    <a:ln>
                      <a:noFill/>
                    </a:ln>
                  </pic:spPr>
                </pic:pic>
              </a:graphicData>
            </a:graphic>
          </wp:inline>
        </w:drawing>
      </w:r>
    </w:p>
    <w:p w14:paraId="0891C398">
      <w:pPr>
        <w:numPr>
          <w:ilvl w:val="0"/>
          <w:numId w:val="0"/>
        </w:numPr>
        <w:rPr>
          <w:rFonts w:hint="eastAsia"/>
          <w:lang w:val="en-US" w:eastAsia="zh-CN"/>
        </w:rPr>
      </w:pPr>
      <w:r>
        <w:rPr>
          <w:rFonts w:hint="eastAsia"/>
          <w:lang w:val="en-US" w:eastAsia="zh-CN"/>
        </w:rPr>
        <w:t>制糖车间</w:t>
      </w:r>
    </w:p>
    <w:p w14:paraId="1590FE12">
      <w:pPr>
        <w:numPr>
          <w:ilvl w:val="0"/>
          <w:numId w:val="0"/>
        </w:numPr>
      </w:pPr>
      <w:r>
        <w:drawing>
          <wp:inline distT="0" distB="0" distL="114300" distR="114300">
            <wp:extent cx="5272405" cy="3369310"/>
            <wp:effectExtent l="0" t="0" r="4445" b="254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7"/>
                    <a:stretch>
                      <a:fillRect/>
                    </a:stretch>
                  </pic:blipFill>
                  <pic:spPr>
                    <a:xfrm>
                      <a:off x="0" y="0"/>
                      <a:ext cx="5272405" cy="3369310"/>
                    </a:xfrm>
                    <a:prstGeom prst="rect">
                      <a:avLst/>
                    </a:prstGeom>
                    <a:noFill/>
                    <a:ln>
                      <a:noFill/>
                    </a:ln>
                  </pic:spPr>
                </pic:pic>
              </a:graphicData>
            </a:graphic>
          </wp:inline>
        </w:drawing>
      </w:r>
    </w:p>
    <w:p w14:paraId="0508A52D">
      <w:pPr>
        <w:numPr>
          <w:ilvl w:val="0"/>
          <w:numId w:val="0"/>
        </w:numPr>
        <w:rPr>
          <w:rFonts w:hint="eastAsia"/>
          <w:lang w:val="en-US" w:eastAsia="zh-CN"/>
        </w:rPr>
      </w:pPr>
      <w:r>
        <w:rPr>
          <w:rFonts w:hint="eastAsia"/>
          <w:lang w:val="en-US" w:eastAsia="zh-CN"/>
        </w:rPr>
        <w:t>连廊一、连廊二</w:t>
      </w:r>
    </w:p>
    <w:p w14:paraId="64DD3260">
      <w:pPr>
        <w:numPr>
          <w:ilvl w:val="0"/>
          <w:numId w:val="0"/>
        </w:numPr>
        <w:rPr>
          <w:rFonts w:hint="default"/>
          <w:lang w:val="en-US" w:eastAsia="zh-CN"/>
        </w:rPr>
      </w:pPr>
      <w:r>
        <w:drawing>
          <wp:inline distT="0" distB="0" distL="114300" distR="114300">
            <wp:extent cx="2510155" cy="1868170"/>
            <wp:effectExtent l="0" t="0" r="4445" b="1778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8"/>
                    <a:stretch>
                      <a:fillRect/>
                    </a:stretch>
                  </pic:blipFill>
                  <pic:spPr>
                    <a:xfrm>
                      <a:off x="0" y="0"/>
                      <a:ext cx="2510155" cy="1868170"/>
                    </a:xfrm>
                    <a:prstGeom prst="rect">
                      <a:avLst/>
                    </a:prstGeom>
                    <a:noFill/>
                    <a:ln>
                      <a:noFill/>
                    </a:ln>
                  </pic:spPr>
                </pic:pic>
              </a:graphicData>
            </a:graphic>
          </wp:inline>
        </w:drawing>
      </w:r>
      <w:r>
        <w:drawing>
          <wp:inline distT="0" distB="0" distL="114300" distR="114300">
            <wp:extent cx="2498090" cy="1932305"/>
            <wp:effectExtent l="0" t="0" r="16510" b="10795"/>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9"/>
                    <a:srcRect l="14857"/>
                    <a:stretch>
                      <a:fillRect/>
                    </a:stretch>
                  </pic:blipFill>
                  <pic:spPr>
                    <a:xfrm>
                      <a:off x="0" y="0"/>
                      <a:ext cx="2498090" cy="1932305"/>
                    </a:xfrm>
                    <a:prstGeom prst="rect">
                      <a:avLst/>
                    </a:prstGeom>
                    <a:noFill/>
                    <a:ln>
                      <a:noFill/>
                    </a:ln>
                  </pic:spPr>
                </pic:pic>
              </a:graphicData>
            </a:graphic>
          </wp:inline>
        </w:drawing>
      </w:r>
    </w:p>
    <w:p w14:paraId="07469111">
      <w:pPr>
        <w:numPr>
          <w:ilvl w:val="0"/>
          <w:numId w:val="2"/>
        </w:numPr>
        <w:ind w:left="0" w:leftChars="0" w:firstLine="0" w:firstLineChars="0"/>
        <w:rPr>
          <w:rFonts w:hint="eastAsia"/>
          <w:sz w:val="24"/>
          <w:szCs w:val="24"/>
          <w:lang w:val="en-US" w:eastAsia="zh-CN"/>
        </w:rPr>
      </w:pPr>
      <w:r>
        <w:rPr>
          <w:rFonts w:hint="eastAsia"/>
          <w:sz w:val="24"/>
          <w:szCs w:val="24"/>
          <w:lang w:val="en-US" w:eastAsia="zh-CN"/>
        </w:rPr>
        <w:t>遮光单体涉及到普通成品库、连廊一、立体库、连廊二、制糖车间，具体工程量及预估造价见下表。</w:t>
      </w:r>
    </w:p>
    <w:tbl>
      <w:tblPr>
        <w:tblStyle w:val="2"/>
        <w:tblpPr w:leftFromText="180" w:rightFromText="180" w:vertAnchor="text" w:horzAnchor="page" w:tblpX="1908" w:tblpY="459"/>
        <w:tblOverlap w:val="never"/>
        <w:tblW w:w="90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7"/>
        <w:gridCol w:w="1477"/>
        <w:gridCol w:w="1445"/>
        <w:gridCol w:w="1281"/>
        <w:gridCol w:w="1477"/>
        <w:gridCol w:w="1269"/>
        <w:gridCol w:w="1269"/>
      </w:tblGrid>
      <w:tr w14:paraId="37EAC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877" w:type="dxa"/>
            <w:tcBorders>
              <w:top w:val="nil"/>
              <w:left w:val="nil"/>
              <w:bottom w:val="nil"/>
              <w:right w:val="nil"/>
            </w:tcBorders>
            <w:shd w:val="clear" w:color="auto" w:fill="auto"/>
            <w:noWrap/>
            <w:vAlign w:val="center"/>
          </w:tcPr>
          <w:p w14:paraId="54CBBF9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5680" w:type="dxa"/>
            <w:gridSpan w:val="4"/>
            <w:tcBorders>
              <w:top w:val="nil"/>
              <w:left w:val="nil"/>
              <w:bottom w:val="nil"/>
              <w:right w:val="nil"/>
            </w:tcBorders>
            <w:shd w:val="clear" w:color="auto" w:fill="auto"/>
            <w:noWrap/>
            <w:vAlign w:val="center"/>
          </w:tcPr>
          <w:p w14:paraId="0C2037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窗户遮光统计表</w:t>
            </w:r>
          </w:p>
        </w:tc>
        <w:tc>
          <w:tcPr>
            <w:tcW w:w="1269" w:type="dxa"/>
            <w:tcBorders>
              <w:top w:val="nil"/>
              <w:left w:val="nil"/>
              <w:bottom w:val="nil"/>
              <w:right w:val="nil"/>
            </w:tcBorders>
            <w:shd w:val="clear" w:color="auto" w:fill="auto"/>
            <w:noWrap/>
            <w:vAlign w:val="center"/>
          </w:tcPr>
          <w:p w14:paraId="194C5A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69" w:type="dxa"/>
            <w:tcBorders>
              <w:top w:val="nil"/>
              <w:left w:val="nil"/>
              <w:bottom w:val="nil"/>
              <w:right w:val="nil"/>
            </w:tcBorders>
            <w:shd w:val="clear" w:color="auto" w:fill="auto"/>
            <w:noWrap/>
            <w:vAlign w:val="center"/>
          </w:tcPr>
          <w:p w14:paraId="116736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74A1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EE1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A7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单体</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B7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位置</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D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窗面积/㎡</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CF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窗位（作业）高度/m</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6854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预估单价（元/㎡）</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A912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合价（元）</w:t>
            </w:r>
          </w:p>
        </w:tc>
      </w:tr>
      <w:tr w14:paraId="675F2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093C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22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普通成品库</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2F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21-22/A-F屋面天窗</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18D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DC2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8.5～12.5</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7D3D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bookmarkStart w:id="0" w:name="_GoBack"/>
            <w:bookmarkEnd w:id="0"/>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B20C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14:paraId="7B751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243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B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连廊一</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261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侧墙窗</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4BE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13.68</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11D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8.7～12.75</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88F8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5A9B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14:paraId="72E03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553F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4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74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立体库</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406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1-21/E-G屋面天窗</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BE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74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25.2～26.9</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D25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55AE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14:paraId="2ADA7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2D046">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E40E">
            <w:pPr>
              <w:jc w:val="center"/>
              <w:rPr>
                <w:rFonts w:hint="eastAsia" w:ascii="宋体" w:hAnsi="宋体" w:eastAsia="宋体" w:cs="宋体"/>
                <w:i w:val="0"/>
                <w:iCs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1C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A+K轴侧墙窗</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3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388.8</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B6A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18.6～22.2</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D8C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9A33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14:paraId="29A1C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D20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14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连廊二</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BF2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侧墙窗</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546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8.64</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D6A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8.7～12.75</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D653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507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14:paraId="44AAE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3D4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925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制糖车间</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BCE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1-3/L+1-3/A轴侧墙窗</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AE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12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1.2～3.2</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C1D9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CA37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14:paraId="696B2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C8CE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29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D60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F00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644.32</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B973">
            <w:pPr>
              <w:jc w:val="center"/>
              <w:rPr>
                <w:rFonts w:hint="eastAsia" w:ascii="宋体" w:hAnsi="宋体" w:eastAsia="宋体" w:cs="宋体"/>
                <w:i w:val="0"/>
                <w:iCs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C31B7">
            <w:pPr>
              <w:jc w:val="center"/>
              <w:rPr>
                <w:rFonts w:hint="eastAsia" w:ascii="宋体" w:hAnsi="宋体" w:eastAsia="宋体" w:cs="宋体"/>
                <w:i w:val="0"/>
                <w:iCs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FEE6">
            <w:pPr>
              <w:jc w:val="center"/>
              <w:rPr>
                <w:rFonts w:hint="default" w:ascii="宋体" w:hAnsi="宋体" w:eastAsia="宋体" w:cs="宋体"/>
                <w:i w:val="0"/>
                <w:iCs w:val="0"/>
                <w:color w:val="000000"/>
                <w:sz w:val="24"/>
                <w:szCs w:val="24"/>
                <w:u w:val="none"/>
                <w:lang w:val="en-US" w:eastAsia="zh-CN"/>
              </w:rPr>
            </w:pPr>
          </w:p>
        </w:tc>
      </w:tr>
    </w:tbl>
    <w:p w14:paraId="165A2032">
      <w:pPr>
        <w:numPr>
          <w:ilvl w:val="0"/>
          <w:numId w:val="0"/>
        </w:numPr>
        <w:rPr>
          <w:rFonts w:hint="default"/>
          <w:sz w:val="24"/>
          <w:szCs w:val="24"/>
          <w:lang w:val="en-US" w:eastAsia="zh-CN"/>
        </w:rPr>
      </w:pPr>
    </w:p>
    <w:p w14:paraId="72C5C8D5">
      <w:pPr>
        <w:numPr>
          <w:ilvl w:val="0"/>
          <w:numId w:val="0"/>
        </w:numPr>
        <w:rPr>
          <w:rFonts w:hint="default"/>
          <w:sz w:val="24"/>
          <w:szCs w:val="24"/>
          <w:lang w:val="en-US" w:eastAsia="zh-CN"/>
        </w:rPr>
      </w:pPr>
      <w:r>
        <w:rPr>
          <w:rFonts w:hint="eastAsia"/>
          <w:sz w:val="24"/>
          <w:szCs w:val="24"/>
          <w:lang w:val="en-US" w:eastAsia="zh-CN"/>
        </w:rPr>
        <w:t>（3）工期预计10-15天左右。</w:t>
      </w:r>
    </w:p>
    <w:p w14:paraId="69D04882">
      <w:pPr>
        <w:numPr>
          <w:ilvl w:val="0"/>
          <w:numId w:val="1"/>
        </w:numPr>
        <w:ind w:left="0" w:leftChars="0" w:firstLine="0" w:firstLineChars="0"/>
        <w:rPr>
          <w:rFonts w:hint="eastAsia"/>
          <w:sz w:val="24"/>
          <w:szCs w:val="24"/>
          <w:lang w:val="en-US" w:eastAsia="zh-CN"/>
        </w:rPr>
      </w:pPr>
      <w:r>
        <w:rPr>
          <w:rFonts w:hint="eastAsia"/>
          <w:sz w:val="24"/>
          <w:szCs w:val="24"/>
          <w:lang w:val="en-US" w:eastAsia="zh-CN"/>
        </w:rPr>
        <w:t>作业方案：</w:t>
      </w:r>
    </w:p>
    <w:p w14:paraId="5C77221E">
      <w:pPr>
        <w:numPr>
          <w:ilvl w:val="0"/>
          <w:numId w:val="3"/>
        </w:numPr>
        <w:ind w:leftChars="0"/>
        <w:rPr>
          <w:rFonts w:hint="eastAsia" w:ascii="宋体" w:hAnsi="宋体" w:eastAsia="宋体" w:cs="宋体"/>
          <w:i w:val="0"/>
          <w:iCs w:val="0"/>
          <w:color w:val="000000"/>
          <w:kern w:val="0"/>
          <w:sz w:val="24"/>
          <w:szCs w:val="24"/>
          <w:u w:val="none"/>
          <w:lang w:val="en-US" w:eastAsia="zh-CN" w:bidi="ar"/>
        </w:rPr>
      </w:pPr>
      <w:r>
        <w:rPr>
          <w:rFonts w:hint="eastAsia"/>
          <w:sz w:val="24"/>
          <w:szCs w:val="24"/>
          <w:lang w:val="en-US" w:eastAsia="zh-CN"/>
        </w:rPr>
        <w:t>普通成品库作业高度在</w:t>
      </w:r>
      <w:r>
        <w:rPr>
          <w:rFonts w:hint="eastAsia" w:ascii="宋体" w:hAnsi="宋体" w:eastAsia="宋体" w:cs="宋体"/>
          <w:i w:val="0"/>
          <w:iCs w:val="0"/>
          <w:color w:val="000000"/>
          <w:kern w:val="0"/>
          <w:sz w:val="24"/>
          <w:szCs w:val="24"/>
          <w:u w:val="none"/>
          <w:lang w:val="en-US" w:eastAsia="zh-CN" w:bidi="ar"/>
        </w:rPr>
        <w:t>8.5～12.5m，可使用登高车进行作业，安全风险较低；</w:t>
      </w:r>
    </w:p>
    <w:p w14:paraId="6AA58FBA">
      <w:pPr>
        <w:numPr>
          <w:ilvl w:val="0"/>
          <w:numId w:val="3"/>
        </w:numPr>
        <w:ind w:leftChars="0"/>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连廊一可由立体库北库攀爬货架至连廊一楼板，作业高度1.2～2.4m,仅攀爬货架时，风险较高。另需监控运行时四向车撞人风险；</w:t>
      </w:r>
    </w:p>
    <w:p w14:paraId="65DC3C6A">
      <w:pPr>
        <w:numPr>
          <w:ilvl w:val="0"/>
          <w:numId w:val="3"/>
        </w:numPr>
        <w:ind w:leftChars="0"/>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①立体库中间库屋面天窗，如在窗内侧遮光，则需要攀爬货架至货架顶（21.9m），再由货架顶搭设操作架约3m高进行作业。因作业高度高，且监管困难风险极大；</w:t>
      </w:r>
    </w:p>
    <w:p w14:paraId="0A6EAF43">
      <w:pPr>
        <w:numPr>
          <w:ilvl w:val="0"/>
          <w:numId w:val="0"/>
        </w:numPr>
        <w:rPr>
          <w:rFonts w:hint="eastAsia" w:ascii="宋体" w:hAnsi="宋体" w:eastAsia="宋体" w:cs="宋体"/>
          <w:i w:val="0"/>
          <w:iCs w:val="0"/>
          <w:color w:val="000000"/>
          <w:kern w:val="0"/>
          <w:sz w:val="24"/>
          <w:szCs w:val="24"/>
          <w:u w:val="none"/>
          <w:lang w:val="en-US" w:eastAsia="zh-CN" w:bidi="ar"/>
        </w:rPr>
      </w:pPr>
      <w:r>
        <w:rPr>
          <w:sz w:val="24"/>
          <w:szCs w:val="24"/>
        </w:rPr>
        <w:drawing>
          <wp:inline distT="0" distB="0" distL="114300" distR="114300">
            <wp:extent cx="5036820" cy="14954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rcRect t="6262" b="19635"/>
                    <a:stretch>
                      <a:fillRect/>
                    </a:stretch>
                  </pic:blipFill>
                  <pic:spPr>
                    <a:xfrm>
                      <a:off x="0" y="0"/>
                      <a:ext cx="5036820" cy="1495425"/>
                    </a:xfrm>
                    <a:prstGeom prst="rect">
                      <a:avLst/>
                    </a:prstGeom>
                    <a:noFill/>
                    <a:ln>
                      <a:noFill/>
                    </a:ln>
                  </pic:spPr>
                </pic:pic>
              </a:graphicData>
            </a:graphic>
          </wp:inline>
        </w:drawing>
      </w:r>
    </w:p>
    <w:p w14:paraId="46430169">
      <w:pPr>
        <w:numPr>
          <w:ilvl w:val="0"/>
          <w:numId w:val="0"/>
        </w:numP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如在窗外侧遮光，则需上至库顶，库顶较为平整，便于作业，仅需考虑上下屋面的风险。②立体库北库如在窗内侧遮光，则需在货架18.6～22.2m处宇窗台之间搭设平台，在平台上作业，风险极大；如在窗外侧遮光，则可使用登高车作业，风险较小。</w:t>
      </w:r>
    </w:p>
    <w:p w14:paraId="606D3E8D">
      <w:pPr>
        <w:numPr>
          <w:ilvl w:val="0"/>
          <w:numId w:val="0"/>
        </w:numPr>
        <w:rPr>
          <w:rFonts w:hint="default" w:ascii="宋体" w:hAnsi="宋体" w:eastAsia="宋体" w:cs="宋体"/>
          <w:i w:val="0"/>
          <w:iCs w:val="0"/>
          <w:color w:val="000000"/>
          <w:kern w:val="0"/>
          <w:sz w:val="24"/>
          <w:szCs w:val="24"/>
          <w:u w:val="none"/>
          <w:lang w:val="en-US" w:eastAsia="zh-CN" w:bidi="ar"/>
        </w:rPr>
      </w:pPr>
      <w:r>
        <w:rPr>
          <w:sz w:val="24"/>
          <w:szCs w:val="24"/>
        </w:rPr>
        <w:drawing>
          <wp:inline distT="0" distB="0" distL="114300" distR="114300">
            <wp:extent cx="5273040" cy="21043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rcRect t="11689" b="10682"/>
                    <a:stretch>
                      <a:fillRect/>
                    </a:stretch>
                  </pic:blipFill>
                  <pic:spPr>
                    <a:xfrm>
                      <a:off x="0" y="0"/>
                      <a:ext cx="5273040" cy="2104390"/>
                    </a:xfrm>
                    <a:prstGeom prst="rect">
                      <a:avLst/>
                    </a:prstGeom>
                    <a:noFill/>
                    <a:ln>
                      <a:noFill/>
                    </a:ln>
                  </pic:spPr>
                </pic:pic>
              </a:graphicData>
            </a:graphic>
          </wp:inline>
        </w:drawing>
      </w:r>
    </w:p>
    <w:p w14:paraId="7A0F3386">
      <w:pPr>
        <w:rPr>
          <w:rFonts w:hint="default"/>
          <w:lang w:val="en-US" w:eastAsia="zh-CN"/>
        </w:rPr>
      </w:pPr>
      <w:r>
        <w:rPr>
          <w:rFonts w:hint="eastAsia"/>
          <w:sz w:val="24"/>
          <w:szCs w:val="24"/>
          <w:lang w:val="en-US" w:eastAsia="zh-CN"/>
        </w:rPr>
        <w:t>（4）连廊二和制糖车间作业高度在</w:t>
      </w:r>
      <w:r>
        <w:rPr>
          <w:rFonts w:hint="eastAsia" w:ascii="宋体" w:hAnsi="宋体" w:eastAsia="宋体" w:cs="宋体"/>
          <w:i w:val="0"/>
          <w:iCs w:val="0"/>
          <w:color w:val="000000"/>
          <w:kern w:val="0"/>
          <w:sz w:val="24"/>
          <w:szCs w:val="24"/>
          <w:u w:val="none"/>
          <w:lang w:val="en-US" w:eastAsia="zh-CN" w:bidi="ar"/>
        </w:rPr>
        <w:t>1.2～3.2m，安全风险较小。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BBCE7"/>
    <w:multiLevelType w:val="singleLevel"/>
    <w:tmpl w:val="8D2BBCE7"/>
    <w:lvl w:ilvl="0" w:tentative="0">
      <w:start w:val="1"/>
      <w:numFmt w:val="decimal"/>
      <w:suff w:val="nothing"/>
      <w:lvlText w:val="（%1）"/>
      <w:lvlJc w:val="left"/>
    </w:lvl>
  </w:abstractNum>
  <w:abstractNum w:abstractNumId="1">
    <w:nsid w:val="DE424FB0"/>
    <w:multiLevelType w:val="singleLevel"/>
    <w:tmpl w:val="DE424FB0"/>
    <w:lvl w:ilvl="0" w:tentative="0">
      <w:start w:val="1"/>
      <w:numFmt w:val="decimal"/>
      <w:lvlText w:val="(%1)"/>
      <w:lvlJc w:val="left"/>
      <w:pPr>
        <w:tabs>
          <w:tab w:val="left" w:pos="312"/>
        </w:tabs>
      </w:pPr>
    </w:lvl>
  </w:abstractNum>
  <w:abstractNum w:abstractNumId="2">
    <w:nsid w:val="2B8FDAFD"/>
    <w:multiLevelType w:val="singleLevel"/>
    <w:tmpl w:val="2B8FDAFD"/>
    <w:lvl w:ilvl="0" w:tentative="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lN2E5ODhlM2EyOWJmZTUwZmMyMzkwYmNlYjZkMGEifQ=="/>
  </w:docVars>
  <w:rsids>
    <w:rsidRoot w:val="7F8A0FD5"/>
    <w:rsid w:val="03116833"/>
    <w:rsid w:val="10262C63"/>
    <w:rsid w:val="112547C2"/>
    <w:rsid w:val="1BFA2E65"/>
    <w:rsid w:val="4A2016AA"/>
    <w:rsid w:val="524D4537"/>
    <w:rsid w:val="5F806221"/>
    <w:rsid w:val="67BD092C"/>
    <w:rsid w:val="6C1B1CA3"/>
    <w:rsid w:val="71325EE7"/>
    <w:rsid w:val="71A06D95"/>
    <w:rsid w:val="7F8A0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697</Words>
  <Characters>854</Characters>
  <Lines>0</Lines>
  <Paragraphs>0</Paragraphs>
  <TotalTime>0</TotalTime>
  <ScaleCrop>false</ScaleCrop>
  <LinksUpToDate>false</LinksUpToDate>
  <CharactersWithSpaces>854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2024-08-31T09:30:00Z</dcterms:created>
  <dc:creator>stop</dc:creator>
  <cp:lastModifiedBy>我不是一个双子座</cp:lastModifiedBy>
  <dcterms:modified xsi:type="dcterms:W3CDTF">2024-09-30T01:49:32Z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6545D6D4DBB34D48BB9226549DDC62E8_11</vt:lpwstr>
  </property>
</Properties>
</file>