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kinsoku/>
        <w:wordWrap/>
        <w:overflowPunct/>
        <w:topLinePunct w:val="0"/>
        <w:autoSpaceDE w:val="0"/>
        <w:autoSpaceDN w:val="0"/>
        <w:bidi w:val="0"/>
        <w:adjustRightInd/>
        <w:snapToGrid/>
        <w:spacing w:line="240" w:lineRule="auto"/>
        <w:jc w:val="center"/>
        <w:textAlignment w:val="auto"/>
        <w:rPr>
          <w:rFonts w:ascii="方正小标宋_GBK" w:hAnsi="宋体" w:eastAsia="方正小标宋_GBK" w:cs="宋体"/>
          <w:bCs/>
          <w:color w:val="000000"/>
          <w:sz w:val="32"/>
          <w:szCs w:val="32"/>
          <w:highlight w:val="none"/>
        </w:rPr>
      </w:pPr>
      <w:r>
        <w:rPr>
          <w:rFonts w:hint="eastAsia" w:ascii="方正小标宋_GBK" w:hAnsi="宋体" w:eastAsia="方正小标宋_GBK" w:cs="宋体"/>
          <w:bCs/>
          <w:color w:val="000000"/>
          <w:sz w:val="32"/>
          <w:szCs w:val="32"/>
          <w:highlight w:val="none"/>
        </w:rPr>
        <w:t>谈判采购公告</w:t>
      </w:r>
    </w:p>
    <w:p>
      <w:pPr>
        <w:kinsoku/>
        <w:wordWrap/>
        <w:overflowPunct/>
        <w:topLinePunct w:val="0"/>
        <w:autoSpaceDE w:val="0"/>
        <w:autoSpaceDN w:val="0"/>
        <w:bidi w:val="0"/>
        <w:adjustRightInd/>
        <w:snapToGrid/>
        <w:spacing w:line="240" w:lineRule="auto"/>
        <w:textAlignment w:val="auto"/>
        <w:rPr>
          <w:rFonts w:ascii="方正小标宋_GBK" w:hAnsi="宋体" w:eastAsia="方正小标宋_GBK" w:cs="宋体"/>
          <w:color w:val="000000"/>
          <w:sz w:val="32"/>
          <w:szCs w:val="32"/>
          <w:highlight w:val="none"/>
        </w:rPr>
      </w:pPr>
      <w:r>
        <w:rPr>
          <w:rFonts w:hint="eastAsia" w:ascii="方正小标宋_GBK" w:hAnsi="宋体" w:eastAsia="方正小标宋_GBK" w:cs="宋体"/>
          <w:color w:val="000000"/>
          <w:sz w:val="32"/>
          <w:szCs w:val="32"/>
          <w:highlight w:val="none"/>
        </w:rPr>
        <w:t xml:space="preserve">   </w:t>
      </w:r>
      <w:bookmarkStart w:id="18" w:name="_GoBack"/>
      <w:bookmarkEnd w:id="18"/>
    </w:p>
    <w:p>
      <w:pPr>
        <w:pStyle w:val="2"/>
        <w:keepNext w:val="0"/>
        <w:keepLines w:val="0"/>
        <w:pageBreakBefore w:val="0"/>
        <w:widowControl w:val="0"/>
        <w:numPr>
          <w:ilvl w:val="0"/>
          <w:numId w:val="0"/>
        </w:numPr>
        <w:kinsoku/>
        <w:wordWrap/>
        <w:overflowPunct/>
        <w:topLinePunct w:val="0"/>
        <w:bidi w:val="0"/>
        <w:adjustRightInd/>
        <w:snapToGrid/>
        <w:spacing w:before="0" w:after="0" w:line="240" w:lineRule="atLeast"/>
        <w:ind w:right="97" w:rightChars="46" w:firstLine="562" w:firstLineChars="200"/>
        <w:contextualSpacing/>
        <w:jc w:val="left"/>
        <w:textAlignment w:val="auto"/>
        <w:rPr>
          <w:rFonts w:ascii="仿宋_GB2312" w:hAnsi="宋体" w:eastAsia="仿宋_GB2312" w:cs="宋体"/>
          <w:color w:val="000000"/>
          <w:sz w:val="28"/>
          <w:szCs w:val="28"/>
          <w:highlight w:val="none"/>
          <w:u w:val="none"/>
        </w:rPr>
      </w:pPr>
      <w:r>
        <w:rPr>
          <w:rFonts w:hint="eastAsia" w:ascii="仿宋_GB2312" w:hAnsi="宋体" w:eastAsia="仿宋_GB2312" w:cs="宋体"/>
          <w:color w:val="000000"/>
          <w:sz w:val="28"/>
          <w:szCs w:val="28"/>
          <w:highlight w:val="none"/>
          <w:u w:val="none"/>
          <w:lang w:val="en-US" w:eastAsia="zh-CN"/>
        </w:rPr>
        <w:t>1.</w:t>
      </w:r>
      <w:r>
        <w:rPr>
          <w:rFonts w:hint="eastAsia" w:ascii="仿宋_GB2312" w:hAnsi="宋体" w:eastAsia="仿宋_GB2312" w:cs="宋体"/>
          <w:color w:val="000000"/>
          <w:sz w:val="28"/>
          <w:szCs w:val="28"/>
          <w:highlight w:val="none"/>
          <w:u w:val="none"/>
        </w:rPr>
        <w:t>采购条件</w:t>
      </w:r>
    </w:p>
    <w:p>
      <w:pPr>
        <w:keepNext w:val="0"/>
        <w:keepLines w:val="0"/>
        <w:pageBreakBefore w:val="0"/>
        <w:widowControl w:val="0"/>
        <w:kinsoku/>
        <w:wordWrap/>
        <w:overflowPunct/>
        <w:topLinePunct w:val="0"/>
        <w:bidi w:val="0"/>
        <w:adjustRightInd/>
        <w:snapToGrid/>
        <w:spacing w:line="240" w:lineRule="atLeast"/>
        <w:ind w:firstLine="560" w:firstLineChars="200"/>
        <w:jc w:val="left"/>
        <w:textAlignment w:val="auto"/>
        <w:rPr>
          <w:rFonts w:hint="eastAsia" w:ascii="仿宋GB2312" w:hAnsi="仿宋GB2312" w:eastAsia="仿宋GB2312" w:cs="仿宋GB2312"/>
          <w:sz w:val="28"/>
          <w:szCs w:val="28"/>
          <w:highlight w:val="none"/>
        </w:rPr>
      </w:pPr>
      <w:bookmarkStart w:id="0" w:name="_Toc6994"/>
      <w:r>
        <w:rPr>
          <w:rFonts w:hint="eastAsia" w:ascii="仿宋GB2312" w:hAnsi="仿宋GB2312" w:eastAsia="仿宋GB2312" w:cs="仿宋GB2312"/>
          <w:color w:val="000000"/>
          <w:sz w:val="28"/>
          <w:szCs w:val="28"/>
          <w:highlight w:val="none"/>
        </w:rPr>
        <w:t>本采购项目为</w:t>
      </w:r>
      <w:r>
        <w:rPr>
          <w:rFonts w:hint="eastAsia" w:ascii="仿宋GB2312" w:hAnsi="仿宋GB2312" w:eastAsia="仿宋GB2312" w:cs="仿宋GB2312"/>
          <w:sz w:val="28"/>
          <w:szCs w:val="28"/>
          <w:highlight w:val="none"/>
        </w:rPr>
        <w:t>中粮屯河番茄有限公司</w:t>
      </w:r>
      <w:r>
        <w:rPr>
          <w:rFonts w:hint="eastAsia" w:ascii="仿宋GB2312" w:hAnsi="仿宋GB2312" w:eastAsia="仿宋GB2312" w:cs="仿宋GB2312"/>
          <w:sz w:val="28"/>
          <w:szCs w:val="28"/>
          <w:highlight w:val="none"/>
          <w:lang w:eastAsia="zh-CN"/>
        </w:rPr>
        <w:t>2024-2025</w:t>
      </w:r>
      <w:r>
        <w:rPr>
          <w:rFonts w:hint="eastAsia" w:ascii="仿宋GB2312" w:hAnsi="仿宋GB2312" w:eastAsia="仿宋GB2312" w:cs="仿宋GB2312"/>
          <w:sz w:val="28"/>
          <w:szCs w:val="28"/>
          <w:highlight w:val="none"/>
        </w:rPr>
        <w:t>年度</w:t>
      </w:r>
      <w:r>
        <w:rPr>
          <w:rFonts w:hint="eastAsia" w:ascii="仿宋GB2312" w:hAnsi="仿宋GB2312" w:eastAsia="仿宋GB2312" w:cs="仿宋GB2312"/>
          <w:sz w:val="28"/>
          <w:szCs w:val="28"/>
          <w:highlight w:val="none"/>
          <w:lang w:val="en-US" w:eastAsia="zh-CN"/>
        </w:rPr>
        <w:t>贵阳</w:t>
      </w:r>
      <w:r>
        <w:rPr>
          <w:rFonts w:hint="eastAsia" w:ascii="仿宋GB2312" w:hAnsi="仿宋GB2312" w:eastAsia="仿宋GB2312" w:cs="仿宋GB2312"/>
          <w:sz w:val="28"/>
          <w:szCs w:val="28"/>
          <w:highlight w:val="none"/>
        </w:rPr>
        <w:t>区域仓配一体化业务项目</w:t>
      </w:r>
      <w:r>
        <w:rPr>
          <w:rFonts w:hint="eastAsia" w:ascii="仿宋GB2312" w:hAnsi="仿宋GB2312" w:eastAsia="仿宋GB2312" w:cs="仿宋GB2312"/>
          <w:sz w:val="28"/>
          <w:szCs w:val="28"/>
          <w:highlight w:val="none"/>
          <w:lang w:val="en-US" w:eastAsia="zh-CN"/>
        </w:rPr>
        <w:t>谈</w:t>
      </w:r>
      <w:r>
        <w:rPr>
          <w:rFonts w:hint="eastAsia" w:ascii="仿宋GB2312" w:hAnsi="仿宋GB2312" w:eastAsia="仿宋GB2312" w:cs="仿宋GB2312"/>
          <w:sz w:val="28"/>
          <w:szCs w:val="28"/>
          <w:highlight w:val="none"/>
        </w:rPr>
        <w:t>判采购，采购人为中粮屯河番茄有限公司。</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tLeast"/>
        <w:ind w:firstLine="562" w:firstLineChars="200"/>
        <w:contextualSpacing/>
        <w:textAlignment w:val="auto"/>
        <w:rPr>
          <w:rFonts w:hint="eastAsia" w:ascii="仿宋GB2312" w:hAnsi="仿宋GB2312" w:eastAsia="仿宋GB2312" w:cs="仿宋GB2312"/>
          <w:b/>
          <w:bCs/>
          <w:sz w:val="28"/>
          <w:szCs w:val="28"/>
          <w:highlight w:val="none"/>
        </w:rPr>
      </w:pPr>
      <w:r>
        <w:rPr>
          <w:rFonts w:hint="eastAsia" w:ascii="仿宋_GB2312" w:hAnsi="宋体" w:eastAsia="仿宋_GB2312" w:cs="宋体"/>
          <w:b/>
          <w:color w:val="000000"/>
          <w:sz w:val="28"/>
          <w:szCs w:val="28"/>
          <w:highlight w:val="none"/>
          <w:lang w:val="en-US" w:eastAsia="zh-CN"/>
        </w:rPr>
        <w:t>2.</w:t>
      </w:r>
      <w:r>
        <w:rPr>
          <w:rFonts w:hint="eastAsia" w:ascii="仿宋_GB2312" w:hAnsi="宋体" w:eastAsia="仿宋_GB2312" w:cs="宋体"/>
          <w:b/>
          <w:color w:val="000000"/>
          <w:sz w:val="28"/>
          <w:szCs w:val="28"/>
          <w:highlight w:val="none"/>
        </w:rPr>
        <w:t>项目名称：</w:t>
      </w:r>
      <w:r>
        <w:rPr>
          <w:rFonts w:hint="eastAsia" w:ascii="仿宋GB2312" w:hAnsi="仿宋GB2312" w:eastAsia="仿宋GB2312" w:cs="仿宋GB2312"/>
          <w:b/>
          <w:bCs/>
          <w:sz w:val="28"/>
          <w:szCs w:val="28"/>
          <w:highlight w:val="none"/>
        </w:rPr>
        <w:t>中粮屯河番茄有限公司</w:t>
      </w:r>
      <w:r>
        <w:rPr>
          <w:rFonts w:hint="eastAsia" w:ascii="仿宋GB2312" w:hAnsi="仿宋GB2312" w:eastAsia="仿宋GB2312" w:cs="仿宋GB2312"/>
          <w:b/>
          <w:bCs/>
          <w:sz w:val="28"/>
          <w:szCs w:val="28"/>
          <w:highlight w:val="none"/>
          <w:lang w:eastAsia="zh-CN"/>
        </w:rPr>
        <w:t>2024-2025</w:t>
      </w:r>
      <w:r>
        <w:rPr>
          <w:rFonts w:hint="eastAsia" w:ascii="仿宋GB2312" w:hAnsi="仿宋GB2312" w:eastAsia="仿宋GB2312" w:cs="仿宋GB2312"/>
          <w:b/>
          <w:bCs/>
          <w:sz w:val="28"/>
          <w:szCs w:val="28"/>
          <w:highlight w:val="none"/>
        </w:rPr>
        <w:t>年度</w:t>
      </w:r>
      <w:r>
        <w:rPr>
          <w:rFonts w:hint="eastAsia" w:ascii="仿宋GB2312" w:hAnsi="仿宋GB2312" w:eastAsia="仿宋GB2312" w:cs="仿宋GB2312"/>
          <w:b/>
          <w:bCs/>
          <w:sz w:val="28"/>
          <w:szCs w:val="28"/>
          <w:highlight w:val="none"/>
          <w:lang w:val="en-US" w:eastAsia="zh-CN"/>
        </w:rPr>
        <w:t>贵阳</w:t>
      </w:r>
      <w:r>
        <w:rPr>
          <w:rFonts w:hint="eastAsia" w:ascii="仿宋GB2312" w:hAnsi="仿宋GB2312" w:eastAsia="仿宋GB2312" w:cs="仿宋GB2312"/>
          <w:b/>
          <w:bCs/>
          <w:sz w:val="28"/>
          <w:szCs w:val="28"/>
          <w:highlight w:val="none"/>
          <w:lang w:eastAsia="zh-CN"/>
        </w:rPr>
        <w:t>区域仓配一体化项目</w:t>
      </w:r>
      <w:r>
        <w:rPr>
          <w:rFonts w:hint="eastAsia" w:ascii="仿宋GB2312" w:hAnsi="仿宋GB2312" w:eastAsia="仿宋GB2312" w:cs="仿宋GB2312"/>
          <w:b/>
          <w:bCs/>
          <w:sz w:val="28"/>
          <w:szCs w:val="28"/>
          <w:highlight w:val="none"/>
        </w:rPr>
        <w:t>谈判采购</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tLeast"/>
        <w:ind w:left="567" w:leftChars="0"/>
        <w:contextualSpacing/>
        <w:textAlignment w:val="auto"/>
        <w:rPr>
          <w:rFonts w:hint="eastAsia" w:ascii="仿宋_GB2312" w:hAnsi="宋体" w:eastAsia="仿宋_GB2312" w:cs="宋体"/>
          <w:b/>
          <w:color w:val="000000"/>
          <w:sz w:val="28"/>
          <w:szCs w:val="28"/>
          <w:highlight w:val="none"/>
          <w:lang w:val="en-US" w:eastAsia="zh-CN"/>
        </w:rPr>
      </w:pPr>
      <w:r>
        <w:rPr>
          <w:rFonts w:hint="eastAsia" w:ascii="仿宋_GB2312" w:hAnsi="宋体" w:eastAsia="仿宋_GB2312" w:cs="宋体"/>
          <w:b/>
          <w:color w:val="000000"/>
          <w:sz w:val="28"/>
          <w:szCs w:val="28"/>
          <w:highlight w:val="none"/>
        </w:rPr>
        <w:t>3. 项目概况</w:t>
      </w:r>
      <w:bookmarkEnd w:id="0"/>
      <w:r>
        <w:rPr>
          <w:rFonts w:hint="eastAsia" w:ascii="仿宋_GB2312" w:hAnsi="宋体" w:eastAsia="仿宋_GB2312" w:cs="宋体"/>
          <w:b/>
          <w:color w:val="000000"/>
          <w:sz w:val="28"/>
          <w:szCs w:val="28"/>
          <w:highlight w:val="none"/>
          <w:lang w:eastAsia="zh-CN"/>
        </w:rPr>
        <w:t>和采购范围</w:t>
      </w:r>
    </w:p>
    <w:p>
      <w:pPr>
        <w:keepNext w:val="0"/>
        <w:keepLines w:val="0"/>
        <w:pageBreakBefore w:val="0"/>
        <w:widowControl w:val="0"/>
        <w:kinsoku/>
        <w:wordWrap/>
        <w:overflowPunct/>
        <w:topLinePunct w:val="0"/>
        <w:bidi w:val="0"/>
        <w:adjustRightInd/>
        <w:snapToGrid/>
        <w:spacing w:line="240" w:lineRule="atLeast"/>
        <w:ind w:firstLine="560" w:firstLineChars="200"/>
        <w:textAlignment w:val="auto"/>
        <w:rPr>
          <w:rFonts w:hint="eastAsia" w:ascii="仿宋GB2312" w:hAnsi="仿宋GB2312" w:eastAsia="仿宋GB2312" w:cs="仿宋GB2312"/>
          <w:sz w:val="28"/>
          <w:szCs w:val="28"/>
          <w:highlight w:val="none"/>
          <w:lang w:val="en-US" w:eastAsia="zh-CN"/>
        </w:rPr>
      </w:pPr>
      <w:r>
        <w:rPr>
          <w:rFonts w:hint="eastAsia" w:ascii="仿宋GB2312" w:hAnsi="仿宋GB2312" w:eastAsia="仿宋GB2312" w:cs="仿宋GB2312"/>
          <w:sz w:val="28"/>
          <w:szCs w:val="28"/>
          <w:highlight w:val="none"/>
          <w:lang w:val="en-US" w:eastAsia="zh-CN"/>
        </w:rPr>
        <w:t>2024年11月至2025年7月我公司预计贵阳区域大、小包装番茄酱到货量初步预估约为0.3万吨，具体数量以实际到货为准。</w:t>
      </w:r>
    </w:p>
    <w:p>
      <w:pPr>
        <w:keepNext w:val="0"/>
        <w:keepLines w:val="0"/>
        <w:pageBreakBefore w:val="0"/>
        <w:widowControl w:val="0"/>
        <w:kinsoku/>
        <w:wordWrap/>
        <w:overflowPunct/>
        <w:topLinePunct w:val="0"/>
        <w:bidi w:val="0"/>
        <w:adjustRightInd/>
        <w:snapToGrid/>
        <w:spacing w:line="240" w:lineRule="atLeast"/>
        <w:ind w:firstLine="562" w:firstLineChars="200"/>
        <w:textAlignment w:val="auto"/>
        <w:rPr>
          <w:rFonts w:hint="eastAsia" w:ascii="仿宋GB2312" w:hAnsi="仿宋GB2312" w:eastAsia="仿宋GB2312" w:cs="仿宋GB2312"/>
          <w:b/>
          <w:bCs/>
          <w:sz w:val="28"/>
          <w:szCs w:val="28"/>
          <w:highlight w:val="none"/>
          <w:lang w:val="en-US" w:eastAsia="zh-CN"/>
        </w:rPr>
      </w:pPr>
      <w:r>
        <w:rPr>
          <w:rFonts w:hint="eastAsia" w:ascii="仿宋GB2312" w:hAnsi="仿宋GB2312" w:eastAsia="仿宋GB2312" w:cs="仿宋GB2312"/>
          <w:b/>
          <w:bCs/>
          <w:sz w:val="28"/>
          <w:szCs w:val="28"/>
          <w:highlight w:val="none"/>
          <w:lang w:val="en-US" w:eastAsia="zh-CN"/>
        </w:rPr>
        <w:t>3.1采购范围：</w:t>
      </w:r>
      <w:r>
        <w:rPr>
          <w:rFonts w:hint="eastAsia" w:ascii="仿宋GB2312" w:hAnsi="仿宋GB2312" w:eastAsia="仿宋GB2312" w:cs="仿宋GB2312"/>
          <w:b w:val="0"/>
          <w:bCs w:val="0"/>
          <w:sz w:val="28"/>
          <w:szCs w:val="28"/>
          <w:highlight w:val="none"/>
          <w:lang w:val="en-US" w:eastAsia="zh-CN"/>
        </w:rPr>
        <w:t>贵阳区域</w:t>
      </w:r>
    </w:p>
    <w:p>
      <w:pPr>
        <w:keepNext w:val="0"/>
        <w:keepLines w:val="0"/>
        <w:pageBreakBefore w:val="0"/>
        <w:widowControl w:val="0"/>
        <w:kinsoku/>
        <w:wordWrap/>
        <w:overflowPunct/>
        <w:topLinePunct w:val="0"/>
        <w:bidi w:val="0"/>
        <w:adjustRightInd/>
        <w:snapToGrid/>
        <w:spacing w:line="240" w:lineRule="atLeast"/>
        <w:ind w:firstLine="562" w:firstLineChars="200"/>
        <w:textAlignment w:val="auto"/>
        <w:rPr>
          <w:rFonts w:hint="eastAsia" w:ascii="仿宋GB2312" w:hAnsi="仿宋GB2312" w:eastAsia="仿宋GB2312" w:cs="仿宋GB2312"/>
          <w:sz w:val="28"/>
          <w:szCs w:val="28"/>
          <w:highlight w:val="none"/>
          <w:lang w:val="en-US" w:eastAsia="zh-CN"/>
        </w:rPr>
      </w:pPr>
      <w:r>
        <w:rPr>
          <w:rFonts w:hint="eastAsia" w:ascii="仿宋GB2312" w:hAnsi="仿宋GB2312" w:eastAsia="仿宋GB2312" w:cs="仿宋GB2312"/>
          <w:b/>
          <w:bCs/>
          <w:sz w:val="28"/>
          <w:szCs w:val="28"/>
          <w:highlight w:val="none"/>
          <w:lang w:val="en-US" w:eastAsia="zh-CN"/>
        </w:rPr>
        <w:t>3.2服务需求：</w:t>
      </w:r>
      <w:r>
        <w:rPr>
          <w:rFonts w:hint="eastAsia" w:ascii="仿宋GB2312" w:hAnsi="仿宋GB2312" w:eastAsia="仿宋GB2312" w:cs="仿宋GB2312"/>
          <w:sz w:val="28"/>
          <w:szCs w:val="28"/>
          <w:highlight w:val="none"/>
          <w:lang w:val="en-US" w:eastAsia="zh-CN"/>
        </w:rPr>
        <w:t>货物铁路/汽运到达卸车起，经仓储至出库装车、配送至指定目的地客户、完成货物按单据交接全程物流服务；包括铁路/汽运到达、卸车、人工/机力装卸、分批次、入库、码垛、卫生清理（包括桶盖、桶身、吨箱箱体、托盘卫生）、备货、扫码、抄码单、拍照、出库装车、送至指定客户目的地等相关作业环节。</w:t>
      </w:r>
    </w:p>
    <w:p>
      <w:pPr>
        <w:keepNext w:val="0"/>
        <w:keepLines w:val="0"/>
        <w:pageBreakBefore w:val="0"/>
        <w:widowControl w:val="0"/>
        <w:kinsoku/>
        <w:wordWrap/>
        <w:overflowPunct/>
        <w:topLinePunct w:val="0"/>
        <w:autoSpaceDE w:val="0"/>
        <w:autoSpaceDN w:val="0"/>
        <w:bidi w:val="0"/>
        <w:adjustRightInd/>
        <w:snapToGrid/>
        <w:spacing w:line="240" w:lineRule="atLeast"/>
        <w:ind w:left="-31" w:leftChars="-15" w:firstLine="566"/>
        <w:textAlignment w:val="auto"/>
        <w:rPr>
          <w:rFonts w:hint="eastAsia" w:ascii="仿宋_GB2312" w:hAnsi="宋体" w:eastAsia="仿宋_GB2312" w:cs="宋体"/>
          <w:color w:val="FF0000"/>
          <w:sz w:val="28"/>
          <w:szCs w:val="28"/>
          <w:highlight w:val="none"/>
          <w:lang w:bidi="zh-CN"/>
        </w:rPr>
      </w:pPr>
      <w:r>
        <w:rPr>
          <w:rFonts w:hint="eastAsia" w:ascii="仿宋_GB2312" w:hAnsi="宋体" w:eastAsia="仿宋_GB2312" w:cs="宋体"/>
          <w:b/>
          <w:bCs/>
          <w:color w:val="000000"/>
          <w:sz w:val="28"/>
          <w:szCs w:val="28"/>
          <w:highlight w:val="none"/>
          <w:lang w:bidi="zh-CN"/>
        </w:rPr>
        <w:t>3.</w:t>
      </w:r>
      <w:r>
        <w:rPr>
          <w:rFonts w:hint="eastAsia" w:ascii="仿宋_GB2312" w:hAnsi="宋体" w:eastAsia="仿宋_GB2312" w:cs="宋体"/>
          <w:b/>
          <w:bCs/>
          <w:color w:val="000000"/>
          <w:sz w:val="28"/>
          <w:szCs w:val="28"/>
          <w:highlight w:val="none"/>
          <w:lang w:val="en-US" w:bidi="zh-CN"/>
        </w:rPr>
        <w:t>3</w:t>
      </w:r>
      <w:r>
        <w:rPr>
          <w:rFonts w:hint="eastAsia" w:ascii="仿宋_GB2312" w:hAnsi="宋体" w:eastAsia="仿宋_GB2312" w:cs="宋体"/>
          <w:b/>
          <w:bCs/>
          <w:color w:val="000000"/>
          <w:sz w:val="28"/>
          <w:szCs w:val="28"/>
          <w:highlight w:val="none"/>
          <w:lang w:bidi="zh-CN"/>
        </w:rPr>
        <w:t>服务时间：</w:t>
      </w:r>
      <w:r>
        <w:rPr>
          <w:rFonts w:hint="eastAsia" w:ascii="仿宋GB2312" w:hAnsi="仿宋GB2312" w:eastAsia="仿宋GB2312" w:cs="仿宋GB2312"/>
          <w:kern w:val="2"/>
          <w:sz w:val="28"/>
          <w:szCs w:val="28"/>
          <w:highlight w:val="none"/>
          <w:lang w:val="en-US" w:eastAsia="zh-CN" w:bidi="ar-SA"/>
        </w:rPr>
        <w:t>2024年11月1日至2025年7月31日</w:t>
      </w:r>
      <w:r>
        <w:rPr>
          <w:rFonts w:hint="eastAsia" w:ascii="仿宋_GB2312" w:hAnsi="宋体" w:eastAsia="仿宋_GB2312" w:cs="宋体"/>
          <w:color w:val="FF0000"/>
          <w:sz w:val="28"/>
          <w:szCs w:val="28"/>
          <w:highlight w:val="none"/>
          <w:lang w:bidi="zh-CN"/>
        </w:rPr>
        <w:t xml:space="preserve"> </w:t>
      </w:r>
    </w:p>
    <w:p>
      <w:pPr>
        <w:keepNext w:val="0"/>
        <w:keepLines w:val="0"/>
        <w:pageBreakBefore w:val="0"/>
        <w:widowControl w:val="0"/>
        <w:kinsoku/>
        <w:wordWrap/>
        <w:overflowPunct/>
        <w:topLinePunct w:val="0"/>
        <w:autoSpaceDE w:val="0"/>
        <w:autoSpaceDN w:val="0"/>
        <w:bidi w:val="0"/>
        <w:adjustRightInd/>
        <w:snapToGrid/>
        <w:spacing w:line="240" w:lineRule="atLeast"/>
        <w:ind w:left="-31" w:leftChars="-15" w:firstLine="566"/>
        <w:textAlignment w:val="auto"/>
        <w:rPr>
          <w:rFonts w:hint="eastAsia" w:ascii="仿宋_GB2312" w:hAnsi="宋体" w:eastAsia="仿宋_GB2312" w:cs="宋体"/>
          <w:iCs/>
          <w:sz w:val="28"/>
          <w:szCs w:val="28"/>
          <w:highlight w:val="none"/>
          <w:u w:val="none" w:color="auto"/>
        </w:rPr>
      </w:pPr>
      <w:r>
        <w:rPr>
          <w:rFonts w:hint="eastAsia" w:ascii="仿宋_GB2312" w:eastAsia="仿宋_GB2312"/>
          <w:b/>
          <w:bCs/>
          <w:sz w:val="28"/>
          <w:szCs w:val="28"/>
          <w:highlight w:val="none"/>
          <w:lang w:bidi="zh-CN"/>
        </w:rPr>
        <w:t>3.</w:t>
      </w:r>
      <w:r>
        <w:rPr>
          <w:rFonts w:hint="eastAsia" w:ascii="仿宋_GB2312" w:eastAsia="仿宋_GB2312"/>
          <w:b/>
          <w:bCs/>
          <w:sz w:val="28"/>
          <w:szCs w:val="28"/>
          <w:highlight w:val="none"/>
          <w:lang w:val="en-US" w:bidi="zh-CN"/>
        </w:rPr>
        <w:t>4</w:t>
      </w:r>
      <w:r>
        <w:rPr>
          <w:rFonts w:hint="eastAsia" w:ascii="仿宋_GB2312" w:eastAsia="仿宋_GB2312"/>
          <w:b/>
          <w:bCs/>
          <w:sz w:val="28"/>
          <w:szCs w:val="28"/>
          <w:highlight w:val="none"/>
          <w:lang w:bidi="zh-CN"/>
        </w:rPr>
        <w:t>采购方式：</w:t>
      </w:r>
      <w:r>
        <w:rPr>
          <w:rFonts w:hint="eastAsia" w:ascii="仿宋_GB2312" w:hAnsi="宋体" w:eastAsia="仿宋_GB2312" w:cs="宋体"/>
          <w:iCs/>
          <w:sz w:val="28"/>
          <w:szCs w:val="28"/>
          <w:highlight w:val="none"/>
          <w:u w:val="none" w:color="auto"/>
        </w:rPr>
        <w:t>谈判采购</w:t>
      </w:r>
    </w:p>
    <w:p>
      <w:pPr>
        <w:keepNext w:val="0"/>
        <w:keepLines w:val="0"/>
        <w:pageBreakBefore w:val="0"/>
        <w:widowControl w:val="0"/>
        <w:kinsoku/>
        <w:wordWrap/>
        <w:overflowPunct/>
        <w:topLinePunct w:val="0"/>
        <w:autoSpaceDE w:val="0"/>
        <w:autoSpaceDN w:val="0"/>
        <w:bidi w:val="0"/>
        <w:adjustRightInd/>
        <w:snapToGrid/>
        <w:spacing w:line="240" w:lineRule="atLeast"/>
        <w:ind w:left="-31" w:leftChars="-15" w:firstLine="566"/>
        <w:textAlignment w:val="auto"/>
        <w:rPr>
          <w:rFonts w:hint="eastAsia" w:ascii="仿宋GB2312" w:hAnsi="仿宋GB2312" w:eastAsia="仿宋GB2312" w:cs="仿宋GB2312"/>
          <w:b/>
          <w:bCs/>
          <w:color w:val="auto"/>
          <w:kern w:val="2"/>
          <w:sz w:val="28"/>
          <w:szCs w:val="28"/>
          <w:highlight w:val="none"/>
          <w:u w:val="none"/>
          <w:lang w:val="en-US" w:eastAsia="zh-CN" w:bidi="ar-SA"/>
        </w:rPr>
      </w:pPr>
      <w:r>
        <w:rPr>
          <w:rFonts w:hint="eastAsia" w:ascii="仿宋GB2312" w:hAnsi="仿宋GB2312" w:eastAsia="仿宋GB2312" w:cs="仿宋GB2312"/>
          <w:b/>
          <w:bCs/>
          <w:color w:val="auto"/>
          <w:kern w:val="2"/>
          <w:sz w:val="28"/>
          <w:szCs w:val="28"/>
          <w:highlight w:val="none"/>
          <w:u w:val="none"/>
          <w:lang w:val="en-US" w:eastAsia="zh-CN" w:bidi="ar-SA"/>
        </w:rPr>
        <w:t>3.5保证金缴纳以及账户信息</w:t>
      </w:r>
    </w:p>
    <w:p>
      <w:pPr>
        <w:keepNext w:val="0"/>
        <w:keepLines w:val="0"/>
        <w:pageBreakBefore w:val="0"/>
        <w:widowControl w:val="0"/>
        <w:kinsoku/>
        <w:wordWrap/>
        <w:overflowPunct/>
        <w:topLinePunct w:val="0"/>
        <w:bidi w:val="0"/>
        <w:adjustRightInd/>
        <w:snapToGrid/>
        <w:spacing w:line="240" w:lineRule="atLeast"/>
        <w:ind w:left="-31" w:leftChars="-15" w:firstLine="566"/>
        <w:contextualSpacing/>
        <w:textAlignment w:val="auto"/>
        <w:rPr>
          <w:rFonts w:hint="eastAsia" w:ascii="仿宋GB2312" w:hAnsi="仿宋GB2312" w:eastAsia="仿宋GB2312" w:cs="仿宋GB2312"/>
          <w:color w:val="000000"/>
          <w:sz w:val="28"/>
          <w:szCs w:val="28"/>
          <w:highlight w:val="none"/>
          <w:lang w:eastAsia="zh-CN"/>
        </w:rPr>
      </w:pPr>
      <w:r>
        <w:rPr>
          <w:rFonts w:hint="eastAsia" w:ascii="仿宋GB2312" w:hAnsi="仿宋GB2312" w:eastAsia="仿宋GB2312" w:cs="仿宋GB2312"/>
          <w:color w:val="000000"/>
          <w:sz w:val="28"/>
          <w:szCs w:val="28"/>
          <w:highlight w:val="none"/>
          <w:lang w:eastAsia="zh-CN"/>
        </w:rPr>
        <w:t>2024</w:t>
      </w:r>
      <w:r>
        <w:rPr>
          <w:rFonts w:hint="eastAsia" w:ascii="仿宋GB2312" w:hAnsi="仿宋GB2312" w:eastAsia="仿宋GB2312" w:cs="仿宋GB2312"/>
          <w:color w:val="000000"/>
          <w:sz w:val="28"/>
          <w:szCs w:val="28"/>
          <w:highlight w:val="none"/>
        </w:rPr>
        <w:t>年</w:t>
      </w:r>
      <w:r>
        <w:rPr>
          <w:rFonts w:hint="eastAsia" w:ascii="仿宋GB2312" w:hAnsi="仿宋GB2312" w:eastAsia="仿宋GB2312" w:cs="仿宋GB2312"/>
          <w:color w:val="000000"/>
          <w:sz w:val="28"/>
          <w:szCs w:val="28"/>
          <w:highlight w:val="none"/>
          <w:lang w:val="en-US" w:eastAsia="zh-CN"/>
        </w:rPr>
        <w:t>10</w:t>
      </w:r>
      <w:r>
        <w:rPr>
          <w:rFonts w:hint="eastAsia" w:ascii="仿宋GB2312" w:hAnsi="仿宋GB2312" w:eastAsia="仿宋GB2312" w:cs="仿宋GB2312"/>
          <w:color w:val="000000"/>
          <w:sz w:val="28"/>
          <w:szCs w:val="28"/>
          <w:highlight w:val="none"/>
        </w:rPr>
        <w:t>月</w:t>
      </w:r>
      <w:r>
        <w:rPr>
          <w:rFonts w:hint="eastAsia" w:ascii="仿宋GB2312" w:hAnsi="仿宋GB2312" w:eastAsia="仿宋GB2312" w:cs="仿宋GB2312"/>
          <w:color w:val="000000"/>
          <w:sz w:val="28"/>
          <w:szCs w:val="28"/>
          <w:highlight w:val="none"/>
          <w:lang w:val="en-US" w:eastAsia="zh-CN"/>
        </w:rPr>
        <w:t>22</w:t>
      </w:r>
      <w:r>
        <w:rPr>
          <w:rFonts w:hint="eastAsia" w:ascii="仿宋GB2312" w:hAnsi="仿宋GB2312" w:eastAsia="仿宋GB2312" w:cs="仿宋GB2312"/>
          <w:color w:val="000000"/>
          <w:sz w:val="28"/>
          <w:szCs w:val="28"/>
          <w:highlight w:val="none"/>
        </w:rPr>
        <w:t>日</w:t>
      </w:r>
      <w:r>
        <w:rPr>
          <w:rFonts w:hint="eastAsia" w:ascii="仿宋GB2312" w:hAnsi="仿宋GB2312" w:eastAsia="仿宋GB2312" w:cs="仿宋GB2312"/>
          <w:color w:val="000000"/>
          <w:sz w:val="28"/>
          <w:szCs w:val="28"/>
          <w:highlight w:val="none"/>
          <w:lang w:val="en-US" w:eastAsia="zh-CN"/>
        </w:rPr>
        <w:t>9</w:t>
      </w:r>
      <w:r>
        <w:rPr>
          <w:rFonts w:hint="eastAsia" w:ascii="仿宋GB2312" w:hAnsi="仿宋GB2312" w:eastAsia="仿宋GB2312" w:cs="仿宋GB2312"/>
          <w:color w:val="000000"/>
          <w:sz w:val="28"/>
          <w:szCs w:val="28"/>
          <w:highlight w:val="none"/>
        </w:rPr>
        <w:t>:00前交纳3万元（叁万元整）</w:t>
      </w:r>
      <w:r>
        <w:rPr>
          <w:rFonts w:hint="eastAsia" w:ascii="仿宋GB2312" w:hAnsi="仿宋GB2312" w:eastAsia="仿宋GB2312" w:cs="仿宋GB2312"/>
          <w:color w:val="000000"/>
          <w:sz w:val="28"/>
          <w:szCs w:val="28"/>
          <w:highlight w:val="none"/>
          <w:lang w:val="en-US" w:eastAsia="zh-CN"/>
        </w:rPr>
        <w:t>物流服务采购意向</w:t>
      </w:r>
      <w:r>
        <w:rPr>
          <w:rFonts w:hint="eastAsia" w:ascii="仿宋GB2312" w:hAnsi="仿宋GB2312" w:eastAsia="仿宋GB2312" w:cs="仿宋GB2312"/>
          <w:color w:val="000000"/>
          <w:sz w:val="28"/>
          <w:szCs w:val="28"/>
          <w:highlight w:val="none"/>
        </w:rPr>
        <w:t>保证金是物流供应商参与评选的前提条件，请供应商严格按照本次谈判文件要求截至时间上传资料、及时报价。</w:t>
      </w:r>
      <w:r>
        <w:rPr>
          <w:rFonts w:hint="eastAsia" w:ascii="仿宋GB2312" w:hAnsi="仿宋GB2312" w:eastAsia="仿宋GB2312" w:cs="仿宋GB2312"/>
          <w:color w:val="000000"/>
          <w:sz w:val="28"/>
          <w:szCs w:val="28"/>
          <w:highlight w:val="none"/>
          <w:lang w:val="en-US" w:eastAsia="zh-CN"/>
        </w:rPr>
        <w:t>物流服务采购意向</w:t>
      </w:r>
      <w:r>
        <w:rPr>
          <w:rFonts w:hint="eastAsia" w:ascii="仿宋GB2312" w:hAnsi="仿宋GB2312" w:eastAsia="仿宋GB2312" w:cs="仿宋GB2312"/>
          <w:color w:val="000000"/>
          <w:sz w:val="28"/>
          <w:szCs w:val="28"/>
          <w:highlight w:val="none"/>
        </w:rPr>
        <w:t>保证金直接</w:t>
      </w:r>
      <w:r>
        <w:rPr>
          <w:rFonts w:hint="eastAsia" w:ascii="仿宋GB2312" w:hAnsi="仿宋GB2312" w:eastAsia="仿宋GB2312" w:cs="仿宋GB2312"/>
          <w:color w:val="000000"/>
          <w:sz w:val="28"/>
          <w:szCs w:val="28"/>
          <w:highlight w:val="none"/>
          <w:lang w:val="en-US" w:eastAsia="zh-CN"/>
        </w:rPr>
        <w:t>缴纳</w:t>
      </w:r>
      <w:r>
        <w:rPr>
          <w:rFonts w:hint="eastAsia" w:ascii="仿宋GB2312" w:hAnsi="仿宋GB2312" w:eastAsia="仿宋GB2312" w:cs="仿宋GB2312"/>
          <w:color w:val="000000"/>
          <w:sz w:val="28"/>
          <w:szCs w:val="28"/>
          <w:highlight w:val="none"/>
        </w:rPr>
        <w:t>至中粮屯河番茄有限</w:t>
      </w:r>
      <w:r>
        <w:rPr>
          <w:rFonts w:hint="eastAsia" w:ascii="仿宋GB2312" w:hAnsi="仿宋GB2312" w:eastAsia="仿宋GB2312" w:cs="仿宋GB2312"/>
          <w:color w:val="000000"/>
          <w:sz w:val="28"/>
          <w:szCs w:val="28"/>
          <w:highlight w:val="none"/>
          <w:lang w:val="en-US" w:eastAsia="zh-CN"/>
        </w:rPr>
        <w:t>工商指定</w:t>
      </w:r>
      <w:r>
        <w:rPr>
          <w:rFonts w:hint="eastAsia" w:ascii="仿宋GB2312" w:hAnsi="仿宋GB2312" w:eastAsia="仿宋GB2312" w:cs="仿宋GB2312"/>
          <w:color w:val="000000"/>
          <w:sz w:val="28"/>
          <w:szCs w:val="28"/>
          <w:highlight w:val="none"/>
        </w:rPr>
        <w:t>账户，汇款摘要或者用途需要备注：</w:t>
      </w:r>
      <w:r>
        <w:rPr>
          <w:rFonts w:hint="eastAsia" w:ascii="仿宋GB2312" w:hAnsi="仿宋GB2312" w:eastAsia="仿宋GB2312" w:cs="仿宋GB2312"/>
          <w:b/>
          <w:bCs/>
          <w:color w:val="000000"/>
          <w:sz w:val="28"/>
          <w:szCs w:val="28"/>
          <w:highlight w:val="none"/>
          <w:lang w:eastAsia="zh-CN"/>
        </w:rPr>
        <w:t>贵阳</w:t>
      </w:r>
      <w:r>
        <w:rPr>
          <w:rFonts w:hint="eastAsia" w:ascii="仿宋GB2312" w:hAnsi="仿宋GB2312" w:eastAsia="仿宋GB2312" w:cs="仿宋GB2312"/>
          <w:b/>
          <w:bCs/>
          <w:color w:val="000000"/>
          <w:sz w:val="28"/>
          <w:szCs w:val="28"/>
          <w:highlight w:val="none"/>
        </w:rPr>
        <w:t>仓储项目</w:t>
      </w:r>
      <w:r>
        <w:rPr>
          <w:rFonts w:hint="eastAsia" w:ascii="仿宋GB2312" w:hAnsi="仿宋GB2312" w:eastAsia="仿宋GB2312" w:cs="仿宋GB2312"/>
          <w:b/>
          <w:bCs/>
          <w:color w:val="000000"/>
          <w:sz w:val="28"/>
          <w:szCs w:val="28"/>
          <w:highlight w:val="none"/>
          <w:lang w:val="en-US" w:eastAsia="zh-CN"/>
        </w:rPr>
        <w:t>物流服务采购意向</w:t>
      </w:r>
      <w:r>
        <w:rPr>
          <w:rFonts w:hint="eastAsia" w:ascii="仿宋GB2312" w:hAnsi="仿宋GB2312" w:eastAsia="仿宋GB2312" w:cs="仿宋GB2312"/>
          <w:b/>
          <w:bCs/>
          <w:color w:val="000000"/>
          <w:sz w:val="28"/>
          <w:szCs w:val="28"/>
          <w:highlight w:val="none"/>
        </w:rPr>
        <w:t>保证金</w:t>
      </w:r>
      <w:r>
        <w:rPr>
          <w:rFonts w:hint="eastAsia" w:ascii="仿宋GB2312" w:hAnsi="仿宋GB2312" w:eastAsia="仿宋GB2312" w:cs="仿宋GB2312"/>
          <w:color w:val="000000"/>
          <w:sz w:val="28"/>
          <w:szCs w:val="28"/>
          <w:highlight w:val="none"/>
        </w:rPr>
        <w:t>。供应商如</w:t>
      </w:r>
      <w:r>
        <w:rPr>
          <w:rFonts w:hint="eastAsia" w:ascii="仿宋GB2312" w:hAnsi="仿宋GB2312" w:eastAsia="仿宋GB2312" w:cs="仿宋GB2312"/>
          <w:color w:val="000000"/>
          <w:sz w:val="28"/>
          <w:szCs w:val="28"/>
          <w:highlight w:val="none"/>
          <w:lang w:val="en-US" w:eastAsia="zh-CN"/>
        </w:rPr>
        <w:t>拟定此次项目供应商</w:t>
      </w:r>
      <w:r>
        <w:rPr>
          <w:rFonts w:hint="eastAsia" w:ascii="仿宋GB2312" w:hAnsi="仿宋GB2312" w:eastAsia="仿宋GB2312" w:cs="仿宋GB2312"/>
          <w:color w:val="000000"/>
          <w:sz w:val="28"/>
          <w:szCs w:val="28"/>
          <w:highlight w:val="none"/>
        </w:rPr>
        <w:t>后</w:t>
      </w:r>
      <w:r>
        <w:rPr>
          <w:rFonts w:hint="eastAsia" w:ascii="仿宋GB2312" w:hAnsi="仿宋GB2312" w:eastAsia="仿宋GB2312" w:cs="仿宋GB2312"/>
          <w:color w:val="000000"/>
          <w:sz w:val="28"/>
          <w:szCs w:val="28"/>
          <w:highlight w:val="none"/>
          <w:lang w:eastAsia="zh-CN"/>
        </w:rPr>
        <w:t>，</w:t>
      </w:r>
      <w:r>
        <w:rPr>
          <w:rFonts w:hint="eastAsia" w:ascii="仿宋GB2312" w:hAnsi="仿宋GB2312" w:eastAsia="仿宋GB2312" w:cs="仿宋GB2312"/>
          <w:color w:val="000000"/>
          <w:sz w:val="28"/>
          <w:szCs w:val="28"/>
          <w:highlight w:val="none"/>
        </w:rPr>
        <w:t>其交纳的</w:t>
      </w:r>
      <w:r>
        <w:rPr>
          <w:rFonts w:hint="eastAsia" w:ascii="仿宋GB2312" w:hAnsi="仿宋GB2312" w:eastAsia="仿宋GB2312" w:cs="仿宋GB2312"/>
          <w:color w:val="000000"/>
          <w:sz w:val="28"/>
          <w:szCs w:val="28"/>
          <w:highlight w:val="none"/>
          <w:lang w:val="en-US" w:eastAsia="zh-CN"/>
        </w:rPr>
        <w:t>物流服务采购意向</w:t>
      </w:r>
      <w:r>
        <w:rPr>
          <w:rFonts w:hint="eastAsia" w:ascii="仿宋GB2312" w:hAnsi="仿宋GB2312" w:eastAsia="仿宋GB2312" w:cs="仿宋GB2312"/>
          <w:color w:val="000000"/>
          <w:sz w:val="28"/>
          <w:szCs w:val="28"/>
          <w:highlight w:val="none"/>
        </w:rPr>
        <w:t>保证金直接转为</w:t>
      </w:r>
      <w:r>
        <w:rPr>
          <w:rFonts w:hint="eastAsia" w:ascii="仿宋GB2312" w:hAnsi="仿宋GB2312" w:eastAsia="仿宋GB2312" w:cs="仿宋GB2312"/>
          <w:color w:val="000000"/>
          <w:sz w:val="28"/>
          <w:szCs w:val="28"/>
          <w:highlight w:val="none"/>
          <w:lang w:val="en-US" w:eastAsia="zh-CN"/>
        </w:rPr>
        <w:t>合同</w:t>
      </w:r>
      <w:r>
        <w:rPr>
          <w:rFonts w:hint="eastAsia" w:ascii="仿宋GB2312" w:hAnsi="仿宋GB2312" w:eastAsia="仿宋GB2312" w:cs="仿宋GB2312"/>
          <w:color w:val="000000"/>
          <w:sz w:val="28"/>
          <w:szCs w:val="28"/>
          <w:highlight w:val="none"/>
        </w:rPr>
        <w:t>履约保证金，单家公司参与多个物流项目</w:t>
      </w:r>
      <w:r>
        <w:rPr>
          <w:rFonts w:hint="eastAsia" w:ascii="仿宋GB2312" w:hAnsi="仿宋GB2312" w:eastAsia="仿宋GB2312" w:cs="仿宋GB2312"/>
          <w:color w:val="000000"/>
          <w:sz w:val="28"/>
          <w:szCs w:val="28"/>
          <w:highlight w:val="none"/>
          <w:lang w:val="en-US" w:eastAsia="zh-CN"/>
        </w:rPr>
        <w:t>供应商</w:t>
      </w:r>
      <w:r>
        <w:rPr>
          <w:rFonts w:hint="eastAsia" w:ascii="仿宋GB2312" w:hAnsi="仿宋GB2312" w:eastAsia="仿宋GB2312" w:cs="仿宋GB2312"/>
          <w:color w:val="000000"/>
          <w:sz w:val="28"/>
          <w:szCs w:val="28"/>
          <w:highlight w:val="none"/>
        </w:rPr>
        <w:t>无需重复交纳；如未</w:t>
      </w:r>
      <w:r>
        <w:rPr>
          <w:rFonts w:hint="eastAsia" w:ascii="仿宋GB2312" w:hAnsi="仿宋GB2312" w:eastAsia="仿宋GB2312" w:cs="仿宋GB2312"/>
          <w:color w:val="000000"/>
          <w:sz w:val="28"/>
          <w:szCs w:val="28"/>
          <w:highlight w:val="none"/>
          <w:lang w:val="en-US" w:eastAsia="zh-CN"/>
        </w:rPr>
        <w:t>确定此次项目供应商</w:t>
      </w:r>
      <w:r>
        <w:rPr>
          <w:rFonts w:hint="eastAsia" w:ascii="仿宋GB2312" w:hAnsi="仿宋GB2312" w:eastAsia="仿宋GB2312" w:cs="仿宋GB2312"/>
          <w:color w:val="000000"/>
          <w:sz w:val="28"/>
          <w:szCs w:val="28"/>
          <w:highlight w:val="none"/>
        </w:rPr>
        <w:t>，</w:t>
      </w:r>
      <w:r>
        <w:rPr>
          <w:rFonts w:hint="eastAsia" w:ascii="仿宋GB2312" w:hAnsi="仿宋GB2312" w:eastAsia="仿宋GB2312" w:cs="仿宋GB2312"/>
          <w:color w:val="000000"/>
          <w:sz w:val="28"/>
          <w:szCs w:val="28"/>
          <w:highlight w:val="none"/>
          <w:lang w:val="en-US" w:eastAsia="zh-CN"/>
        </w:rPr>
        <w:t>物流服务采购意向</w:t>
      </w:r>
      <w:r>
        <w:rPr>
          <w:rFonts w:hint="eastAsia" w:ascii="仿宋GB2312" w:hAnsi="仿宋GB2312" w:eastAsia="仿宋GB2312" w:cs="仿宋GB2312"/>
          <w:color w:val="000000"/>
          <w:sz w:val="28"/>
          <w:szCs w:val="28"/>
          <w:highlight w:val="none"/>
        </w:rPr>
        <w:t>保证金</w:t>
      </w:r>
      <w:r>
        <w:rPr>
          <w:rFonts w:hint="eastAsia" w:ascii="仿宋GB2312" w:hAnsi="仿宋GB2312" w:eastAsia="仿宋GB2312" w:cs="仿宋GB2312"/>
          <w:color w:val="000000"/>
          <w:sz w:val="28"/>
          <w:szCs w:val="28"/>
          <w:highlight w:val="none"/>
          <w:lang w:val="en-US" w:eastAsia="zh-CN"/>
        </w:rPr>
        <w:t>可</w:t>
      </w:r>
      <w:r>
        <w:rPr>
          <w:rFonts w:hint="eastAsia" w:ascii="仿宋GB2312" w:hAnsi="仿宋GB2312" w:eastAsia="仿宋GB2312" w:cs="仿宋GB2312"/>
          <w:color w:val="000000"/>
          <w:sz w:val="28"/>
          <w:szCs w:val="28"/>
          <w:highlight w:val="none"/>
        </w:rPr>
        <w:t>登录EPS系统</w:t>
      </w:r>
      <w:r>
        <w:rPr>
          <w:rFonts w:hint="eastAsia" w:ascii="仿宋GB2312" w:hAnsi="仿宋GB2312" w:eastAsia="仿宋GB2312" w:cs="仿宋GB2312"/>
          <w:color w:val="000000"/>
          <w:sz w:val="28"/>
          <w:szCs w:val="28"/>
          <w:highlight w:val="none"/>
          <w:lang w:val="en-US" w:eastAsia="zh-CN"/>
        </w:rPr>
        <w:t>进行</w:t>
      </w:r>
      <w:r>
        <w:rPr>
          <w:rFonts w:hint="eastAsia" w:ascii="仿宋GB2312" w:hAnsi="仿宋GB2312" w:eastAsia="仿宋GB2312" w:cs="仿宋GB2312"/>
          <w:color w:val="000000"/>
          <w:sz w:val="28"/>
          <w:szCs w:val="28"/>
          <w:highlight w:val="none"/>
        </w:rPr>
        <w:t>保证金退款申请</w:t>
      </w:r>
      <w:r>
        <w:rPr>
          <w:rFonts w:hint="eastAsia" w:ascii="仿宋GB2312" w:hAnsi="仿宋GB2312" w:eastAsia="仿宋GB2312" w:cs="仿宋GB2312"/>
          <w:color w:val="000000"/>
          <w:sz w:val="28"/>
          <w:szCs w:val="28"/>
          <w:highlight w:val="none"/>
          <w:lang w:eastAsia="zh-CN"/>
        </w:rPr>
        <w:t>。</w:t>
      </w:r>
      <w:bookmarkStart w:id="1" w:name="_Toc31709"/>
    </w:p>
    <w:p>
      <w:pPr>
        <w:keepNext w:val="0"/>
        <w:keepLines w:val="0"/>
        <w:pageBreakBefore w:val="0"/>
        <w:widowControl/>
        <w:suppressLineNumbers w:val="0"/>
        <w:kinsoku/>
        <w:wordWrap/>
        <w:overflowPunct/>
        <w:topLinePunct w:val="0"/>
        <w:bidi w:val="0"/>
        <w:adjustRightInd/>
        <w:snapToGrid/>
        <w:spacing w:line="240" w:lineRule="atLeast"/>
        <w:ind w:firstLine="560" w:firstLineChars="200"/>
        <w:jc w:val="left"/>
        <w:textAlignment w:val="auto"/>
        <w:rPr>
          <w:rFonts w:hint="default" w:ascii="仿宋GB2312" w:hAnsi="仿宋GB2312" w:eastAsia="仿宋GB2312" w:cs="仿宋GB2312"/>
          <w:color w:val="000000"/>
          <w:sz w:val="28"/>
          <w:szCs w:val="28"/>
          <w:highlight w:val="none"/>
          <w:lang w:val="en-US" w:eastAsia="zh-CN"/>
        </w:rPr>
      </w:pPr>
      <w:r>
        <w:rPr>
          <w:rFonts w:hint="eastAsia" w:ascii="仿宋GB2312" w:hAnsi="仿宋GB2312" w:eastAsia="仿宋GB2312" w:cs="仿宋GB2312"/>
          <w:color w:val="000000"/>
          <w:sz w:val="28"/>
          <w:szCs w:val="28"/>
          <w:highlight w:val="none"/>
          <w:lang w:val="en-US" w:eastAsia="zh-CN"/>
        </w:rPr>
        <w:t>由于中粮糖业运营中心物流管理部指定保证金账户10月份存在异常，故项目保证金需要暂缴纳至中粮番茄公司账户，待中粮糖业保证金账户正常后，签订合同供应商申请保证金由中粮屯河退回，再重新缴纳至中粮糖业运营中心物流管理部指定保证金账户作为合同履约保证金。</w:t>
      </w:r>
    </w:p>
    <w:p>
      <w:pPr>
        <w:keepNext w:val="0"/>
        <w:keepLines w:val="0"/>
        <w:pageBreakBefore w:val="0"/>
        <w:kinsoku/>
        <w:wordWrap/>
        <w:overflowPunct/>
        <w:topLinePunct w:val="0"/>
        <w:bidi w:val="0"/>
        <w:adjustRightInd/>
        <w:snapToGrid/>
        <w:spacing w:line="240" w:lineRule="atLeast"/>
        <w:contextualSpacing/>
        <w:textAlignment w:val="auto"/>
        <w:rPr>
          <w:rFonts w:hint="default" w:ascii="仿宋GB2312" w:hAnsi="仿宋GB2312" w:eastAsia="仿宋GB2312" w:cs="仿宋GB2312"/>
          <w:color w:val="000000"/>
          <w:sz w:val="28"/>
          <w:szCs w:val="28"/>
          <w:highlight w:val="none"/>
          <w:lang w:val="en-US" w:eastAsia="zh-CN"/>
        </w:rPr>
      </w:pPr>
      <w:r>
        <w:rPr>
          <w:rFonts w:hint="eastAsia" w:ascii="仿宋GB2312" w:hAnsi="仿宋GB2312" w:eastAsia="仿宋GB2312" w:cs="仿宋GB2312"/>
          <w:b/>
          <w:bCs/>
          <w:color w:val="000000"/>
          <w:sz w:val="28"/>
          <w:szCs w:val="28"/>
          <w:highlight w:val="none"/>
          <w:lang w:val="en-US" w:eastAsia="zh-CN"/>
        </w:rPr>
        <w:t>一、项目物流服务采购意向保证金缴纳账户</w:t>
      </w:r>
    </w:p>
    <w:p>
      <w:pPr>
        <w:keepNext w:val="0"/>
        <w:keepLines w:val="0"/>
        <w:pageBreakBefore w:val="0"/>
        <w:kinsoku/>
        <w:wordWrap/>
        <w:overflowPunct/>
        <w:topLinePunct w:val="0"/>
        <w:bidi w:val="0"/>
        <w:adjustRightInd/>
        <w:snapToGrid/>
        <w:spacing w:line="240" w:lineRule="atLeast"/>
        <w:contextualSpacing/>
        <w:textAlignment w:val="auto"/>
        <w:rPr>
          <w:rFonts w:hint="default" w:ascii="仿宋GB2312" w:hAnsi="仿宋GB2312" w:eastAsia="仿宋GB2312" w:cs="仿宋GB2312"/>
          <w:color w:val="000000"/>
          <w:sz w:val="28"/>
          <w:szCs w:val="28"/>
          <w:highlight w:val="none"/>
          <w:lang w:val="en-US" w:eastAsia="zh-CN"/>
        </w:rPr>
      </w:pPr>
      <w:r>
        <w:rPr>
          <w:rFonts w:hint="eastAsia" w:ascii="仿宋GB2312" w:hAnsi="仿宋GB2312" w:eastAsia="仿宋GB2312" w:cs="仿宋GB2312"/>
          <w:color w:val="000000"/>
          <w:sz w:val="28"/>
          <w:szCs w:val="28"/>
          <w:highlight w:val="none"/>
          <w:lang w:val="en-US" w:eastAsia="zh-CN"/>
        </w:rPr>
        <w:t>公司名称：中粮屯河番茄有限公司</w:t>
      </w:r>
      <w:r>
        <w:rPr>
          <w:rFonts w:hint="eastAsia" w:ascii="仿宋GB2312" w:hAnsi="仿宋GB2312" w:eastAsia="仿宋GB2312" w:cs="仿宋GB2312"/>
          <w:color w:val="000000"/>
          <w:sz w:val="28"/>
          <w:szCs w:val="28"/>
          <w:highlight w:val="none"/>
          <w:lang w:val="en-US" w:eastAsia="zh-CN"/>
        </w:rPr>
        <w:br w:type="textWrapping"/>
      </w:r>
      <w:r>
        <w:rPr>
          <w:rFonts w:hint="eastAsia" w:ascii="仿宋GB2312" w:hAnsi="仿宋GB2312" w:eastAsia="仿宋GB2312" w:cs="仿宋GB2312"/>
          <w:color w:val="000000"/>
          <w:sz w:val="28"/>
          <w:szCs w:val="28"/>
          <w:highlight w:val="none"/>
          <w:lang w:val="en-US" w:eastAsia="zh-CN"/>
        </w:rPr>
        <w:t>开户银行名称：工商银行天津第一支行 </w:t>
      </w:r>
      <w:r>
        <w:rPr>
          <w:rFonts w:hint="eastAsia" w:ascii="仿宋GB2312" w:hAnsi="仿宋GB2312" w:eastAsia="仿宋GB2312" w:cs="仿宋GB2312"/>
          <w:color w:val="000000"/>
          <w:sz w:val="28"/>
          <w:szCs w:val="28"/>
          <w:highlight w:val="none"/>
          <w:lang w:val="en-US" w:eastAsia="zh-CN"/>
        </w:rPr>
        <w:br w:type="textWrapping"/>
      </w:r>
      <w:r>
        <w:rPr>
          <w:rFonts w:hint="eastAsia" w:ascii="仿宋GB2312" w:hAnsi="仿宋GB2312" w:eastAsia="仿宋GB2312" w:cs="仿宋GB2312"/>
          <w:color w:val="000000"/>
          <w:sz w:val="28"/>
          <w:szCs w:val="28"/>
          <w:highlight w:val="none"/>
          <w:lang w:val="en-US" w:eastAsia="zh-CN"/>
        </w:rPr>
        <w:t>账号：0302090219300514260   </w:t>
      </w:r>
      <w:r>
        <w:rPr>
          <w:rFonts w:hint="eastAsia" w:ascii="仿宋GB2312" w:hAnsi="仿宋GB2312" w:eastAsia="仿宋GB2312" w:cs="仿宋GB2312"/>
          <w:color w:val="000000"/>
          <w:sz w:val="28"/>
          <w:szCs w:val="28"/>
          <w:highlight w:val="none"/>
          <w:lang w:val="en-US" w:eastAsia="zh-CN"/>
        </w:rPr>
        <w:br w:type="textWrapping"/>
      </w:r>
      <w:r>
        <w:rPr>
          <w:rFonts w:hint="eastAsia" w:ascii="仿宋GB2312" w:hAnsi="仿宋GB2312" w:eastAsia="仿宋GB2312" w:cs="仿宋GB2312"/>
          <w:color w:val="000000"/>
          <w:sz w:val="28"/>
          <w:szCs w:val="28"/>
          <w:highlight w:val="none"/>
          <w:lang w:val="en-US" w:eastAsia="zh-CN"/>
        </w:rPr>
        <w:t>行号：102110000025</w:t>
      </w:r>
    </w:p>
    <w:p>
      <w:pPr>
        <w:keepNext w:val="0"/>
        <w:keepLines w:val="0"/>
        <w:pageBreakBefore w:val="0"/>
        <w:kinsoku/>
        <w:wordWrap/>
        <w:overflowPunct/>
        <w:topLinePunct w:val="0"/>
        <w:bidi w:val="0"/>
        <w:adjustRightInd/>
        <w:snapToGrid/>
        <w:spacing w:line="240" w:lineRule="atLeast"/>
        <w:contextualSpacing/>
        <w:textAlignment w:val="auto"/>
        <w:rPr>
          <w:rFonts w:hint="default" w:ascii="仿宋GB2312" w:hAnsi="仿宋GB2312" w:eastAsia="仿宋GB2312" w:cs="仿宋GB2312"/>
          <w:color w:val="000000"/>
          <w:sz w:val="28"/>
          <w:szCs w:val="28"/>
          <w:highlight w:val="none"/>
          <w:lang w:val="en-US" w:eastAsia="zh-CN"/>
        </w:rPr>
      </w:pPr>
      <w:r>
        <w:rPr>
          <w:rFonts w:hint="eastAsia" w:ascii="仿宋GB2312" w:hAnsi="仿宋GB2312" w:eastAsia="仿宋GB2312" w:cs="仿宋GB2312"/>
          <w:b/>
          <w:bCs/>
          <w:color w:val="000000"/>
          <w:sz w:val="28"/>
          <w:szCs w:val="28"/>
          <w:highlight w:val="none"/>
          <w:lang w:val="en-US" w:eastAsia="zh-CN"/>
        </w:rPr>
        <w:t>二、项目定标合同履约保证金账户</w:t>
      </w:r>
    </w:p>
    <w:p>
      <w:pPr>
        <w:keepNext w:val="0"/>
        <w:keepLines w:val="0"/>
        <w:pageBreakBefore w:val="0"/>
        <w:kinsoku/>
        <w:wordWrap/>
        <w:overflowPunct/>
        <w:topLinePunct w:val="0"/>
        <w:bidi w:val="0"/>
        <w:adjustRightInd/>
        <w:snapToGrid/>
        <w:spacing w:line="240" w:lineRule="atLeast"/>
        <w:contextualSpacing/>
        <w:textAlignment w:val="auto"/>
        <w:rPr>
          <w:rFonts w:hint="eastAsia" w:ascii="仿宋GB2312" w:hAnsi="仿宋GB2312" w:eastAsia="仿宋GB2312" w:cs="仿宋GB2312"/>
          <w:color w:val="000000"/>
          <w:sz w:val="28"/>
          <w:szCs w:val="28"/>
          <w:highlight w:val="none"/>
          <w:lang w:val="en-US" w:eastAsia="zh-CN"/>
        </w:rPr>
      </w:pPr>
      <w:r>
        <w:rPr>
          <w:rFonts w:hint="eastAsia" w:ascii="仿宋GB2312" w:hAnsi="仿宋GB2312" w:eastAsia="仿宋GB2312" w:cs="仿宋GB2312"/>
          <w:color w:val="000000"/>
          <w:sz w:val="28"/>
          <w:szCs w:val="28"/>
          <w:highlight w:val="none"/>
          <w:lang w:val="en-US" w:eastAsia="zh-CN"/>
        </w:rPr>
        <w:t>公司名称：中粮糖业有限公司</w:t>
      </w:r>
      <w:r>
        <w:rPr>
          <w:rFonts w:hint="eastAsia" w:ascii="仿宋GB2312" w:hAnsi="仿宋GB2312" w:eastAsia="仿宋GB2312" w:cs="仿宋GB2312"/>
          <w:color w:val="000000"/>
          <w:sz w:val="28"/>
          <w:szCs w:val="28"/>
          <w:highlight w:val="none"/>
          <w:lang w:val="en-US" w:eastAsia="zh-CN"/>
        </w:rPr>
        <w:br w:type="textWrapping"/>
      </w:r>
      <w:r>
        <w:rPr>
          <w:rFonts w:hint="eastAsia" w:ascii="仿宋GB2312" w:hAnsi="仿宋GB2312" w:eastAsia="仿宋GB2312" w:cs="仿宋GB2312"/>
          <w:color w:val="000000"/>
          <w:sz w:val="28"/>
          <w:szCs w:val="28"/>
          <w:highlight w:val="none"/>
          <w:lang w:val="en-US" w:eastAsia="zh-CN"/>
        </w:rPr>
        <w:t>开户银行名称：中国银行北京丰联广场大厦支行 </w:t>
      </w:r>
      <w:r>
        <w:rPr>
          <w:rFonts w:hint="eastAsia" w:ascii="仿宋GB2312" w:hAnsi="仿宋GB2312" w:eastAsia="仿宋GB2312" w:cs="仿宋GB2312"/>
          <w:color w:val="000000"/>
          <w:sz w:val="28"/>
          <w:szCs w:val="28"/>
          <w:highlight w:val="none"/>
          <w:lang w:val="en-US" w:eastAsia="zh-CN"/>
        </w:rPr>
        <w:br w:type="textWrapping"/>
      </w:r>
      <w:r>
        <w:rPr>
          <w:rFonts w:hint="eastAsia" w:ascii="仿宋GB2312" w:hAnsi="仿宋GB2312" w:eastAsia="仿宋GB2312" w:cs="仿宋GB2312"/>
          <w:color w:val="000000"/>
          <w:sz w:val="28"/>
          <w:szCs w:val="28"/>
          <w:highlight w:val="none"/>
          <w:lang w:val="en-US" w:eastAsia="zh-CN"/>
        </w:rPr>
        <w:t>账号：338960791910 </w:t>
      </w:r>
    </w:p>
    <w:p>
      <w:pPr>
        <w:pStyle w:val="2"/>
        <w:kinsoku/>
        <w:wordWrap/>
        <w:overflowPunct/>
        <w:topLinePunct w:val="0"/>
        <w:bidi w:val="0"/>
        <w:adjustRightInd/>
        <w:snapToGrid/>
        <w:spacing w:line="240" w:lineRule="auto"/>
        <w:ind w:left="-31" w:leftChars="-15" w:firstLine="566"/>
        <w:contextualSpacing/>
        <w:textAlignment w:val="auto"/>
        <w:rPr>
          <w:rFonts w:hint="eastAsia" w:ascii="仿宋GB2312" w:hAnsi="仿宋GB2312" w:eastAsia="仿宋GB2312" w:cs="仿宋GB2312"/>
          <w:color w:val="000000"/>
          <w:sz w:val="28"/>
          <w:szCs w:val="28"/>
          <w:highlight w:val="none"/>
          <w:u w:val="none"/>
        </w:rPr>
      </w:pPr>
      <w:r>
        <w:rPr>
          <w:rFonts w:hint="eastAsia" w:ascii="仿宋GB2312" w:hAnsi="仿宋GB2312" w:eastAsia="仿宋GB2312" w:cs="仿宋GB2312"/>
          <w:color w:val="000000"/>
          <w:sz w:val="28"/>
          <w:szCs w:val="28"/>
          <w:highlight w:val="none"/>
          <w:u w:val="none"/>
          <w:lang w:val="en-US" w:eastAsia="zh-CN"/>
        </w:rPr>
        <w:t>4</w:t>
      </w:r>
      <w:r>
        <w:rPr>
          <w:rFonts w:hint="eastAsia" w:ascii="仿宋GB2312" w:hAnsi="仿宋GB2312" w:eastAsia="仿宋GB2312" w:cs="仿宋GB2312"/>
          <w:color w:val="000000"/>
          <w:sz w:val="28"/>
          <w:szCs w:val="28"/>
          <w:highlight w:val="none"/>
          <w:u w:val="none"/>
        </w:rPr>
        <w:t xml:space="preserve">. </w:t>
      </w:r>
      <w:r>
        <w:rPr>
          <w:rFonts w:hint="eastAsia" w:ascii="仿宋GB2312" w:hAnsi="仿宋GB2312" w:eastAsia="仿宋GB2312" w:cs="仿宋GB2312"/>
          <w:color w:val="000000"/>
          <w:sz w:val="28"/>
          <w:szCs w:val="28"/>
          <w:highlight w:val="none"/>
          <w:u w:val="none"/>
          <w:lang w:val="en-US" w:eastAsia="zh-CN"/>
        </w:rPr>
        <w:t>供应商</w:t>
      </w:r>
      <w:r>
        <w:rPr>
          <w:rFonts w:hint="eastAsia" w:ascii="仿宋GB2312" w:hAnsi="仿宋GB2312" w:eastAsia="仿宋GB2312" w:cs="仿宋GB2312"/>
          <w:color w:val="000000"/>
          <w:sz w:val="28"/>
          <w:szCs w:val="28"/>
          <w:highlight w:val="none"/>
          <w:u w:val="none"/>
        </w:rPr>
        <w:t>资格要求：</w:t>
      </w:r>
      <w:bookmarkEnd w:id="1"/>
    </w:p>
    <w:p>
      <w:pPr>
        <w:pStyle w:val="8"/>
        <w:kinsoku/>
        <w:wordWrap/>
        <w:overflowPunct/>
        <w:topLinePunct w:val="0"/>
        <w:bidi w:val="0"/>
        <w:adjustRightInd/>
        <w:snapToGrid/>
        <w:spacing w:line="240" w:lineRule="auto"/>
        <w:ind w:left="-31" w:leftChars="-15" w:firstLine="566"/>
        <w:textAlignment w:val="auto"/>
        <w:rPr>
          <w:rFonts w:hint="eastAsia" w:ascii="仿宋GB2312" w:hAnsi="仿宋GB2312" w:eastAsia="仿宋GB2312" w:cs="仿宋GB2312"/>
          <w:sz w:val="28"/>
          <w:szCs w:val="28"/>
          <w:highlight w:val="none"/>
        </w:rPr>
      </w:pPr>
      <w:r>
        <w:rPr>
          <w:rFonts w:hint="eastAsia" w:ascii="仿宋GB2312" w:hAnsi="仿宋GB2312" w:eastAsia="仿宋GB2312" w:cs="仿宋GB2312"/>
          <w:sz w:val="28"/>
          <w:szCs w:val="28"/>
          <w:highlight w:val="none"/>
          <w:lang w:val="en-US" w:eastAsia="zh-CN"/>
        </w:rPr>
        <w:t>4</w:t>
      </w:r>
      <w:r>
        <w:rPr>
          <w:rFonts w:hint="eastAsia" w:ascii="仿宋GB2312" w:hAnsi="仿宋GB2312" w:eastAsia="仿宋GB2312" w:cs="仿宋GB2312"/>
          <w:sz w:val="28"/>
          <w:szCs w:val="28"/>
          <w:highlight w:val="none"/>
        </w:rPr>
        <w:t>.1</w:t>
      </w:r>
      <w:r>
        <w:rPr>
          <w:rFonts w:hint="eastAsia" w:ascii="仿宋GB2312" w:hAnsi="仿宋GB2312" w:eastAsia="仿宋GB2312" w:cs="仿宋GB2312"/>
          <w:sz w:val="28"/>
          <w:szCs w:val="28"/>
          <w:highlight w:val="none"/>
          <w:lang w:val="en-US" w:eastAsia="zh-CN"/>
        </w:rPr>
        <w:t>供应商</w:t>
      </w:r>
      <w:r>
        <w:rPr>
          <w:rFonts w:hint="eastAsia" w:ascii="仿宋GB2312" w:hAnsi="仿宋GB2312" w:eastAsia="仿宋GB2312" w:cs="仿宋GB2312"/>
          <w:sz w:val="28"/>
          <w:szCs w:val="28"/>
          <w:highlight w:val="none"/>
        </w:rPr>
        <w:t>须为在中华人民共和国境内依法注册的</w:t>
      </w:r>
      <w:r>
        <w:rPr>
          <w:rFonts w:hint="eastAsia" w:ascii="仿宋GB2312" w:hAnsi="仿宋GB2312" w:eastAsia="仿宋GB2312" w:cs="仿宋GB2312"/>
          <w:color w:val="000000"/>
          <w:sz w:val="28"/>
          <w:szCs w:val="28"/>
          <w:highlight w:val="none"/>
        </w:rPr>
        <w:t>独立法人</w:t>
      </w:r>
      <w:r>
        <w:rPr>
          <w:rFonts w:hint="eastAsia" w:ascii="仿宋GB2312" w:hAnsi="仿宋GB2312" w:eastAsia="仿宋GB2312" w:cs="仿宋GB2312"/>
          <w:sz w:val="28"/>
          <w:szCs w:val="28"/>
          <w:highlight w:val="none"/>
        </w:rPr>
        <w:t>企业或其他组织。</w:t>
      </w:r>
    </w:p>
    <w:p>
      <w:pPr>
        <w:kinsoku/>
        <w:wordWrap/>
        <w:overflowPunct/>
        <w:topLinePunct w:val="0"/>
        <w:bidi w:val="0"/>
        <w:adjustRightInd/>
        <w:snapToGrid/>
        <w:spacing w:line="240" w:lineRule="auto"/>
        <w:ind w:left="-31" w:leftChars="-15" w:firstLine="566"/>
        <w:contextualSpacing/>
        <w:textAlignment w:val="auto"/>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lang w:val="en-US" w:eastAsia="zh-CN"/>
        </w:rPr>
        <w:t>4</w:t>
      </w:r>
      <w:r>
        <w:rPr>
          <w:rFonts w:hint="eastAsia" w:ascii="仿宋GB2312" w:hAnsi="仿宋GB2312" w:eastAsia="仿宋GB2312" w:cs="仿宋GB2312"/>
          <w:color w:val="000000"/>
          <w:sz w:val="28"/>
          <w:szCs w:val="28"/>
          <w:highlight w:val="none"/>
        </w:rPr>
        <w:t>.2信誉要求：近三年无因申请人违约或不恰当履约引起的合同终止、纠纷、争议、仲裁和公诉纪录，未列入失信被执行人、重大税收违法案件当事人名单；</w:t>
      </w:r>
    </w:p>
    <w:p>
      <w:pPr>
        <w:kinsoku/>
        <w:wordWrap/>
        <w:overflowPunct/>
        <w:topLinePunct w:val="0"/>
        <w:bidi w:val="0"/>
        <w:adjustRightInd/>
        <w:snapToGrid/>
        <w:spacing w:line="240" w:lineRule="auto"/>
        <w:ind w:left="-31" w:leftChars="-15" w:firstLine="566"/>
        <w:contextualSpacing/>
        <w:textAlignment w:val="auto"/>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lang w:val="en-US" w:eastAsia="zh-CN"/>
        </w:rPr>
        <w:t>4</w:t>
      </w:r>
      <w:r>
        <w:rPr>
          <w:rFonts w:hint="eastAsia" w:ascii="仿宋GB2312" w:hAnsi="仿宋GB2312" w:eastAsia="仿宋GB2312" w:cs="仿宋GB2312"/>
          <w:color w:val="000000"/>
          <w:sz w:val="28"/>
          <w:szCs w:val="28"/>
          <w:highlight w:val="none"/>
        </w:rPr>
        <w:t>.3</w:t>
      </w:r>
      <w:r>
        <w:rPr>
          <w:rFonts w:hint="eastAsia" w:ascii="仿宋GB2312" w:hAnsi="仿宋GB2312" w:eastAsia="仿宋GB2312" w:cs="仿宋GB2312"/>
          <w:color w:val="000000"/>
          <w:sz w:val="28"/>
          <w:szCs w:val="28"/>
          <w:highlight w:val="none"/>
          <w:lang w:eastAsia="zh-CN"/>
        </w:rPr>
        <w:t>供应商</w:t>
      </w:r>
      <w:r>
        <w:rPr>
          <w:rFonts w:hint="eastAsia" w:ascii="仿宋GB2312" w:hAnsi="仿宋GB2312" w:eastAsia="仿宋GB2312" w:cs="仿宋GB2312"/>
          <w:color w:val="000000"/>
          <w:sz w:val="28"/>
          <w:szCs w:val="28"/>
          <w:highlight w:val="none"/>
        </w:rPr>
        <w:t>须提供国家企业信用信息公示系统行政处罚信息、列入经营异常名录信息、列入严重违法失信企业名单（黑名单）信息截图（查询网址：</w:t>
      </w:r>
      <w:r>
        <w:rPr>
          <w:rFonts w:hint="eastAsia" w:ascii="仿宋GB2312" w:hAnsi="仿宋GB2312" w:eastAsia="仿宋GB2312" w:cs="仿宋GB2312"/>
          <w:highlight w:val="none"/>
        </w:rPr>
        <w:fldChar w:fldCharType="begin"/>
      </w:r>
      <w:r>
        <w:rPr>
          <w:rFonts w:hint="eastAsia" w:ascii="仿宋GB2312" w:hAnsi="仿宋GB2312" w:eastAsia="仿宋GB2312" w:cs="仿宋GB2312"/>
          <w:highlight w:val="none"/>
        </w:rPr>
        <w:instrText xml:space="preserve"> HYPERLINK "http://www.gsxt.gov.cn/index.html" </w:instrText>
      </w:r>
      <w:r>
        <w:rPr>
          <w:rFonts w:hint="eastAsia" w:ascii="仿宋GB2312" w:hAnsi="仿宋GB2312" w:eastAsia="仿宋GB2312" w:cs="仿宋GB2312"/>
          <w:highlight w:val="none"/>
        </w:rPr>
        <w:fldChar w:fldCharType="separate"/>
      </w:r>
      <w:r>
        <w:rPr>
          <w:rFonts w:hint="eastAsia" w:ascii="仿宋GB2312" w:hAnsi="仿宋GB2312" w:eastAsia="仿宋GB2312" w:cs="仿宋GB2312"/>
          <w:color w:val="000000"/>
          <w:sz w:val="28"/>
          <w:szCs w:val="28"/>
          <w:highlight w:val="none"/>
        </w:rPr>
        <w:t>http://www.gsxt.gov.cn/index.html</w:t>
      </w:r>
      <w:r>
        <w:rPr>
          <w:rFonts w:hint="eastAsia" w:ascii="仿宋GB2312" w:hAnsi="仿宋GB2312" w:eastAsia="仿宋GB2312" w:cs="仿宋GB2312"/>
          <w:color w:val="000000"/>
          <w:sz w:val="28"/>
          <w:szCs w:val="28"/>
          <w:highlight w:val="none"/>
        </w:rPr>
        <w:fldChar w:fldCharType="end"/>
      </w:r>
      <w:r>
        <w:rPr>
          <w:rFonts w:hint="eastAsia" w:ascii="仿宋GB2312" w:hAnsi="仿宋GB2312" w:eastAsia="仿宋GB2312" w:cs="仿宋GB2312"/>
          <w:color w:val="000000"/>
          <w:sz w:val="28"/>
          <w:szCs w:val="28"/>
          <w:highlight w:val="none"/>
        </w:rPr>
        <w:t>）；</w:t>
      </w:r>
    </w:p>
    <w:p>
      <w:pPr>
        <w:kinsoku/>
        <w:wordWrap/>
        <w:overflowPunct/>
        <w:topLinePunct w:val="0"/>
        <w:bidi w:val="0"/>
        <w:adjustRightInd/>
        <w:snapToGrid/>
        <w:spacing w:line="240" w:lineRule="auto"/>
        <w:ind w:left="-31" w:leftChars="-15" w:firstLine="566"/>
        <w:textAlignment w:val="auto"/>
        <w:rPr>
          <w:rFonts w:hint="eastAsia" w:ascii="仿宋GB2312" w:hAnsi="仿宋GB2312" w:eastAsia="仿宋GB2312" w:cs="仿宋GB2312"/>
          <w:sz w:val="28"/>
          <w:szCs w:val="28"/>
          <w:highlight w:val="none"/>
        </w:rPr>
      </w:pPr>
      <w:r>
        <w:rPr>
          <w:rFonts w:hint="eastAsia" w:ascii="仿宋GB2312" w:hAnsi="仿宋GB2312" w:eastAsia="仿宋GB2312" w:cs="仿宋GB2312"/>
          <w:sz w:val="28"/>
          <w:szCs w:val="28"/>
          <w:highlight w:val="none"/>
          <w:lang w:val="en-US" w:eastAsia="zh-CN"/>
        </w:rPr>
        <w:t>4</w:t>
      </w:r>
      <w:r>
        <w:rPr>
          <w:rFonts w:hint="eastAsia" w:ascii="仿宋GB2312" w:hAnsi="仿宋GB2312" w:eastAsia="仿宋GB2312" w:cs="仿宋GB2312"/>
          <w:sz w:val="28"/>
          <w:szCs w:val="28"/>
          <w:highlight w:val="none"/>
        </w:rPr>
        <w:t>.4 本次采购不接受联合体</w:t>
      </w:r>
      <w:r>
        <w:rPr>
          <w:rFonts w:hint="eastAsia" w:ascii="仿宋GB2312" w:hAnsi="仿宋GB2312" w:eastAsia="仿宋GB2312" w:cs="仿宋GB2312"/>
          <w:sz w:val="28"/>
          <w:szCs w:val="28"/>
          <w:highlight w:val="none"/>
          <w:lang w:val="en-US" w:eastAsia="zh-CN"/>
        </w:rPr>
        <w:t>报价</w:t>
      </w:r>
      <w:r>
        <w:rPr>
          <w:rFonts w:hint="eastAsia" w:ascii="仿宋GB2312" w:hAnsi="仿宋GB2312" w:eastAsia="仿宋GB2312" w:cs="仿宋GB2312"/>
          <w:sz w:val="28"/>
          <w:szCs w:val="28"/>
          <w:highlight w:val="none"/>
        </w:rPr>
        <w:t>。</w:t>
      </w:r>
    </w:p>
    <w:p>
      <w:pPr>
        <w:kinsoku/>
        <w:wordWrap/>
        <w:overflowPunct/>
        <w:topLinePunct w:val="0"/>
        <w:bidi w:val="0"/>
        <w:adjustRightInd/>
        <w:snapToGrid/>
        <w:spacing w:line="240" w:lineRule="auto"/>
        <w:ind w:left="-31" w:leftChars="-15" w:firstLine="566"/>
        <w:textAlignment w:val="auto"/>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sz w:val="28"/>
          <w:szCs w:val="28"/>
          <w:highlight w:val="none"/>
          <w:lang w:val="en-US" w:eastAsia="zh-CN"/>
        </w:rPr>
        <w:t>4</w:t>
      </w:r>
      <w:r>
        <w:rPr>
          <w:rFonts w:hint="eastAsia" w:ascii="仿宋GB2312" w:hAnsi="仿宋GB2312" w:eastAsia="仿宋GB2312" w:cs="仿宋GB2312"/>
          <w:sz w:val="28"/>
          <w:szCs w:val="28"/>
          <w:highlight w:val="none"/>
        </w:rPr>
        <w:t>.5</w:t>
      </w:r>
      <w:r>
        <w:rPr>
          <w:rFonts w:hint="eastAsia" w:ascii="仿宋GB2312" w:hAnsi="仿宋GB2312" w:eastAsia="仿宋GB2312" w:cs="仿宋GB2312"/>
          <w:color w:val="000000"/>
          <w:sz w:val="28"/>
          <w:szCs w:val="28"/>
          <w:highlight w:val="none"/>
        </w:rPr>
        <w:t>其他说明：（1）与</w:t>
      </w:r>
      <w:r>
        <w:rPr>
          <w:rFonts w:hint="eastAsia" w:ascii="仿宋GB2312" w:hAnsi="仿宋GB2312" w:eastAsia="仿宋GB2312" w:cs="仿宋GB2312"/>
          <w:color w:val="000000"/>
          <w:sz w:val="28"/>
          <w:szCs w:val="28"/>
          <w:highlight w:val="none"/>
          <w:lang w:val="en-US" w:eastAsia="zh-CN"/>
        </w:rPr>
        <w:t>物流服务采购</w:t>
      </w:r>
      <w:r>
        <w:rPr>
          <w:rFonts w:hint="eastAsia" w:ascii="仿宋GB2312" w:hAnsi="仿宋GB2312" w:eastAsia="仿宋GB2312" w:cs="仿宋GB2312"/>
          <w:color w:val="000000"/>
          <w:sz w:val="28"/>
          <w:szCs w:val="28"/>
          <w:highlight w:val="none"/>
        </w:rPr>
        <w:t>人存在利害关系可能影响</w:t>
      </w:r>
      <w:r>
        <w:rPr>
          <w:rFonts w:hint="eastAsia" w:ascii="仿宋GB2312" w:hAnsi="仿宋GB2312" w:eastAsia="仿宋GB2312" w:cs="仿宋GB2312"/>
          <w:color w:val="000000"/>
          <w:sz w:val="28"/>
          <w:szCs w:val="28"/>
          <w:highlight w:val="none"/>
          <w:lang w:val="en-US" w:eastAsia="zh-CN"/>
        </w:rPr>
        <w:t>物流服务采购</w:t>
      </w:r>
      <w:r>
        <w:rPr>
          <w:rFonts w:hint="eastAsia" w:ascii="仿宋GB2312" w:hAnsi="仿宋GB2312" w:eastAsia="仿宋GB2312" w:cs="仿宋GB2312"/>
          <w:color w:val="000000"/>
          <w:sz w:val="28"/>
          <w:szCs w:val="28"/>
          <w:highlight w:val="none"/>
        </w:rPr>
        <w:t>公正性的法人、其他组织或者个人，不得参加</w:t>
      </w:r>
      <w:r>
        <w:rPr>
          <w:rFonts w:hint="eastAsia" w:ascii="仿宋GB2312" w:hAnsi="仿宋GB2312" w:eastAsia="仿宋GB2312" w:cs="仿宋GB2312"/>
          <w:color w:val="000000"/>
          <w:sz w:val="28"/>
          <w:szCs w:val="28"/>
          <w:highlight w:val="none"/>
          <w:lang w:val="en-US" w:eastAsia="zh-CN"/>
        </w:rPr>
        <w:t>报价</w:t>
      </w:r>
      <w:r>
        <w:rPr>
          <w:rFonts w:hint="eastAsia" w:ascii="仿宋GB2312" w:hAnsi="仿宋GB2312" w:eastAsia="仿宋GB2312" w:cs="仿宋GB2312"/>
          <w:color w:val="000000"/>
          <w:sz w:val="28"/>
          <w:szCs w:val="28"/>
          <w:highlight w:val="none"/>
        </w:rPr>
        <w:t>；（2）单位负责人为同一人或者存在控股、管理关系的不同单位，不得参加同一标段</w:t>
      </w:r>
      <w:r>
        <w:rPr>
          <w:rFonts w:hint="eastAsia" w:ascii="仿宋GB2312" w:hAnsi="仿宋GB2312" w:eastAsia="仿宋GB2312" w:cs="仿宋GB2312"/>
          <w:color w:val="000000"/>
          <w:sz w:val="28"/>
          <w:szCs w:val="28"/>
          <w:highlight w:val="none"/>
          <w:lang w:val="en-US" w:eastAsia="zh-CN"/>
        </w:rPr>
        <w:t>报价</w:t>
      </w:r>
      <w:r>
        <w:rPr>
          <w:rFonts w:hint="eastAsia" w:ascii="仿宋GB2312" w:hAnsi="仿宋GB2312" w:eastAsia="仿宋GB2312" w:cs="仿宋GB2312"/>
          <w:color w:val="000000"/>
          <w:sz w:val="28"/>
          <w:szCs w:val="28"/>
          <w:highlight w:val="none"/>
        </w:rPr>
        <w:t>或者未划分标段的同一</w:t>
      </w:r>
      <w:r>
        <w:rPr>
          <w:rFonts w:hint="eastAsia" w:ascii="仿宋GB2312" w:hAnsi="仿宋GB2312" w:eastAsia="仿宋GB2312" w:cs="仿宋GB2312"/>
          <w:color w:val="000000"/>
          <w:sz w:val="28"/>
          <w:szCs w:val="28"/>
          <w:highlight w:val="none"/>
          <w:lang w:val="en-US" w:eastAsia="zh-CN"/>
        </w:rPr>
        <w:t>物流服务采购</w:t>
      </w:r>
      <w:r>
        <w:rPr>
          <w:rFonts w:hint="eastAsia" w:ascii="仿宋GB2312" w:hAnsi="仿宋GB2312" w:eastAsia="仿宋GB2312" w:cs="仿宋GB2312"/>
          <w:color w:val="000000"/>
          <w:sz w:val="28"/>
          <w:szCs w:val="28"/>
          <w:highlight w:val="none"/>
        </w:rPr>
        <w:t>项目</w:t>
      </w:r>
      <w:r>
        <w:rPr>
          <w:rFonts w:hint="eastAsia" w:ascii="仿宋GB2312" w:hAnsi="仿宋GB2312" w:eastAsia="仿宋GB2312" w:cs="仿宋GB2312"/>
          <w:color w:val="000000"/>
          <w:sz w:val="28"/>
          <w:szCs w:val="28"/>
          <w:highlight w:val="none"/>
          <w:lang w:val="en-US" w:eastAsia="zh-CN"/>
        </w:rPr>
        <w:t>报价</w:t>
      </w:r>
      <w:r>
        <w:rPr>
          <w:rFonts w:hint="eastAsia" w:ascii="仿宋GB2312" w:hAnsi="仿宋GB2312" w:eastAsia="仿宋GB2312" w:cs="仿宋GB2312"/>
          <w:color w:val="000000"/>
          <w:sz w:val="28"/>
          <w:szCs w:val="28"/>
          <w:highlight w:val="none"/>
        </w:rPr>
        <w:t>。违反前两款规定的，相关</w:t>
      </w:r>
      <w:r>
        <w:rPr>
          <w:rFonts w:hint="eastAsia" w:ascii="仿宋GB2312" w:hAnsi="仿宋GB2312" w:eastAsia="仿宋GB2312" w:cs="仿宋GB2312"/>
          <w:color w:val="000000"/>
          <w:sz w:val="28"/>
          <w:szCs w:val="28"/>
          <w:highlight w:val="none"/>
          <w:lang w:val="en-US" w:eastAsia="zh-CN"/>
        </w:rPr>
        <w:t>报价</w:t>
      </w:r>
      <w:r>
        <w:rPr>
          <w:rFonts w:hint="eastAsia" w:ascii="仿宋GB2312" w:hAnsi="仿宋GB2312" w:eastAsia="仿宋GB2312" w:cs="仿宋GB2312"/>
          <w:color w:val="000000"/>
          <w:sz w:val="28"/>
          <w:szCs w:val="28"/>
          <w:highlight w:val="none"/>
        </w:rPr>
        <w:t>均无效；</w:t>
      </w:r>
    </w:p>
    <w:p>
      <w:pPr>
        <w:pStyle w:val="2"/>
        <w:kinsoku/>
        <w:wordWrap/>
        <w:overflowPunct/>
        <w:topLinePunct w:val="0"/>
        <w:bidi w:val="0"/>
        <w:adjustRightInd/>
        <w:snapToGrid/>
        <w:spacing w:line="240" w:lineRule="auto"/>
        <w:ind w:left="-31" w:leftChars="-15" w:firstLine="566"/>
        <w:contextualSpacing/>
        <w:textAlignment w:val="auto"/>
        <w:rPr>
          <w:rFonts w:hint="eastAsia" w:ascii="仿宋GB2312" w:hAnsi="仿宋GB2312" w:eastAsia="仿宋GB2312" w:cs="仿宋GB2312"/>
          <w:color w:val="000000"/>
          <w:sz w:val="28"/>
          <w:szCs w:val="28"/>
          <w:highlight w:val="none"/>
          <w:u w:val="none"/>
        </w:rPr>
      </w:pPr>
      <w:bookmarkStart w:id="2" w:name="_Toc32567"/>
      <w:r>
        <w:rPr>
          <w:rFonts w:hint="eastAsia" w:ascii="仿宋GB2312" w:hAnsi="仿宋GB2312" w:eastAsia="仿宋GB2312" w:cs="仿宋GB2312"/>
          <w:color w:val="000000"/>
          <w:sz w:val="28"/>
          <w:szCs w:val="28"/>
          <w:highlight w:val="none"/>
          <w:u w:val="none"/>
          <w:lang w:val="en-US" w:eastAsia="zh-CN"/>
        </w:rPr>
        <w:t>5</w:t>
      </w:r>
      <w:r>
        <w:rPr>
          <w:rFonts w:hint="eastAsia" w:ascii="仿宋GB2312" w:hAnsi="仿宋GB2312" w:eastAsia="仿宋GB2312" w:cs="仿宋GB2312"/>
          <w:color w:val="000000"/>
          <w:sz w:val="28"/>
          <w:szCs w:val="28"/>
          <w:highlight w:val="none"/>
          <w:u w:val="none"/>
        </w:rPr>
        <w:t>. 采购文件的获取</w:t>
      </w:r>
      <w:bookmarkEnd w:id="2"/>
      <w:r>
        <w:rPr>
          <w:rFonts w:hint="eastAsia" w:ascii="仿宋GB2312" w:hAnsi="仿宋GB2312" w:eastAsia="仿宋GB2312" w:cs="仿宋GB2312"/>
          <w:color w:val="000000"/>
          <w:sz w:val="28"/>
          <w:szCs w:val="28"/>
          <w:highlight w:val="none"/>
          <w:u w:val="none"/>
        </w:rPr>
        <w:t>及递交</w:t>
      </w:r>
    </w:p>
    <w:p>
      <w:pPr>
        <w:kinsoku/>
        <w:wordWrap/>
        <w:overflowPunct/>
        <w:topLinePunct w:val="0"/>
        <w:bidi w:val="0"/>
        <w:adjustRightInd/>
        <w:snapToGrid/>
        <w:spacing w:line="240" w:lineRule="auto"/>
        <w:ind w:left="-31" w:leftChars="-15" w:firstLine="566"/>
        <w:contextualSpacing/>
        <w:jc w:val="left"/>
        <w:textAlignment w:val="auto"/>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lang w:val="en-US" w:eastAsia="zh-CN"/>
        </w:rPr>
        <w:t>5</w:t>
      </w:r>
      <w:r>
        <w:rPr>
          <w:rFonts w:hint="eastAsia" w:ascii="仿宋GB2312" w:hAnsi="仿宋GB2312" w:eastAsia="仿宋GB2312" w:cs="仿宋GB2312"/>
          <w:color w:val="000000"/>
          <w:sz w:val="28"/>
          <w:szCs w:val="28"/>
          <w:highlight w:val="none"/>
        </w:rPr>
        <w:t>.1</w:t>
      </w:r>
      <w:r>
        <w:rPr>
          <w:rFonts w:hint="eastAsia" w:ascii="仿宋GB2312" w:hAnsi="仿宋GB2312" w:eastAsia="仿宋GB2312" w:cs="仿宋GB2312"/>
          <w:color w:val="000000"/>
          <w:sz w:val="28"/>
          <w:szCs w:val="28"/>
          <w:highlight w:val="none"/>
          <w:lang w:val="en-US" w:eastAsia="zh-CN"/>
        </w:rPr>
        <w:t>供应商需在2024年10月18日9：00前在中粮糖业EPS采购平台（网址：</w:t>
      </w:r>
      <w:r>
        <w:rPr>
          <w:rFonts w:hint="eastAsia" w:ascii="仿宋GB2312" w:hAnsi="仿宋GB2312" w:eastAsia="仿宋GB2312" w:cs="仿宋GB2312"/>
          <w:color w:val="000000"/>
          <w:sz w:val="28"/>
          <w:szCs w:val="28"/>
          <w:highlight w:val="none"/>
          <w:lang w:val="en-US" w:eastAsia="zh-CN"/>
        </w:rPr>
        <w:fldChar w:fldCharType="begin"/>
      </w:r>
      <w:r>
        <w:rPr>
          <w:rFonts w:hint="eastAsia" w:ascii="仿宋GB2312" w:hAnsi="仿宋GB2312" w:eastAsia="仿宋GB2312" w:cs="仿宋GB2312"/>
          <w:color w:val="000000"/>
          <w:sz w:val="28"/>
          <w:szCs w:val="28"/>
          <w:highlight w:val="none"/>
          <w:lang w:val="en-US" w:eastAsia="zh-CN"/>
        </w:rPr>
        <w:instrText xml:space="preserve"> HYPERLINK "https://eps.tunhe.com/Supplier/ForeSupplier/QwRegStepStart）完成注册；2024年5月31日9点前完成系统报名；采购人组织资格审查合格后，供应商2024年6月3日通过EPS采购平台获取采购文件；2024年6月11日9点前在中粮糖业EPS采购平台上按采购文件说明条款提供相关资料并提交第一轮报价(过期无效)。" </w:instrText>
      </w:r>
      <w:r>
        <w:rPr>
          <w:rFonts w:hint="eastAsia" w:ascii="仿宋GB2312" w:hAnsi="仿宋GB2312" w:eastAsia="仿宋GB2312" w:cs="仿宋GB2312"/>
          <w:color w:val="000000"/>
          <w:sz w:val="28"/>
          <w:szCs w:val="28"/>
          <w:highlight w:val="none"/>
          <w:lang w:val="en-US" w:eastAsia="zh-CN"/>
        </w:rPr>
        <w:fldChar w:fldCharType="separate"/>
      </w:r>
      <w:r>
        <w:rPr>
          <w:rFonts w:hint="eastAsia" w:ascii="仿宋GB2312" w:hAnsi="仿宋GB2312" w:eastAsia="仿宋GB2312" w:cs="仿宋GB2312"/>
          <w:color w:val="000000"/>
          <w:sz w:val="28"/>
          <w:szCs w:val="28"/>
          <w:highlight w:val="none"/>
          <w:lang w:val="en-US" w:eastAsia="zh-CN"/>
        </w:rPr>
        <w:t>https://eps.tunhe.com/Supplier/ForeSupplier/QwRegStepStart）完成注册；2024年10月21日12点前完成系统报名；采购人组织资格审查合格后，供应商2024年10月22日通过EPS采购平台获取采购文件；</w:t>
      </w:r>
      <w:r>
        <w:rPr>
          <w:rFonts w:hint="eastAsia" w:ascii="仿宋GB2312" w:hAnsi="仿宋GB2312" w:eastAsia="仿宋GB2312" w:cs="仿宋GB2312"/>
          <w:color w:val="000000"/>
          <w:sz w:val="28"/>
          <w:szCs w:val="28"/>
          <w:highlight w:val="none"/>
          <w:lang w:eastAsia="zh-CN"/>
        </w:rPr>
        <w:t>2024</w:t>
      </w:r>
      <w:r>
        <w:rPr>
          <w:rFonts w:hint="eastAsia" w:ascii="仿宋GB2312" w:hAnsi="仿宋GB2312" w:eastAsia="仿宋GB2312" w:cs="仿宋GB2312"/>
          <w:color w:val="000000"/>
          <w:sz w:val="28"/>
          <w:szCs w:val="28"/>
          <w:highlight w:val="none"/>
        </w:rPr>
        <w:t>年</w:t>
      </w:r>
      <w:r>
        <w:rPr>
          <w:rFonts w:hint="eastAsia" w:ascii="仿宋GB2312" w:hAnsi="仿宋GB2312" w:eastAsia="仿宋GB2312" w:cs="仿宋GB2312"/>
          <w:color w:val="000000"/>
          <w:sz w:val="28"/>
          <w:szCs w:val="28"/>
          <w:highlight w:val="none"/>
          <w:lang w:val="en-US" w:eastAsia="zh-CN"/>
        </w:rPr>
        <w:t>10</w:t>
      </w:r>
      <w:r>
        <w:rPr>
          <w:rFonts w:hint="eastAsia" w:ascii="仿宋GB2312" w:hAnsi="仿宋GB2312" w:eastAsia="仿宋GB2312" w:cs="仿宋GB2312"/>
          <w:color w:val="000000"/>
          <w:sz w:val="28"/>
          <w:szCs w:val="28"/>
          <w:highlight w:val="none"/>
        </w:rPr>
        <w:t>月</w:t>
      </w:r>
      <w:r>
        <w:rPr>
          <w:rFonts w:hint="eastAsia" w:ascii="仿宋GB2312" w:hAnsi="仿宋GB2312" w:eastAsia="仿宋GB2312" w:cs="仿宋GB2312"/>
          <w:color w:val="000000"/>
          <w:sz w:val="28"/>
          <w:szCs w:val="28"/>
          <w:highlight w:val="none"/>
          <w:lang w:val="en-US" w:eastAsia="zh-CN"/>
        </w:rPr>
        <w:t>28</w:t>
      </w:r>
      <w:r>
        <w:rPr>
          <w:rFonts w:hint="eastAsia" w:ascii="仿宋GB2312" w:hAnsi="仿宋GB2312" w:eastAsia="仿宋GB2312" w:cs="仿宋GB2312"/>
          <w:color w:val="000000"/>
          <w:sz w:val="28"/>
          <w:szCs w:val="28"/>
          <w:highlight w:val="none"/>
        </w:rPr>
        <w:t>日</w:t>
      </w:r>
      <w:r>
        <w:rPr>
          <w:rFonts w:hint="eastAsia" w:ascii="仿宋GB2312" w:hAnsi="仿宋GB2312" w:eastAsia="仿宋GB2312" w:cs="仿宋GB2312"/>
          <w:color w:val="000000"/>
          <w:sz w:val="28"/>
          <w:szCs w:val="28"/>
          <w:highlight w:val="none"/>
          <w:lang w:val="en-US" w:eastAsia="zh-CN"/>
        </w:rPr>
        <w:t>12</w:t>
      </w:r>
      <w:r>
        <w:rPr>
          <w:rFonts w:hint="eastAsia" w:ascii="仿宋GB2312" w:hAnsi="仿宋GB2312" w:eastAsia="仿宋GB2312" w:cs="仿宋GB2312"/>
          <w:color w:val="000000"/>
          <w:sz w:val="28"/>
          <w:szCs w:val="28"/>
          <w:highlight w:val="none"/>
        </w:rPr>
        <w:t>点前在中粮糖业EPS采购平台上按采购文件说明条款提供相关资料并提交第一轮报价(过期无效)。</w:t>
      </w:r>
      <w:r>
        <w:rPr>
          <w:rFonts w:hint="eastAsia" w:ascii="仿宋GB2312" w:hAnsi="仿宋GB2312" w:eastAsia="仿宋GB2312" w:cs="仿宋GB2312"/>
          <w:color w:val="000000"/>
          <w:sz w:val="28"/>
          <w:szCs w:val="28"/>
          <w:highlight w:val="none"/>
          <w:lang w:val="en-US" w:eastAsia="zh-CN"/>
        </w:rPr>
        <w:fldChar w:fldCharType="end"/>
      </w:r>
    </w:p>
    <w:p>
      <w:pPr>
        <w:kinsoku/>
        <w:wordWrap/>
        <w:overflowPunct/>
        <w:topLinePunct w:val="0"/>
        <w:bidi w:val="0"/>
        <w:adjustRightInd/>
        <w:snapToGrid/>
        <w:spacing w:line="240" w:lineRule="auto"/>
        <w:ind w:left="-31" w:leftChars="-15" w:firstLine="566"/>
        <w:contextualSpacing/>
        <w:textAlignment w:val="auto"/>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lang w:val="en-US" w:eastAsia="zh-CN"/>
        </w:rPr>
        <w:t>5</w:t>
      </w:r>
      <w:r>
        <w:rPr>
          <w:rFonts w:hint="eastAsia" w:ascii="仿宋GB2312" w:hAnsi="仿宋GB2312" w:eastAsia="仿宋GB2312" w:cs="仿宋GB2312"/>
          <w:color w:val="000000"/>
          <w:sz w:val="28"/>
          <w:szCs w:val="28"/>
          <w:highlight w:val="none"/>
        </w:rPr>
        <w:t>.2 采购人在报名阶段组织的资格审查，不免除</w:t>
      </w:r>
      <w:r>
        <w:rPr>
          <w:rFonts w:hint="eastAsia" w:ascii="仿宋GB2312" w:hAnsi="仿宋GB2312" w:eastAsia="仿宋GB2312" w:cs="仿宋GB2312"/>
          <w:color w:val="000000"/>
          <w:sz w:val="28"/>
          <w:szCs w:val="28"/>
          <w:highlight w:val="none"/>
          <w:lang w:eastAsia="zh-CN"/>
        </w:rPr>
        <w:t>供应商</w:t>
      </w:r>
      <w:r>
        <w:rPr>
          <w:rFonts w:hint="eastAsia" w:ascii="仿宋GB2312" w:hAnsi="仿宋GB2312" w:eastAsia="仿宋GB2312" w:cs="仿宋GB2312"/>
          <w:color w:val="000000"/>
          <w:sz w:val="28"/>
          <w:szCs w:val="28"/>
          <w:highlight w:val="none"/>
        </w:rPr>
        <w:t>在报价阶段以及合同执行阶段，发现</w:t>
      </w:r>
      <w:r>
        <w:rPr>
          <w:rFonts w:hint="eastAsia" w:ascii="仿宋GB2312" w:hAnsi="仿宋GB2312" w:eastAsia="仿宋GB2312" w:cs="仿宋GB2312"/>
          <w:color w:val="000000"/>
          <w:sz w:val="28"/>
          <w:szCs w:val="28"/>
          <w:highlight w:val="none"/>
          <w:lang w:eastAsia="zh-CN"/>
        </w:rPr>
        <w:t>供应商</w:t>
      </w:r>
      <w:r>
        <w:rPr>
          <w:rFonts w:hint="eastAsia" w:ascii="仿宋GB2312" w:hAnsi="仿宋GB2312" w:eastAsia="仿宋GB2312" w:cs="仿宋GB2312"/>
          <w:color w:val="000000"/>
          <w:sz w:val="28"/>
          <w:szCs w:val="28"/>
          <w:highlight w:val="none"/>
        </w:rPr>
        <w:t>资格不符合而废除</w:t>
      </w:r>
      <w:r>
        <w:rPr>
          <w:rFonts w:hint="eastAsia" w:ascii="仿宋GB2312" w:hAnsi="仿宋GB2312" w:eastAsia="仿宋GB2312" w:cs="仿宋GB2312"/>
          <w:color w:val="000000"/>
          <w:sz w:val="28"/>
          <w:szCs w:val="28"/>
          <w:highlight w:val="none"/>
          <w:lang w:eastAsia="zh-CN"/>
        </w:rPr>
        <w:t>供应商</w:t>
      </w:r>
      <w:r>
        <w:rPr>
          <w:rFonts w:hint="eastAsia" w:ascii="仿宋GB2312" w:hAnsi="仿宋GB2312" w:eastAsia="仿宋GB2312" w:cs="仿宋GB2312"/>
          <w:color w:val="000000"/>
          <w:sz w:val="28"/>
          <w:szCs w:val="28"/>
          <w:highlight w:val="none"/>
        </w:rPr>
        <w:t>资格或者废除合同。</w:t>
      </w:r>
    </w:p>
    <w:p>
      <w:pPr>
        <w:kinsoku/>
        <w:wordWrap/>
        <w:overflowPunct/>
        <w:topLinePunct w:val="0"/>
        <w:bidi w:val="0"/>
        <w:adjustRightInd/>
        <w:snapToGrid/>
        <w:spacing w:line="240" w:lineRule="auto"/>
        <w:ind w:left="-31" w:leftChars="-15" w:firstLine="566"/>
        <w:contextualSpacing/>
        <w:textAlignment w:val="auto"/>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lang w:val="en-US" w:eastAsia="zh-CN"/>
        </w:rPr>
        <w:t>5</w:t>
      </w:r>
      <w:r>
        <w:rPr>
          <w:rFonts w:hint="eastAsia" w:ascii="仿宋GB2312" w:hAnsi="仿宋GB2312" w:eastAsia="仿宋GB2312" w:cs="仿宋GB2312"/>
          <w:color w:val="000000"/>
          <w:sz w:val="28"/>
          <w:szCs w:val="28"/>
          <w:highlight w:val="none"/>
        </w:rPr>
        <w:t>.3 谈判采购计划进行</w:t>
      </w:r>
      <w:r>
        <w:rPr>
          <w:rFonts w:hint="eastAsia" w:ascii="仿宋GB2312" w:hAnsi="仿宋GB2312" w:eastAsia="仿宋GB2312" w:cs="仿宋GB2312"/>
          <w:sz w:val="28"/>
          <w:szCs w:val="28"/>
          <w:highlight w:val="none"/>
        </w:rPr>
        <w:t>多轮</w:t>
      </w:r>
      <w:r>
        <w:rPr>
          <w:rFonts w:hint="eastAsia" w:ascii="仿宋GB2312" w:hAnsi="仿宋GB2312" w:eastAsia="仿宋GB2312" w:cs="仿宋GB2312"/>
          <w:color w:val="000000"/>
          <w:sz w:val="28"/>
          <w:szCs w:val="28"/>
          <w:highlight w:val="none"/>
        </w:rPr>
        <w:t>报价。</w:t>
      </w:r>
    </w:p>
    <w:p>
      <w:pPr>
        <w:pStyle w:val="2"/>
        <w:kinsoku/>
        <w:wordWrap/>
        <w:overflowPunct/>
        <w:topLinePunct w:val="0"/>
        <w:bidi w:val="0"/>
        <w:adjustRightInd/>
        <w:snapToGrid/>
        <w:spacing w:line="240" w:lineRule="auto"/>
        <w:ind w:left="-31" w:leftChars="-15" w:firstLine="566"/>
        <w:contextualSpacing/>
        <w:textAlignment w:val="auto"/>
        <w:rPr>
          <w:rFonts w:hint="eastAsia" w:ascii="仿宋GB2312" w:hAnsi="仿宋GB2312" w:eastAsia="仿宋GB2312" w:cs="仿宋GB2312"/>
          <w:color w:val="000000"/>
          <w:sz w:val="28"/>
          <w:szCs w:val="28"/>
          <w:highlight w:val="none"/>
          <w:u w:val="none"/>
        </w:rPr>
      </w:pPr>
      <w:bookmarkStart w:id="3" w:name="_Toc21651"/>
      <w:r>
        <w:rPr>
          <w:rFonts w:hint="eastAsia" w:ascii="仿宋GB2312" w:hAnsi="仿宋GB2312" w:eastAsia="仿宋GB2312" w:cs="仿宋GB2312"/>
          <w:color w:val="000000"/>
          <w:sz w:val="28"/>
          <w:szCs w:val="28"/>
          <w:highlight w:val="none"/>
          <w:u w:val="none"/>
          <w:lang w:val="en-US" w:eastAsia="zh-CN"/>
        </w:rPr>
        <w:t>6</w:t>
      </w:r>
      <w:r>
        <w:rPr>
          <w:rFonts w:hint="eastAsia" w:ascii="仿宋GB2312" w:hAnsi="仿宋GB2312" w:eastAsia="仿宋GB2312" w:cs="仿宋GB2312"/>
          <w:color w:val="000000"/>
          <w:sz w:val="28"/>
          <w:szCs w:val="28"/>
          <w:highlight w:val="none"/>
          <w:u w:val="none"/>
        </w:rPr>
        <w:t>. 发布公告的媒介</w:t>
      </w:r>
      <w:bookmarkEnd w:id="3"/>
    </w:p>
    <w:p>
      <w:pPr>
        <w:kinsoku/>
        <w:wordWrap/>
        <w:overflowPunct/>
        <w:topLinePunct w:val="0"/>
        <w:bidi w:val="0"/>
        <w:adjustRightInd/>
        <w:snapToGrid/>
        <w:spacing w:line="240" w:lineRule="auto"/>
        <w:ind w:left="-31" w:leftChars="-15" w:firstLine="490" w:firstLineChars="175"/>
        <w:contextualSpacing/>
        <w:textAlignment w:val="auto"/>
        <w:rPr>
          <w:rFonts w:hint="eastAsia" w:ascii="仿宋GB2312" w:hAnsi="仿宋GB2312" w:eastAsia="仿宋GB2312" w:cs="仿宋GB2312"/>
          <w:color w:val="000000"/>
          <w:sz w:val="28"/>
          <w:szCs w:val="28"/>
          <w:highlight w:val="none"/>
        </w:rPr>
      </w:pPr>
      <w:bookmarkStart w:id="4" w:name="_Toc43732955"/>
      <w:bookmarkStart w:id="5" w:name="_Toc13094"/>
      <w:bookmarkStart w:id="6" w:name="_Toc18249"/>
      <w:bookmarkStart w:id="7" w:name="_Toc32404"/>
      <w:bookmarkStart w:id="8" w:name="_Toc1597"/>
      <w:bookmarkStart w:id="9" w:name="_Toc5837"/>
      <w:bookmarkStart w:id="10" w:name="_Toc27851"/>
      <w:bookmarkStart w:id="11" w:name="_Toc30288"/>
      <w:bookmarkStart w:id="12" w:name="_Toc17966"/>
      <w:bookmarkStart w:id="13" w:name="_Toc26629"/>
      <w:bookmarkStart w:id="14" w:name="_Toc12326"/>
      <w:bookmarkStart w:id="15" w:name="_Toc25787"/>
      <w:bookmarkStart w:id="16" w:name="_Toc9870"/>
      <w:bookmarkStart w:id="17" w:name="_Toc25027"/>
      <w:r>
        <w:rPr>
          <w:rFonts w:hint="eastAsia" w:ascii="仿宋GB2312" w:hAnsi="仿宋GB2312" w:eastAsia="仿宋GB2312" w:cs="仿宋GB2312"/>
          <w:color w:val="000000"/>
          <w:sz w:val="28"/>
          <w:szCs w:val="28"/>
          <w:highlight w:val="none"/>
        </w:rPr>
        <w:t>本次</w:t>
      </w:r>
      <w:bookmarkEnd w:id="4"/>
      <w:r>
        <w:rPr>
          <w:rFonts w:hint="eastAsia" w:ascii="仿宋GB2312" w:hAnsi="仿宋GB2312" w:eastAsia="仿宋GB2312" w:cs="仿宋GB2312"/>
          <w:color w:val="000000"/>
          <w:sz w:val="28"/>
          <w:szCs w:val="28"/>
          <w:highlight w:val="none"/>
        </w:rPr>
        <w:t>谈判在中粮糖业公司电子采购管理平台（简称EPS平台）公开发布。</w:t>
      </w:r>
    </w:p>
    <w:p>
      <w:pPr>
        <w:kinsoku/>
        <w:wordWrap/>
        <w:overflowPunct/>
        <w:topLinePunct w:val="0"/>
        <w:bidi w:val="0"/>
        <w:adjustRightInd/>
        <w:snapToGrid/>
        <w:spacing w:line="240" w:lineRule="auto"/>
        <w:ind w:left="-31" w:leftChars="-15" w:firstLine="599"/>
        <w:contextualSpacing/>
        <w:textAlignment w:val="auto"/>
        <w:rPr>
          <w:rFonts w:hint="eastAsia" w:ascii="仿宋GB2312" w:hAnsi="仿宋GB2312" w:eastAsia="仿宋GB2312" w:cs="仿宋GB2312"/>
          <w:b/>
          <w:color w:val="000000"/>
          <w:sz w:val="28"/>
          <w:szCs w:val="28"/>
          <w:highlight w:val="none"/>
        </w:rPr>
      </w:pPr>
      <w:r>
        <w:rPr>
          <w:rFonts w:hint="eastAsia" w:ascii="仿宋GB2312" w:hAnsi="仿宋GB2312" w:eastAsia="仿宋GB2312" w:cs="仿宋GB2312"/>
          <w:b/>
          <w:color w:val="000000"/>
          <w:sz w:val="28"/>
          <w:szCs w:val="28"/>
          <w:highlight w:val="none"/>
          <w:lang w:val="en-US" w:eastAsia="zh-CN"/>
        </w:rPr>
        <w:t>7</w:t>
      </w:r>
      <w:r>
        <w:rPr>
          <w:rFonts w:hint="eastAsia" w:ascii="仿宋GB2312" w:hAnsi="仿宋GB2312" w:eastAsia="仿宋GB2312" w:cs="仿宋GB2312"/>
          <w:b/>
          <w:color w:val="000000"/>
          <w:sz w:val="28"/>
          <w:szCs w:val="28"/>
          <w:highlight w:val="none"/>
        </w:rPr>
        <w:t xml:space="preserve">. </w:t>
      </w:r>
      <w:bookmarkEnd w:id="5"/>
      <w:bookmarkEnd w:id="6"/>
      <w:bookmarkEnd w:id="7"/>
      <w:bookmarkEnd w:id="8"/>
      <w:bookmarkEnd w:id="9"/>
      <w:bookmarkEnd w:id="10"/>
      <w:bookmarkEnd w:id="11"/>
      <w:bookmarkEnd w:id="12"/>
      <w:bookmarkEnd w:id="13"/>
      <w:bookmarkEnd w:id="14"/>
      <w:bookmarkEnd w:id="15"/>
      <w:bookmarkEnd w:id="16"/>
      <w:bookmarkEnd w:id="17"/>
      <w:r>
        <w:rPr>
          <w:rFonts w:hint="eastAsia" w:ascii="仿宋GB2312" w:hAnsi="仿宋GB2312" w:eastAsia="仿宋GB2312" w:cs="仿宋GB2312"/>
          <w:b/>
          <w:color w:val="000000"/>
          <w:sz w:val="28"/>
          <w:szCs w:val="28"/>
          <w:highlight w:val="none"/>
        </w:rPr>
        <w:t>采购人信息</w:t>
      </w:r>
    </w:p>
    <w:p>
      <w:pPr>
        <w:kinsoku/>
        <w:wordWrap/>
        <w:overflowPunct/>
        <w:topLinePunct w:val="0"/>
        <w:bidi w:val="0"/>
        <w:adjustRightInd/>
        <w:snapToGrid/>
        <w:spacing w:line="240" w:lineRule="auto"/>
        <w:contextualSpacing/>
        <w:textAlignment w:val="auto"/>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采购人名称：中粮屯河番茄有限公司</w:t>
      </w:r>
    </w:p>
    <w:p>
      <w:pPr>
        <w:kinsoku/>
        <w:wordWrap/>
        <w:overflowPunct/>
        <w:topLinePunct w:val="0"/>
        <w:bidi w:val="0"/>
        <w:adjustRightInd/>
        <w:snapToGrid/>
        <w:spacing w:line="240" w:lineRule="auto"/>
        <w:contextualSpacing/>
        <w:textAlignment w:val="auto"/>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采购人地址：天津滨海新区开发区第二大街泰达MSD-G1-801室</w:t>
      </w:r>
    </w:p>
    <w:p>
      <w:pPr>
        <w:kinsoku/>
        <w:wordWrap/>
        <w:overflowPunct/>
        <w:topLinePunct w:val="0"/>
        <w:bidi w:val="0"/>
        <w:adjustRightInd/>
        <w:snapToGrid/>
        <w:spacing w:line="240" w:lineRule="auto"/>
        <w:contextualSpacing/>
        <w:textAlignment w:val="auto"/>
        <w:rPr>
          <w:rFonts w:hint="eastAsia" w:ascii="仿宋GB2312" w:hAnsi="仿宋GB2312" w:eastAsia="仿宋GB2312" w:cs="仿宋GB2312"/>
          <w:color w:val="000000"/>
          <w:sz w:val="28"/>
          <w:szCs w:val="28"/>
          <w:highlight w:val="none"/>
          <w:lang w:eastAsia="zh-CN"/>
        </w:rPr>
      </w:pPr>
      <w:r>
        <w:rPr>
          <w:rFonts w:hint="eastAsia" w:ascii="仿宋GB2312" w:hAnsi="仿宋GB2312" w:eastAsia="仿宋GB2312" w:cs="仿宋GB2312"/>
          <w:color w:val="000000"/>
          <w:sz w:val="28"/>
          <w:szCs w:val="28"/>
          <w:highlight w:val="none"/>
        </w:rPr>
        <w:t>联系人：</w:t>
      </w:r>
      <w:r>
        <w:rPr>
          <w:rFonts w:hint="eastAsia" w:ascii="仿宋GB2312" w:hAnsi="仿宋GB2312" w:eastAsia="仿宋GB2312" w:cs="仿宋GB2312"/>
          <w:color w:val="000000"/>
          <w:sz w:val="28"/>
          <w:szCs w:val="28"/>
          <w:highlight w:val="none"/>
          <w:lang w:val="en-US" w:eastAsia="zh-CN"/>
        </w:rPr>
        <w:t>王晶</w:t>
      </w:r>
      <w:r>
        <w:rPr>
          <w:rFonts w:hint="eastAsia" w:ascii="仿宋GB2312" w:hAnsi="仿宋GB2312" w:eastAsia="仿宋GB2312" w:cs="仿宋GB2312"/>
          <w:color w:val="000000"/>
          <w:sz w:val="28"/>
          <w:szCs w:val="28"/>
          <w:highlight w:val="none"/>
        </w:rPr>
        <w:t xml:space="preserve">       联系电话：022-6628790</w:t>
      </w:r>
      <w:r>
        <w:rPr>
          <w:rFonts w:hint="eastAsia" w:ascii="仿宋GB2312" w:hAnsi="仿宋GB2312" w:eastAsia="仿宋GB2312" w:cs="仿宋GB2312"/>
          <w:color w:val="000000"/>
          <w:sz w:val="28"/>
          <w:szCs w:val="28"/>
          <w:highlight w:val="none"/>
          <w:lang w:val="en-US" w:eastAsia="zh-CN"/>
        </w:rPr>
        <w:t>6</w:t>
      </w:r>
    </w:p>
    <w:p>
      <w:pPr>
        <w:pStyle w:val="4"/>
        <w:kinsoku/>
        <w:wordWrap/>
        <w:overflowPunct/>
        <w:topLinePunct w:val="0"/>
        <w:bidi w:val="0"/>
        <w:adjustRightInd/>
        <w:snapToGrid/>
        <w:spacing w:line="240" w:lineRule="auto"/>
        <w:jc w:val="left"/>
        <w:textAlignment w:val="auto"/>
        <w:rPr>
          <w:rFonts w:hint="eastAsia" w:ascii="仿宋GB2312" w:hAnsi="仿宋GB2312" w:eastAsia="仿宋GB2312" w:cs="仿宋GB2312"/>
          <w:color w:val="000000"/>
          <w:sz w:val="28"/>
          <w:szCs w:val="28"/>
          <w:highlight w:val="none"/>
          <w:lang w:val="en-US" w:eastAsia="zh-CN"/>
        </w:rPr>
      </w:pPr>
      <w:r>
        <w:rPr>
          <w:rFonts w:hint="eastAsia" w:ascii="仿宋GB2312" w:hAnsi="仿宋GB2312" w:eastAsia="仿宋GB2312" w:cs="仿宋GB2312"/>
          <w:color w:val="000000"/>
          <w:sz w:val="28"/>
          <w:szCs w:val="28"/>
          <w:highlight w:val="none"/>
          <w:lang w:val="en-US" w:eastAsia="zh-CN"/>
        </w:rPr>
        <w:t>采购业务监督人员及电话：杨丽娟 022-66287909/仲廷霞 13689908372</w:t>
      </w:r>
    </w:p>
    <w:p>
      <w:pPr>
        <w:pStyle w:val="4"/>
        <w:kinsoku/>
        <w:wordWrap/>
        <w:overflowPunct/>
        <w:topLinePunct w:val="0"/>
        <w:bidi w:val="0"/>
        <w:adjustRightInd/>
        <w:snapToGrid/>
        <w:spacing w:line="240" w:lineRule="auto"/>
        <w:jc w:val="left"/>
        <w:textAlignment w:val="auto"/>
        <w:rPr>
          <w:rFonts w:hint="eastAsia" w:ascii="仿宋GB2312" w:hAnsi="仿宋GB2312" w:eastAsia="仿宋GB2312" w:cs="仿宋GB2312"/>
          <w:color w:val="000000"/>
          <w:sz w:val="28"/>
          <w:szCs w:val="28"/>
          <w:highlight w:val="none"/>
          <w:lang w:val="en-US" w:eastAsia="zh-CN"/>
        </w:rPr>
      </w:pPr>
      <w:r>
        <w:rPr>
          <w:rFonts w:hint="eastAsia" w:ascii="仿宋GB2312" w:hAnsi="仿宋GB2312" w:eastAsia="仿宋GB2312" w:cs="仿宋GB2312"/>
          <w:color w:val="000000"/>
          <w:sz w:val="28"/>
          <w:szCs w:val="28"/>
          <w:highlight w:val="none"/>
          <w:lang w:val="en-US" w:eastAsia="zh-CN"/>
        </w:rPr>
        <w:t>采购业务监督人员邮箱：</w:t>
      </w:r>
      <w:r>
        <w:rPr>
          <w:rFonts w:hint="eastAsia" w:ascii="仿宋GB2312" w:hAnsi="仿宋GB2312" w:eastAsia="仿宋GB2312" w:cs="仿宋GB2312"/>
          <w:color w:val="000000"/>
          <w:sz w:val="28"/>
          <w:szCs w:val="28"/>
          <w:highlight w:val="none"/>
          <w:lang w:val="en-US" w:eastAsia="zh-CN"/>
        </w:rPr>
        <w:fldChar w:fldCharType="begin"/>
      </w:r>
      <w:r>
        <w:rPr>
          <w:rFonts w:hint="eastAsia" w:ascii="仿宋GB2312" w:hAnsi="仿宋GB2312" w:eastAsia="仿宋GB2312" w:cs="仿宋GB2312"/>
          <w:color w:val="000000"/>
          <w:sz w:val="28"/>
          <w:szCs w:val="28"/>
          <w:highlight w:val="none"/>
          <w:lang w:val="en-US" w:eastAsia="zh-CN"/>
        </w:rPr>
        <w:instrText xml:space="preserve"> HYPERLINK "mailto:yanglj.th@cofco.com/zhongtx@cofco.com" </w:instrText>
      </w:r>
      <w:r>
        <w:rPr>
          <w:rFonts w:hint="eastAsia" w:ascii="仿宋GB2312" w:hAnsi="仿宋GB2312" w:eastAsia="仿宋GB2312" w:cs="仿宋GB2312"/>
          <w:color w:val="000000"/>
          <w:sz w:val="28"/>
          <w:szCs w:val="28"/>
          <w:highlight w:val="none"/>
          <w:lang w:val="en-US" w:eastAsia="zh-CN"/>
        </w:rPr>
        <w:fldChar w:fldCharType="separate"/>
      </w:r>
      <w:r>
        <w:rPr>
          <w:rStyle w:val="7"/>
          <w:rFonts w:hint="eastAsia" w:ascii="仿宋GB2312" w:hAnsi="仿宋GB2312" w:eastAsia="仿宋GB2312" w:cs="仿宋GB2312"/>
          <w:sz w:val="28"/>
          <w:szCs w:val="28"/>
          <w:highlight w:val="none"/>
          <w:lang w:val="en-US" w:eastAsia="zh-CN"/>
        </w:rPr>
        <w:t>yanglj.th@cofco.com/zhongtx@cofco.com</w:t>
      </w:r>
      <w:r>
        <w:rPr>
          <w:rFonts w:hint="eastAsia" w:ascii="仿宋GB2312" w:hAnsi="仿宋GB2312" w:eastAsia="仿宋GB2312" w:cs="仿宋GB2312"/>
          <w:color w:val="000000"/>
          <w:sz w:val="28"/>
          <w:szCs w:val="28"/>
          <w:highlight w:val="none"/>
          <w:lang w:val="en-US" w:eastAsia="zh-CN"/>
        </w:rPr>
        <w:fldChar w:fldCharType="end"/>
      </w:r>
    </w:p>
    <w:p>
      <w:pPr>
        <w:pStyle w:val="4"/>
        <w:kinsoku/>
        <w:wordWrap/>
        <w:overflowPunct/>
        <w:topLinePunct w:val="0"/>
        <w:bidi w:val="0"/>
        <w:adjustRightInd/>
        <w:snapToGrid/>
        <w:spacing w:line="240" w:lineRule="auto"/>
        <w:ind w:left="-31" w:leftChars="-15" w:firstLine="562" w:firstLineChars="200"/>
        <w:textAlignment w:val="auto"/>
        <w:rPr>
          <w:rFonts w:hint="eastAsia" w:hAnsi="宋体" w:cs="宋体"/>
          <w:b/>
          <w:bCs/>
          <w:kern w:val="0"/>
          <w:sz w:val="28"/>
          <w:szCs w:val="28"/>
          <w:highlight w:val="none"/>
        </w:rPr>
      </w:pPr>
      <w:r>
        <w:rPr>
          <w:rFonts w:hint="eastAsia" w:hAnsi="宋体" w:cs="宋体"/>
          <w:b/>
          <w:bCs/>
          <w:kern w:val="0"/>
          <w:sz w:val="28"/>
          <w:szCs w:val="28"/>
          <w:highlight w:val="none"/>
          <w:lang w:val="en-US" w:eastAsia="zh-CN"/>
        </w:rPr>
        <w:t>8</w:t>
      </w:r>
      <w:r>
        <w:rPr>
          <w:rFonts w:hint="eastAsia" w:hAnsi="宋体" w:cs="宋体"/>
          <w:b/>
          <w:bCs/>
          <w:kern w:val="0"/>
          <w:sz w:val="28"/>
          <w:szCs w:val="28"/>
          <w:highlight w:val="none"/>
        </w:rPr>
        <w:t>.监督部门及电话</w:t>
      </w:r>
    </w:p>
    <w:p>
      <w:pPr>
        <w:kinsoku/>
        <w:wordWrap/>
        <w:overflowPunct/>
        <w:topLinePunct w:val="0"/>
        <w:bidi w:val="0"/>
        <w:adjustRightInd/>
        <w:snapToGrid/>
        <w:spacing w:line="240" w:lineRule="auto"/>
        <w:ind w:left="-31" w:leftChars="-15" w:firstLine="490" w:firstLineChars="175"/>
        <w:contextualSpacing/>
        <w:textAlignment w:val="auto"/>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一、中粮糖业控股股份有限公司纪检信访举报联络方式</w:t>
      </w:r>
    </w:p>
    <w:p>
      <w:pPr>
        <w:kinsoku/>
        <w:wordWrap/>
        <w:overflowPunct/>
        <w:topLinePunct w:val="0"/>
        <w:bidi w:val="0"/>
        <w:adjustRightInd/>
        <w:snapToGrid/>
        <w:spacing w:line="240" w:lineRule="auto"/>
        <w:ind w:left="-31" w:leftChars="-15" w:firstLine="490" w:firstLineChars="175"/>
        <w:contextualSpacing/>
        <w:textAlignment w:val="auto"/>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1.寄信通讯地址：北京市朝阳区朝阳门南大街8号中粮福临门大厦9层纪委办公室（收），邮政编码：100020</w:t>
      </w:r>
    </w:p>
    <w:p>
      <w:pPr>
        <w:kinsoku/>
        <w:wordWrap/>
        <w:overflowPunct/>
        <w:topLinePunct w:val="0"/>
        <w:bidi w:val="0"/>
        <w:adjustRightInd/>
        <w:snapToGrid/>
        <w:spacing w:line="240" w:lineRule="auto"/>
        <w:ind w:left="-31" w:leftChars="-15" w:firstLine="490" w:firstLineChars="175"/>
        <w:contextualSpacing/>
        <w:textAlignment w:val="auto"/>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2.致电举报电话 010-85017235</w:t>
      </w:r>
    </w:p>
    <w:p>
      <w:pPr>
        <w:kinsoku/>
        <w:wordWrap/>
        <w:overflowPunct/>
        <w:topLinePunct w:val="0"/>
        <w:bidi w:val="0"/>
        <w:adjustRightInd/>
        <w:snapToGrid/>
        <w:spacing w:line="240" w:lineRule="auto"/>
        <w:ind w:left="-31" w:leftChars="-15" w:firstLine="490" w:firstLineChars="175"/>
        <w:contextualSpacing/>
        <w:textAlignment w:val="auto"/>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二、中粮屯河番茄有限公司纪检信访举报联络方式</w:t>
      </w:r>
    </w:p>
    <w:p>
      <w:pPr>
        <w:kinsoku/>
        <w:wordWrap/>
        <w:overflowPunct/>
        <w:topLinePunct w:val="0"/>
        <w:bidi w:val="0"/>
        <w:adjustRightInd/>
        <w:snapToGrid/>
        <w:spacing w:line="240" w:lineRule="auto"/>
        <w:ind w:left="-31" w:leftChars="-15" w:firstLine="490" w:firstLineChars="175"/>
        <w:contextualSpacing/>
        <w:textAlignment w:val="auto"/>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1.寄信通讯地址：新疆乌鲁木齐市黄河路2号招商银行大厦20楼中粮屯河番茄有限公司党群纪检部（收），邮政编码：830000</w:t>
      </w:r>
    </w:p>
    <w:p>
      <w:pPr>
        <w:kinsoku/>
        <w:wordWrap/>
        <w:overflowPunct/>
        <w:topLinePunct w:val="0"/>
        <w:bidi w:val="0"/>
        <w:adjustRightInd/>
        <w:snapToGrid/>
        <w:spacing w:line="240" w:lineRule="auto"/>
        <w:ind w:left="-31" w:leftChars="-15" w:firstLine="490" w:firstLineChars="175"/>
        <w:contextualSpacing/>
        <w:textAlignment w:val="auto"/>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2.致电  举报电话 18709967070</w:t>
      </w:r>
    </w:p>
    <w:p>
      <w:pPr>
        <w:kinsoku/>
        <w:wordWrap/>
        <w:overflowPunct/>
        <w:topLinePunct w:val="0"/>
        <w:bidi w:val="0"/>
        <w:adjustRightInd/>
        <w:snapToGrid/>
        <w:spacing w:line="240" w:lineRule="auto"/>
        <w:textAlignment w:val="auto"/>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隶书">
    <w:panose1 w:val="0201050906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GB2312">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wYmUwMDA3YTVmNzA4ODE4MWIyYWIyNThiMmNlNjAifQ=="/>
  </w:docVars>
  <w:rsids>
    <w:rsidRoot w:val="3C234AC0"/>
    <w:rsid w:val="11554701"/>
    <w:rsid w:val="3C234AC0"/>
    <w:rsid w:val="4DFC13C8"/>
    <w:rsid w:val="52CF6A9D"/>
    <w:rsid w:val="5C0F2EAB"/>
    <w:rsid w:val="691D1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color w:val="CCCCFF"/>
      <w:sz w:val="32"/>
      <w:szCs w:val="32"/>
      <w:u w:val="single"/>
    </w:rPr>
  </w:style>
  <w:style w:type="paragraph" w:styleId="3">
    <w:name w:val="heading 3"/>
    <w:basedOn w:val="1"/>
    <w:next w:val="1"/>
    <w:qFormat/>
    <w:uiPriority w:val="0"/>
    <w:pPr>
      <w:keepNext/>
      <w:keepLines/>
      <w:spacing w:before="260" w:after="260" w:line="416" w:lineRule="auto"/>
      <w:outlineLvl w:val="2"/>
    </w:pPr>
    <w:rPr>
      <w:rFonts w:ascii="Book Antiqua" w:hAnsi="Book Antiqua" w:eastAsia="隶书"/>
      <w:b/>
      <w:bCs/>
      <w:color w:val="CCCCFF"/>
      <w:sz w:val="32"/>
      <w:szCs w:val="32"/>
      <w:u w:val="single"/>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szCs w:val="20"/>
    </w:rPr>
  </w:style>
  <w:style w:type="character" w:styleId="7">
    <w:name w:val="Hyperlink"/>
    <w:qFormat/>
    <w:uiPriority w:val="0"/>
    <w:rPr>
      <w:color w:val="0000FF"/>
      <w:u w:val="single"/>
    </w:rPr>
  </w:style>
  <w:style w:type="paragraph" w:styleId="8">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2024-05-24T07:38:00Z</dcterms:created>
  <dc:creator>杨华东</dc:creator>
  <cp:lastModifiedBy>杨华东</cp:lastModifiedBy>
  <dcterms:modified xsi:type="dcterms:W3CDTF">2024-10-16T04:54:19Z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24791377FF1B45B5830A62FF95241E8D_11</vt:lpwstr>
  </property>
</Properties>
</file>