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6911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番茄粉</w:t>
      </w:r>
      <w:r>
        <w:rPr>
          <w:rFonts w:hint="eastAsia" w:ascii="方正小标宋_GBK" w:eastAsia="方正小标宋_GBK"/>
          <w:sz w:val="36"/>
          <w:szCs w:val="36"/>
        </w:rPr>
        <w:t>公司202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年厂车客运服务项目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采购公告</w:t>
      </w:r>
    </w:p>
    <w:p w14:paraId="16599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/>
        </w:rPr>
        <w:t xml:space="preserve">尊敬的各位投标方，您好！ </w:t>
      </w:r>
    </w:p>
    <w:p w14:paraId="413D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采购人为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中粮屯河番茄有限公司昌吉番茄粉分公司</w:t>
      </w:r>
    </w:p>
    <w:p w14:paraId="5EA9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中粮屯河番茄有限公司昌吉番茄粉分公司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年厂车客运服务项目相关报批手续。采购人为</w:t>
      </w:r>
      <w:r>
        <w:rPr>
          <w:rFonts w:hint="eastAsia"/>
          <w:lang w:val="en-US" w:eastAsia="zh-CN"/>
        </w:rPr>
        <w:t>中粮屯河番茄有限公司昌吉番茄粉分公司</w:t>
      </w:r>
      <w:r>
        <w:rPr>
          <w:rFonts w:hint="eastAsia"/>
        </w:rPr>
        <w:t>（简称</w:t>
      </w:r>
      <w:r>
        <w:rPr>
          <w:rFonts w:hint="eastAsia"/>
          <w:lang w:val="en-US" w:eastAsia="zh-CN"/>
        </w:rPr>
        <w:t>番茄粉分公司</w:t>
      </w:r>
      <w:r>
        <w:rPr>
          <w:rFonts w:hint="eastAsia"/>
        </w:rPr>
        <w:t>），资金来源自筹。项目已具备采购条件，现将有关事项公告如下：</w:t>
      </w:r>
    </w:p>
    <w:p w14:paraId="60F84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00" w:leftChars="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项目概况</w:t>
      </w:r>
      <w:r>
        <w:rPr>
          <w:rFonts w:hint="eastAsia"/>
        </w:rPr>
        <w:t xml:space="preserve"> </w:t>
      </w:r>
    </w:p>
    <w:p w14:paraId="10B159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番茄粉</w:t>
      </w:r>
      <w:r>
        <w:rPr>
          <w:rFonts w:hint="eastAsia"/>
        </w:rPr>
        <w:t>公司202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年厂车客运服务项目</w:t>
      </w:r>
    </w:p>
    <w:p w14:paraId="3278E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采购人：</w:t>
      </w:r>
      <w:r>
        <w:rPr>
          <w:rFonts w:hint="eastAsia"/>
          <w:lang w:val="en-US" w:eastAsia="zh-CN"/>
        </w:rPr>
        <w:t>番茄粉分公司</w:t>
      </w:r>
    </w:p>
    <w:p w14:paraId="2399D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采购人（注册）地址：</w:t>
      </w:r>
      <w:r>
        <w:rPr>
          <w:rFonts w:hint="eastAsia"/>
          <w:lang w:val="en-US" w:eastAsia="zh-CN"/>
        </w:rPr>
        <w:t>新疆昌吉州昌吉市乌伊西路南侧西干渠路3号（大西渠镇）</w:t>
      </w:r>
    </w:p>
    <w:p w14:paraId="528854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Fonts w:hint="eastAsia"/>
        </w:rPr>
        <w:t>采购方式：谈判采购</w:t>
      </w:r>
    </w:p>
    <w:p w14:paraId="12E859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Fonts w:hint="eastAsia"/>
        </w:rPr>
        <w:t>采购需求：</w:t>
      </w:r>
    </w:p>
    <w:p w14:paraId="4049C85D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5" w:leftChars="114"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对2026年用车数量进行预估，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预计单趟次数约为343次，往返次数约为745次，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此次采购确定单价，签订开口合同，以实际数量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进行结算。</w:t>
      </w:r>
    </w:p>
    <w:p w14:paraId="76699C71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5" w:leftChars="114"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厂车路线为乌伊路沿线，统一商城-番茄粉厂，单趟8公里路程。</w:t>
      </w:r>
    </w:p>
    <w:p w14:paraId="0361F5FA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5" w:leftChars="114" w:firstLine="640" w:firstLineChars="200"/>
        <w:textAlignment w:val="auto"/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有员工乘坐才视为实际发车趟次，两小时内只往（来）或者只返（回）的为一个单趟；2小时内，又往（来）又返（回）的为一次往返。</w:t>
      </w:r>
    </w:p>
    <w:p w14:paraId="216BA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质量、</w:t>
      </w:r>
      <w:r>
        <w:rPr>
          <w:rFonts w:hint="eastAsia" w:ascii="Times New Roman" w:hAnsi="Times New Roman"/>
        </w:rPr>
        <w:t>技术要求：</w:t>
      </w:r>
    </w:p>
    <w:p w14:paraId="70650414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用车要求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每周一至周日，安排普通大客车接送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员工上下班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B294F3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根据采购方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员工、下班的时间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厂车需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提前5分钟到达接送站点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C2E0FFE">
      <w:pPr>
        <w:spacing w:line="50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发车时间：</w:t>
      </w:r>
    </w:p>
    <w:p w14:paraId="1276D6D8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往（来）：上班09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20/上夜班20:20/大倒班上班14:20</w:t>
      </w:r>
    </w:p>
    <w:p w14:paraId="13B56652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返（回）：下夜班10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30/下班18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40/下白班21:30/大倒班下班15:30</w:t>
      </w:r>
    </w:p>
    <w:p w14:paraId="0B18E052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必须准时到达指定地点接送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公司员工，常白班为每周一至周五，倒班为每周一至周日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大倒班为周日。如遇特殊情况，以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提出的发车要求为准。</w:t>
      </w:r>
    </w:p>
    <w:p w14:paraId="0598B190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严格按照发车路线行驶，不得私自变更行驶路线。</w:t>
      </w:r>
    </w:p>
    <w:p w14:paraId="7854F36B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（5）不发生交通事故。</w:t>
      </w:r>
    </w:p>
    <w:p w14:paraId="375B2D41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（6）签订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安全管理协议书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，按照双方职责权限，履行各自安全责任。</w:t>
      </w:r>
    </w:p>
    <w:p w14:paraId="41B71C15">
      <w:pPr>
        <w:numPr>
          <w:ilvl w:val="0"/>
          <w:numId w:val="0"/>
        </w:numPr>
        <w:ind w:left="800" w:leftChars="0"/>
        <w:rPr>
          <w:rFonts w:hint="eastAsia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投标资格</w:t>
      </w:r>
      <w:r>
        <w:rPr>
          <w:rFonts w:hint="eastAsia"/>
        </w:rPr>
        <w:t xml:space="preserve"> </w:t>
      </w:r>
    </w:p>
    <w:p w14:paraId="0957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投标人必须是中华人民共和国境内合法注册的独立法人机构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其他组织。自主经营、独立核算，具有本项目相应实施能力。</w:t>
      </w:r>
    </w:p>
    <w:p w14:paraId="4D1B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lang w:val="en-US" w:eastAsia="zh-CN"/>
        </w:rPr>
        <w:t>三、注册报名及采购文件的获取方式</w:t>
      </w:r>
      <w:r>
        <w:rPr>
          <w:rFonts w:hint="eastAsia"/>
        </w:rPr>
        <w:t xml:space="preserve"> </w:t>
      </w:r>
    </w:p>
    <w:p w14:paraId="0E2EF0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注册地点：有意向的供应商需在中粮糖业EPS采购平台（网址https://eps.cofcosugar.com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和中粮E采供应链采购平台（https://ecai.cofco.com）完成免费注册。</w:t>
      </w:r>
    </w:p>
    <w:p w14:paraId="10439A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报名方式：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注册完成后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的供应商，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凭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/>
        </w:rPr>
        <w:t>登录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账号登录中粮E采供应链采购平台（https://ecai.cofco.com）进行报名，报名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需提交的证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明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文件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如下：</w:t>
      </w:r>
    </w:p>
    <w:p w14:paraId="45C305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有效的营业执照（副本）或事业单位法人证书；</w:t>
      </w:r>
    </w:p>
    <w:p w14:paraId="27EC5D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与项目相关的其他特殊资质证书（如有）；</w:t>
      </w:r>
    </w:p>
    <w:p w14:paraId="18CD22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法定代表人须上传法人身份证明材料及身份证正反面的扫描件，若为被授权人须上传一份法人授权委托书和身份证正反面的扫描件；</w:t>
      </w:r>
    </w:p>
    <w:p w14:paraId="6B7121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近一年未被工商行政管理机关在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国家企业信用信息公示系统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（https://www.gsxt.gov.cn/index.html）中列入“严重违法失信企业名单”；“中国执行信息公开网”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http://zxgk.court.gov.cn/shixin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)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列入“失信被执行人”；</w:t>
      </w:r>
    </w:p>
    <w:p w14:paraId="14C9EB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供应商未被最高人民法院在“信用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中国”网站（https://www.creditchina.gov.cn/xinyongfuwu/zhongdashuishouweifaanjian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中列入“重大税收违法失信主体”；未被财政部在中国政府采购网（www.ccgp.gov.cn）中列入“政府采购严重违法失信行为记录名单”；以上信用信息网站的查询记录截图；</w:t>
      </w:r>
    </w:p>
    <w:p w14:paraId="0EEAFF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提供完成中粮糖业EPS采购系统的注册截图。</w:t>
      </w:r>
    </w:p>
    <w:p w14:paraId="50732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四、</w:t>
      </w:r>
      <w:r>
        <w:rPr>
          <w:rFonts w:hint="eastAsia" w:ascii="黑体" w:hAnsi="黑体" w:eastAsia="黑体" w:cs="黑体"/>
        </w:rPr>
        <w:t xml:space="preserve">投标响应文件的递交 </w:t>
      </w:r>
    </w:p>
    <w:p w14:paraId="16F8F7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通过审查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的供应商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可在中粮E采供应链采购平台（https://ecai.cofco.com）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获取采购文件，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本项目谈判文件采用线上方式获取，不向供应商提供纸质谈判文件</w:t>
      </w:r>
      <w:r>
        <w:rPr>
          <w:rFonts w:hint="eastAsia" w:ascii="仿宋_GB2312" w:hAnsi="宋体"/>
          <w:color w:val="000000"/>
          <w:sz w:val="32"/>
          <w:szCs w:val="32"/>
          <w:highlight w:val="none"/>
          <w:lang w:val="zh-CN"/>
        </w:rPr>
        <w:t>。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未按规定获取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采购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文件的供应商其响应文件将被拒绝，本项目为资格后审，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采购人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收到供应商的资料仅作为报名审核资料，并不意味着其响应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文件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在评审时不会被否决，最终评审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时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以供应商递交的响应文件中资格证明文件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 w:eastAsia="zh-CN"/>
        </w:rPr>
        <w:t>为准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zh-CN"/>
        </w:rPr>
        <w:t>进行评审，请供应商按谈判文件格式要求完整地编制在响应文件中。</w:t>
      </w:r>
    </w:p>
    <w:p w14:paraId="5F78A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lang w:val="en-US" w:eastAsia="zh-CN"/>
        </w:rPr>
        <w:t>五、联系方式</w:t>
      </w:r>
      <w:r>
        <w:rPr>
          <w:rFonts w:hint="eastAsia"/>
        </w:rPr>
        <w:t xml:space="preserve"> </w:t>
      </w:r>
    </w:p>
    <w:p w14:paraId="26A70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佘先生：18997563688</w:t>
      </w:r>
    </w:p>
    <w:p w14:paraId="46BE0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lang w:val="en-US" w:eastAsia="zh-CN"/>
        </w:rPr>
        <w:t>六、纪检监督部门及电话</w:t>
      </w:r>
      <w:r>
        <w:rPr>
          <w:rFonts w:hint="eastAsia"/>
        </w:rPr>
        <w:t xml:space="preserve"> </w:t>
      </w:r>
    </w:p>
    <w:p w14:paraId="3925F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中粮糖业控股股份有限公司纪检信访举报联络方式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010-85017235 </w:t>
      </w:r>
    </w:p>
    <w:p w14:paraId="6B7E8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</w:p>
    <w:p w14:paraId="3186A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</w:p>
    <w:p w14:paraId="2D11C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</w:p>
    <w:p w14:paraId="27D0A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昌吉番茄粉分公司</w:t>
      </w:r>
    </w:p>
    <w:p w14:paraId="1EF9D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2025年12月5日</w:t>
      </w:r>
    </w:p>
    <w:p w14:paraId="18A0C73A">
      <w:pPr>
        <w:jc w:val="both"/>
        <w:rPr>
          <w:rFonts w:hint="default" w:ascii="方正小标宋_GBK" w:eastAsia="方正小标宋_GBK"/>
          <w:sz w:val="36"/>
          <w:szCs w:val="36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2509C-1ABE-4CFE-AB32-2558356B8E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28ACA3-EFEC-43F5-885D-60FE81097F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33D0AF-18C0-47EF-8C35-8B98B808B0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7EAF40D-AD70-46FC-9BBC-F948A3A274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2EE7A"/>
    <w:multiLevelType w:val="singleLevel"/>
    <w:tmpl w:val="A832EE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67CD"/>
    <w:rsid w:val="018A2D63"/>
    <w:rsid w:val="046C4507"/>
    <w:rsid w:val="1BF81E87"/>
    <w:rsid w:val="27815FB5"/>
    <w:rsid w:val="3FED140E"/>
    <w:rsid w:val="512B1F7A"/>
    <w:rsid w:val="565A649A"/>
    <w:rsid w:val="60F967CD"/>
    <w:rsid w:val="67E61544"/>
    <w:rsid w:val="7A131EE7"/>
    <w:rsid w:val="7C5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5219cd75-904c-4953-bb3d-f76acee404eb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2EB294F3</paraID>
      <start>16</start>
      <end>17</end>
      <status>modified</status>
      <modifiedWord>，</modifiedWord>
      <trackRevisions>false</trackRevisions>
    </reviewItem>
    <reviewItem>
      <errorID>4d8062d5-a5f1-4f68-9919-52852ff0838a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1276D6D8</paraID>
      <start>9</start>
      <end>10</end>
      <status>modified</status>
      <modifiedWord>:</modifiedWord>
      <trackRevisions>false</trackRevisions>
    </reviewItem>
    <reviewItem>
      <errorID>a7ea1362-1b03-4c75-843f-88aebe259d28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13B56652</paraID>
      <start>10</start>
      <end>11</end>
      <status>modified</status>
      <modifiedWord>:</modifiedWord>
      <trackRevisions>false</trackRevisions>
    </reviewItem>
    <reviewItem>
      <errorID>5f801d39-3d02-49bf-9a60-a59daed39461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13B56652</paraID>
      <start>18</start>
      <end>19</end>
      <status>modified</status>
      <modifiedWord>:</modifiedWord>
      <trackRevisions>false</trackRevisions>
    </reviewItem>
    <reviewItem>
      <errorID>aa5b5718-1945-4f26-8316-bf55a34e6bb1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B18E052</paraID>
      <start>40</start>
      <end>41</end>
      <status>modified</status>
      <modifiedWord>，</modifiedWord>
      <trackRevisions>false</trackRevisions>
    </reviewItem>
    <reviewItem>
      <errorID>0115c590-d32f-44ec-aff6-4115c8e85b92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E2EF042</paraID>
      <start>56</start>
      <end>57</end>
      <status>modified</status>
      <modifiedWord>）</modifiedWord>
      <trackRevisions>false</trackRevisions>
    </reviewItem>
    <reviewItem>
      <errorID>de8c568c-2c81-448b-90d1-5be22a3ab1a2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10439A60</paraID>
      <start>18</start>
      <end>20</end>
      <status>modified</status>
      <modifiedWord>登录</modifiedWord>
      <trackRevisions>false</trackRevisions>
    </reviewItem>
    <reviewItem>
      <errorID>97a172dd-2a6b-4676-8cb0-7012aacf2cdd</errorID>
      <errorWord>明明</errorWord>
      <group>L1_Word</group>
      <groupName>字词问题</groupName>
      <ability>L2_Typo</ability>
      <abilityName>字词错误</abilityName>
      <candidateList>
        <item>明</item>
      </candidateList>
      <explain/>
      <paraID>10439A60</paraID>
      <start>71</start>
      <end>72</end>
      <status>modified</status>
      <modifiedWord>明</modifiedWord>
      <trackRevisions>false</trackRevisions>
    </reviewItem>
    <reviewItem>
      <errorID>35656d02-12d5-49e6-9631-ba441316d24a</errorID>
      <errorWord>国家企业信用信息公 示系统</errorWord>
      <group>L1_Political</group>
      <groupName>政治性问题</groupName>
      <ability>L2_Keyword</ability>
      <abilityName>固定表述</abilityName>
      <candidateList>
        <item>国家企业信用信息公示系统</item>
      </candidateList>
      <explain>词汇“国家企业信用信息公示系统”在特定场景下为固定表述形式，请确认此处的“国家企业信用信息公 示系统”是否存在不当。</explain>
      <paraID>6B71210F</paraID>
      <start>17</start>
      <end>29</end>
      <status>modified</status>
      <modifiedWord>国家企业信用信息公示系统</modifiedWord>
      <trackRevisions>false</trackRevisions>
    </reviewItem>
    <reviewItem>
      <errorID>af2298c2-ef4b-4187-93a4-792be8dedc0e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6B71210F</paraID>
      <start>92</start>
      <end>93</end>
      <status>modified</status>
      <modifiedWord>（</modifiedWord>
      <trackRevisions>false</trackRevisions>
    </reviewItem>
    <reviewItem>
      <errorID>edb951cd-f322-49b7-90e5-8e6d00bc5c91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6B71210F</paraID>
      <start>124</start>
      <end>125</end>
      <status>modified</status>
      <modifiedWord>)</modifiedWord>
      <trackRevisions>false</trackRevisions>
    </reviewItem>
    <reviewItem>
      <errorID>65054fe7-5081-4178-b3eb-93c17af1b2c9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14C9EB5A</paraID>
      <start>93</start>
      <end>94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881dff-2736-4711-a2d5-cbea514d3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1699</Characters>
  <Lines>0</Lines>
  <Paragraphs>0</Paragraphs>
  <TotalTime>5</TotalTime>
  <ScaleCrop>false</ScaleCrop>
  <LinksUpToDate>false</LinksUpToDate>
  <CharactersWithSpaces>1780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2025-12-05T02:01:00Z</dcterms:created>
  <dc:creator>beautiful lies</dc:creator>
  <cp:lastModifiedBy>beautiful lies</cp:lastModifiedBy>
  <dcterms:modified xsi:type="dcterms:W3CDTF">2025-12-05T03:01:35Z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7C8E693D615A407AB8B22633AB15EF53_11</vt:lpwstr>
  </property>
  <property fmtid="{D5CDD505-2E9C-101B-9397-08002B2CF9AE}" pid="4" name="KSOTemplateDocerSaveRecord">
    <vt:lpwstr>eyJoZGlkIjoiMGRjYzIwYmE3Y2YyNzAwZWU2NGQyMzQ0ZDhhYzAxZDAiLCJ1c2VySWQiOiIzMDA5MDE0OTcifQ==</vt:lpwstr>
  </property>
</Properties>
</file>