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utoSpaceDE w:val="0"/>
        <w:autoSpaceDN w:val="0"/>
        <w:spacing w:line="540" w:lineRule="exact"/>
        <w:jc w:val="center"/>
        <w:rPr>
          <w:rFonts w:hint="eastAsia" w:ascii="方正仿宋_GB2312" w:hAnsi="方正仿宋_GB2312" w:eastAsia="方正仿宋_GB2312" w:cs="方正仿宋_GB2312"/>
          <w:bCs/>
          <w:color w:val="000000"/>
          <w:sz w:val="32"/>
          <w:szCs w:val="32"/>
          <w:highlight w:val="none"/>
        </w:rPr>
      </w:pPr>
      <w:bookmarkStart w:id="0" w:name="OLE_LINK2"/>
      <w:r>
        <w:rPr>
          <w:rFonts w:hint="eastAsia" w:ascii="方正仿宋_GB2312" w:hAnsi="方正仿宋_GB2312" w:eastAsia="方正仿宋_GB2312" w:cs="方正仿宋_GB2312"/>
          <w:bCs/>
          <w:color w:val="000000"/>
          <w:sz w:val="32"/>
          <w:szCs w:val="32"/>
          <w:highlight w:val="none"/>
        </w:rPr>
        <w:t>采购公告</w:t>
      </w:r>
    </w:p>
    <w:p>
      <w:pPr>
        <w:autoSpaceDE w:val="0"/>
        <w:autoSpaceDN w:val="0"/>
        <w:spacing w:line="360" w:lineRule="auto"/>
        <w:rPr>
          <w:rFonts w:ascii="方正小标宋_GBK" w:hAnsi="宋体" w:eastAsia="方正小标宋_GBK" w:cs="宋体"/>
          <w:color w:val="000000"/>
          <w:sz w:val="32"/>
          <w:szCs w:val="32"/>
          <w:highlight w:val="none"/>
        </w:rPr>
      </w:pPr>
      <w:r>
        <w:rPr>
          <w:rFonts w:hint="eastAsia" w:ascii="方正小标宋_GBK" w:hAnsi="宋体" w:eastAsia="方正小标宋_GBK" w:cs="宋体"/>
          <w:color w:val="000000"/>
          <w:sz w:val="32"/>
          <w:szCs w:val="32"/>
          <w:highlight w:val="none"/>
        </w:rPr>
        <w:t xml:space="preserve">   </w:t>
      </w:r>
    </w:p>
    <w:p>
      <w:pPr>
        <w:pStyle w:val="2"/>
        <w:keepNext w:val="0"/>
        <w:keepLines w:val="0"/>
        <w:numPr>
          <w:ilvl w:val="0"/>
          <w:numId w:val="0"/>
        </w:numPr>
        <w:spacing w:before="0" w:after="0" w:line="360" w:lineRule="auto"/>
        <w:ind w:right="97" w:rightChars="46" w:firstLine="562" w:firstLineChars="200"/>
        <w:contextualSpacing/>
        <w:jc w:val="left"/>
        <w:rPr>
          <w:rFonts w:ascii="仿宋_GB2312" w:hAnsi="宋体" w:eastAsia="仿宋_GB2312" w:cs="宋体"/>
          <w:color w:val="000000"/>
          <w:sz w:val="28"/>
          <w:szCs w:val="28"/>
          <w:highlight w:val="none"/>
          <w:u w:val="none"/>
        </w:rPr>
      </w:pPr>
      <w:r>
        <w:rPr>
          <w:rFonts w:hint="eastAsia" w:ascii="仿宋_GB2312" w:hAnsi="宋体" w:eastAsia="仿宋_GB2312" w:cs="宋体"/>
          <w:color w:val="000000"/>
          <w:sz w:val="28"/>
          <w:szCs w:val="28"/>
          <w:highlight w:val="none"/>
          <w:u w:val="none"/>
          <w:lang w:val="en-US" w:eastAsia="zh-CN"/>
        </w:rPr>
        <w:t>1.</w:t>
      </w:r>
      <w:r>
        <w:rPr>
          <w:rFonts w:hint="eastAsia" w:ascii="仿宋_GB2312" w:hAnsi="宋体" w:eastAsia="仿宋_GB2312" w:cs="宋体"/>
          <w:color w:val="000000"/>
          <w:sz w:val="28"/>
          <w:szCs w:val="28"/>
          <w:highlight w:val="none"/>
          <w:u w:val="none"/>
        </w:rPr>
        <w:t>采购条件</w:t>
      </w:r>
    </w:p>
    <w:p>
      <w:pPr>
        <w:spacing w:line="360" w:lineRule="auto"/>
        <w:ind w:firstLine="560"/>
        <w:jc w:val="both"/>
        <w:rPr>
          <w:rFonts w:hint="eastAsia" w:ascii="仿宋GB2312" w:hAnsi="仿宋GB2312" w:eastAsia="仿宋GB2312" w:cs="仿宋GB2312"/>
          <w:color w:val="000000"/>
          <w:kern w:val="2"/>
          <w:sz w:val="28"/>
          <w:szCs w:val="28"/>
          <w:highlight w:val="none"/>
          <w:lang w:val="en-US" w:eastAsia="zh-CN" w:bidi="ar-SA"/>
        </w:rPr>
      </w:pPr>
      <w:bookmarkStart w:id="1" w:name="_Toc6994"/>
      <w:r>
        <w:rPr>
          <w:rFonts w:hint="eastAsia" w:ascii="仿宋GB2312" w:hAnsi="仿宋GB2312" w:eastAsia="仿宋GB2312" w:cs="仿宋GB2312"/>
          <w:color w:val="000000"/>
          <w:kern w:val="2"/>
          <w:sz w:val="28"/>
          <w:szCs w:val="28"/>
          <w:highlight w:val="none"/>
          <w:lang w:val="en-US" w:eastAsia="zh-CN" w:bidi="ar-SA"/>
        </w:rPr>
        <w:t>本采购项目为2026年3月-2026年8月中粮屯河番茄有限公司天津、上海、广州番茄粉公路配送项目竞价采购，采购人为中粮屯河番茄有限公司。</w:t>
      </w:r>
    </w:p>
    <w:p>
      <w:pPr>
        <w:numPr>
          <w:ilvl w:val="0"/>
          <w:numId w:val="0"/>
        </w:numPr>
        <w:autoSpaceDE w:val="0"/>
        <w:autoSpaceDN w:val="0"/>
        <w:spacing w:line="360" w:lineRule="auto"/>
        <w:ind w:firstLine="562" w:firstLineChars="200"/>
        <w:contextualSpacing/>
        <w:rPr>
          <w:rFonts w:hint="eastAsia" w:ascii="仿宋GB2312" w:hAnsi="仿宋GB2312" w:eastAsia="仿宋GB2312" w:cs="仿宋GB2312"/>
          <w:color w:val="000000"/>
          <w:kern w:val="2"/>
          <w:sz w:val="28"/>
          <w:szCs w:val="28"/>
          <w:highlight w:val="none"/>
          <w:lang w:val="en-US" w:eastAsia="zh-CN" w:bidi="ar-SA"/>
        </w:rPr>
      </w:pPr>
      <w:r>
        <w:rPr>
          <w:rFonts w:hint="eastAsia" w:ascii="仿宋_GB2312" w:hAnsi="宋体" w:eastAsia="仿宋_GB2312" w:cs="宋体"/>
          <w:b/>
          <w:color w:val="000000"/>
          <w:sz w:val="28"/>
          <w:szCs w:val="28"/>
          <w:highlight w:val="none"/>
          <w:lang w:val="en-US" w:eastAsia="zh-CN"/>
        </w:rPr>
        <w:t>2.</w:t>
      </w:r>
      <w:r>
        <w:rPr>
          <w:rFonts w:hint="eastAsia" w:ascii="仿宋_GB2312" w:hAnsi="宋体" w:eastAsia="仿宋_GB2312" w:cs="宋体"/>
          <w:b/>
          <w:color w:val="000000"/>
          <w:sz w:val="28"/>
          <w:szCs w:val="28"/>
          <w:highlight w:val="none"/>
        </w:rPr>
        <w:t>项目名称：</w:t>
      </w:r>
      <w:r>
        <w:rPr>
          <w:rFonts w:hint="eastAsia" w:ascii="仿宋GB2312" w:hAnsi="仿宋GB2312" w:eastAsia="仿宋GB2312" w:cs="仿宋GB2312"/>
          <w:sz w:val="28"/>
          <w:szCs w:val="28"/>
          <w:highlight w:val="none"/>
          <w:lang w:val="en-US" w:eastAsia="zh-CN"/>
        </w:rPr>
        <w:t>2026年3月-2026年8月中粮屯河番茄天津、上海、广州番茄粉库房公路配送项目竞价采购</w:t>
      </w:r>
    </w:p>
    <w:p>
      <w:pPr>
        <w:numPr>
          <w:ilvl w:val="0"/>
          <w:numId w:val="0"/>
        </w:numPr>
        <w:autoSpaceDE w:val="0"/>
        <w:autoSpaceDN w:val="0"/>
        <w:spacing w:line="360" w:lineRule="auto"/>
        <w:ind w:left="567" w:leftChars="0"/>
        <w:contextualSpacing/>
        <w:rPr>
          <w:rFonts w:hint="eastAsia" w:ascii="仿宋_GB2312" w:hAnsi="宋体" w:eastAsia="仿宋_GB2312" w:cs="宋体"/>
          <w:b/>
          <w:color w:val="000000"/>
          <w:sz w:val="28"/>
          <w:szCs w:val="28"/>
          <w:highlight w:val="none"/>
          <w:lang w:val="en-US" w:eastAsia="zh-CN"/>
        </w:rPr>
      </w:pPr>
      <w:r>
        <w:rPr>
          <w:rFonts w:hint="eastAsia" w:ascii="仿宋_GB2312" w:hAnsi="宋体" w:eastAsia="仿宋_GB2312" w:cs="宋体"/>
          <w:b/>
          <w:color w:val="000000"/>
          <w:sz w:val="28"/>
          <w:szCs w:val="28"/>
          <w:highlight w:val="none"/>
        </w:rPr>
        <w:t>3. 项目概况</w:t>
      </w:r>
      <w:bookmarkEnd w:id="1"/>
      <w:r>
        <w:rPr>
          <w:rFonts w:hint="eastAsia" w:ascii="仿宋_GB2312" w:hAnsi="宋体" w:eastAsia="仿宋_GB2312" w:cs="宋体"/>
          <w:b/>
          <w:color w:val="000000"/>
          <w:sz w:val="28"/>
          <w:szCs w:val="28"/>
          <w:highlight w:val="none"/>
          <w:lang w:eastAsia="zh-CN"/>
        </w:rPr>
        <w:t>和采购范围</w:t>
      </w:r>
    </w:p>
    <w:p>
      <w:pPr>
        <w:spacing w:line="360" w:lineRule="auto"/>
        <w:ind w:left="-31" w:leftChars="-15" w:firstLine="566"/>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b/>
          <w:bCs/>
          <w:sz w:val="28"/>
          <w:szCs w:val="28"/>
          <w:highlight w:val="none"/>
          <w:lang w:val="zh-CN" w:eastAsia="zh-CN"/>
        </w:rPr>
        <w:t>3.1采购范围：</w:t>
      </w:r>
      <w:r>
        <w:rPr>
          <w:rFonts w:hint="eastAsia" w:ascii="仿宋GB2312" w:hAnsi="仿宋GB2312" w:eastAsia="仿宋GB2312" w:cs="仿宋GB2312"/>
          <w:sz w:val="28"/>
          <w:szCs w:val="28"/>
          <w:highlight w:val="none"/>
          <w:lang w:val="en-US" w:eastAsia="zh-CN"/>
        </w:rPr>
        <w:t>项目起始地自天津、上海、广州番茄粉库至客户指定地点的配送服务。</w:t>
      </w:r>
    </w:p>
    <w:p>
      <w:pPr>
        <w:autoSpaceDE w:val="0"/>
        <w:autoSpaceDN w:val="0"/>
        <w:spacing w:line="360" w:lineRule="auto"/>
        <w:ind w:left="-31" w:leftChars="-15" w:firstLine="566"/>
        <w:rPr>
          <w:rFonts w:hint="eastAsia" w:ascii="仿宋GB2312" w:hAnsi="仿宋GB2312" w:eastAsia="仿宋GB2312" w:cs="仿宋GB2312"/>
          <w:b/>
          <w:bCs/>
          <w:sz w:val="28"/>
          <w:szCs w:val="28"/>
          <w:highlight w:val="none"/>
          <w:lang w:val="en-US" w:eastAsia="zh-CN"/>
        </w:rPr>
      </w:pPr>
      <w:r>
        <w:rPr>
          <w:rFonts w:hint="eastAsia" w:ascii="仿宋GB2312" w:hAnsi="仿宋GB2312" w:eastAsia="仿宋GB2312" w:cs="仿宋GB2312"/>
          <w:b/>
          <w:bCs/>
          <w:sz w:val="28"/>
          <w:szCs w:val="28"/>
          <w:highlight w:val="none"/>
          <w:lang w:val="en-US" w:eastAsia="zh-CN"/>
        </w:rPr>
        <w:t>3.2服务需求：</w:t>
      </w:r>
    </w:p>
    <w:p>
      <w:pPr>
        <w:spacing w:line="360" w:lineRule="auto"/>
        <w:ind w:firstLine="560"/>
        <w:jc w:val="both"/>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甲方委托乙方承运货物，自起运地至甲方指定目的地的番茄产品的公路长途运输业务，交货地点为甲方指定的目的地客户工厂（包括外租库房），到货后的装卸作业操作均由收货人自行承担（特殊情况另说明）。其他具体说明如下：</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3.2.1起运地、收货人及承运目的地、到货时间：以甲方书面通知和中粮糖业电子采购平台显示信息为准；具体业务操作有效运输周期以发运计划约定为准。</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3.2.2运输路线和运价：以中粮糖业电子采购平台的中标线路金额为准。除上述费用外，乙方不得以任何理由再向甲方收取其他形式额外的任何费用。</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3.2.3乙方应保证各运输线路充足的运输能力（包括节假日，春节停运通知应书面发送给甲方），按甲方要求按时、按质、按量并安全地将产品运送到甲方指定地点并交给指定的收货人，如因乙方运力不足造成甲方客户工厂停产等一切经济损失由乙方承担。并负责自甲方货物装运离开起运地（离开—工厂后）至甲方指定目的地的产品质量、数量保全责任，期间发生的产品受污染、破损及短少等一切损失均由乙方承担。</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3.2.4乙方车辆必须车容干净整洁，并备有干净苫布（上盖）、不得在车内混装其它存在安全、污染源的物品；无论晴天雨天，乙方指定现场理货人员和司机有责任在装车前确保车厢干净无污染。装车后用干净防水的盖布将纸箱产品盖好、捆好。每次装、卸车，乙方必须指定现场理货人员认真清点核准数量，按要求填好货物销售交接单/货物移库交接单和收货签收单，产品离开工厂（或外租库房）后一切责任、损失均由乙方承担。乙方司机必须遵守起运地、目的地相关制度规章、规定，服从现场人员指挥和管理，否则由此产生的费用、损失均由乙方自行承担。</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3.2.5未经甲方书面同意，乙方不得将合同项下权利义务转让给第三方，否则甲方有权单方面解除本合同。乙方应对运输车辆的运输行为向甲方承担全部法律责任。</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3.2.6乙方有权拒收污染、潮箱、结块、破袋等有质量问题的产品装车，否则由此造成的甲方客户拒收而出现的责任及损失、索赔均由乙方承担。</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3.2.7客户签收当日，最晚不超过两天将客户签收上传至甲方指定的到货签收小程序，作为后续结算费用依据。</w:t>
      </w:r>
    </w:p>
    <w:p>
      <w:pPr>
        <w:spacing w:line="360" w:lineRule="auto"/>
        <w:ind w:firstLine="560"/>
        <w:jc w:val="both"/>
        <w:rPr>
          <w:rFonts w:hint="default"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3.2.8乙方对甲方商业信息予以保密，及时与甲方沟通配货信息及货物运送状态。</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3.2.9具体结算采取乙方垫付的方式进行，按照协议中的条款履约完毕后，乙方于每月与甲方核对当月产生的各项费用，双方核对无误后，乙方提供增值税税率9％的公路运输发票及盖章版账单给甲方。</w:t>
      </w:r>
    </w:p>
    <w:p>
      <w:pPr>
        <w:spacing w:line="360" w:lineRule="auto"/>
        <w:ind w:firstLine="560"/>
        <w:jc w:val="both"/>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3.2.10支付费用实际付款单位为</w:t>
      </w:r>
      <w:r>
        <w:rPr>
          <w:rFonts w:hint="eastAsia" w:ascii="仿宋GB2312" w:hAnsi="仿宋GB2312" w:eastAsia="仿宋GB2312" w:cs="仿宋GB2312"/>
          <w:b/>
          <w:bCs/>
          <w:sz w:val="28"/>
          <w:szCs w:val="28"/>
          <w:highlight w:val="none"/>
          <w:lang w:val="en-US" w:eastAsia="zh-CN"/>
        </w:rPr>
        <w:t>“中粮屯河番茄有限公司”，实际发票开票抬头为各分子公司；</w:t>
      </w:r>
      <w:r>
        <w:rPr>
          <w:rFonts w:hint="eastAsia" w:ascii="仿宋GB2312" w:hAnsi="仿宋GB2312" w:eastAsia="仿宋GB2312" w:cs="仿宋GB2312"/>
          <w:sz w:val="28"/>
          <w:szCs w:val="28"/>
          <w:highlight w:val="none"/>
          <w:lang w:val="en-US" w:eastAsia="zh-CN"/>
        </w:rPr>
        <w:t>可提供我司与分子公司授权委托书证明文件，请确认可行性后具体报价。</w:t>
      </w:r>
    </w:p>
    <w:p>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4.供应商资质：</w:t>
      </w:r>
    </w:p>
    <w:p>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4.1具有本项目实施能力，符合、承认并承诺履行本文件各项规定的国内法人或其他组织或自然人；</w:t>
      </w:r>
    </w:p>
    <w:p>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4.2 近三年以来企业信誉、财务状况良好，没有处于被责令停产停业、暂扣或者吊销执照、暂扣或者吊销许可证、吊销资质证书状态；没有进入清算程序，或被宣告财产接管、冻结、破产，或其他丧失履约能力的情形；没有骗取中标、严重失信违约及违法违规行为；</w:t>
      </w:r>
    </w:p>
    <w:p>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4.3与采购人存在利害关系可能影响采购投标公正性的法人、其他组织或者个人，不得参加投标；单位负责人为同一人或者存在控股、管理关系的不同单位，不得参加同一包件投标或者未划分包件的同一采购项目投标；存在以上情况的，在通过资格预审的情况下，允许最先报名的潜在投标人参与投标；</w:t>
      </w:r>
    </w:p>
    <w:p>
      <w:pPr>
        <w:rPr>
          <w:rFonts w:hint="eastAsia" w:ascii="仿宋GB2312" w:hAnsi="仿宋GB2312" w:eastAsia="仿宋GB2312" w:cs="仿宋GB2312"/>
          <w:color w:val="000000"/>
          <w:kern w:val="2"/>
          <w:sz w:val="28"/>
          <w:szCs w:val="28"/>
          <w:highlight w:val="none"/>
          <w:lang w:val="en-US" w:eastAsia="zh-CN" w:bidi="ar-SA"/>
        </w:rPr>
      </w:pPr>
      <w:r>
        <w:rPr>
          <w:rFonts w:hint="eastAsia" w:ascii="仿宋GB2312" w:hAnsi="仿宋GB2312" w:eastAsia="仿宋GB2312" w:cs="仿宋GB2312"/>
          <w:color w:val="000000"/>
          <w:kern w:val="2"/>
          <w:sz w:val="28"/>
          <w:szCs w:val="28"/>
          <w:highlight w:val="none"/>
          <w:lang w:val="en-US" w:eastAsia="zh-CN" w:bidi="ar-SA"/>
        </w:rPr>
        <w:t>4.4被冻结供应关系、列入中粮糖业投标人黑名单的企业不得参加投标。</w:t>
      </w:r>
    </w:p>
    <w:p>
      <w:pPr>
        <w:rPr>
          <w:rFonts w:hint="eastAsia" w:ascii="仿宋GB2312" w:hAnsi="仿宋GB2312" w:eastAsia="仿宋GB2312" w:cs="仿宋GB2312"/>
          <w:b/>
          <w:bCs/>
          <w:color w:val="000000"/>
          <w:kern w:val="2"/>
          <w:sz w:val="28"/>
          <w:szCs w:val="28"/>
          <w:highlight w:val="none"/>
          <w:u w:val="none"/>
          <w:lang w:val="en-US" w:eastAsia="zh-CN" w:bidi="ar-SA"/>
        </w:rPr>
      </w:pPr>
      <w:r>
        <w:rPr>
          <w:rFonts w:hint="eastAsia" w:ascii="仿宋GB2312" w:hAnsi="仿宋GB2312" w:eastAsia="仿宋GB2312" w:cs="仿宋GB2312"/>
          <w:b/>
          <w:bCs/>
          <w:color w:val="000000"/>
          <w:kern w:val="2"/>
          <w:sz w:val="28"/>
          <w:szCs w:val="28"/>
          <w:highlight w:val="none"/>
          <w:u w:val="none"/>
          <w:lang w:val="en-US" w:eastAsia="zh-CN" w:bidi="ar-SA"/>
        </w:rPr>
        <w:t>5.竞价采购说明：</w:t>
      </w:r>
    </w:p>
    <w:p>
      <w:pPr>
        <w:spacing w:line="360" w:lineRule="auto"/>
        <w:contextualSpacing/>
        <w:rPr>
          <w:rFonts w:hint="default" w:ascii="仿宋GB2312" w:hAnsi="仿宋GB2312" w:eastAsia="仿宋GB2312" w:cs="仿宋GB2312"/>
          <w:color w:val="000000"/>
          <w:sz w:val="28"/>
          <w:szCs w:val="28"/>
          <w:highlight w:val="none"/>
          <w:lang w:val="en-US" w:eastAsia="zh-CN"/>
        </w:rPr>
      </w:pPr>
      <w:bookmarkStart w:id="2" w:name="OLE_LINK3"/>
      <w:r>
        <w:rPr>
          <w:rFonts w:hint="eastAsia" w:ascii="仿宋GB2312" w:hAnsi="仿宋GB2312" w:eastAsia="仿宋GB2312" w:cs="仿宋GB2312"/>
          <w:color w:val="000000"/>
          <w:sz w:val="28"/>
          <w:szCs w:val="28"/>
          <w:highlight w:val="none"/>
          <w:lang w:val="en-US" w:eastAsia="zh-CN"/>
        </w:rPr>
        <w:t>5.1本次采购以竞价采购方式确定最终服务商</w:t>
      </w:r>
      <w:bookmarkStart w:id="3" w:name="_Toc21651"/>
      <w:r>
        <w:rPr>
          <w:rFonts w:hint="eastAsia" w:ascii="仿宋GB2312" w:hAnsi="仿宋GB2312" w:eastAsia="仿宋GB2312" w:cs="仿宋GB2312"/>
          <w:color w:val="000000"/>
          <w:sz w:val="28"/>
          <w:szCs w:val="28"/>
          <w:highlight w:val="none"/>
          <w:lang w:val="en-US" w:eastAsia="zh-CN"/>
        </w:rPr>
        <w:t>，具体方式详见项目说明书。</w:t>
      </w:r>
    </w:p>
    <w:bookmarkEnd w:id="3"/>
    <w:p>
      <w:pPr>
        <w:spacing w:line="360" w:lineRule="auto"/>
        <w:contextualSpacing/>
        <w:rPr>
          <w:rFonts w:hint="eastAsia" w:ascii="仿宋GB2312" w:hAnsi="仿宋GB2312" w:eastAsia="仿宋GB2312" w:cs="仿宋GB2312"/>
          <w:color w:val="000000"/>
          <w:sz w:val="28"/>
          <w:szCs w:val="28"/>
          <w:highlight w:val="none"/>
        </w:rPr>
      </w:pPr>
      <w:bookmarkStart w:id="4" w:name="_Toc43732955"/>
      <w:bookmarkStart w:id="5" w:name="OLE_LINK1"/>
      <w:r>
        <w:rPr>
          <w:rFonts w:hint="eastAsia" w:ascii="仿宋GB2312" w:hAnsi="仿宋GB2312" w:eastAsia="仿宋GB2312" w:cs="仿宋GB2312"/>
          <w:color w:val="000000"/>
          <w:sz w:val="28"/>
          <w:szCs w:val="28"/>
          <w:highlight w:val="none"/>
          <w:lang w:val="en-US" w:eastAsia="zh-CN"/>
        </w:rPr>
        <w:t>5.2</w:t>
      </w:r>
      <w:r>
        <w:rPr>
          <w:rFonts w:hint="eastAsia" w:ascii="仿宋GB2312" w:hAnsi="仿宋GB2312" w:eastAsia="仿宋GB2312" w:cs="仿宋GB2312"/>
          <w:color w:val="000000"/>
          <w:sz w:val="28"/>
          <w:szCs w:val="28"/>
          <w:highlight w:val="none"/>
        </w:rPr>
        <w:t>本次</w:t>
      </w:r>
      <w:bookmarkEnd w:id="4"/>
      <w:bookmarkStart w:id="6" w:name="_Toc13094"/>
      <w:bookmarkStart w:id="7" w:name="_Toc32404"/>
      <w:bookmarkStart w:id="8" w:name="_Toc9870"/>
      <w:bookmarkStart w:id="9" w:name="_Toc25787"/>
      <w:bookmarkStart w:id="10" w:name="_Toc18249"/>
      <w:bookmarkStart w:id="11" w:name="_Toc5837"/>
      <w:bookmarkStart w:id="12" w:name="_Toc1597"/>
      <w:bookmarkStart w:id="13" w:name="_Toc25027"/>
      <w:bookmarkStart w:id="14" w:name="_Toc30288"/>
      <w:bookmarkStart w:id="15" w:name="_Toc17966"/>
      <w:bookmarkStart w:id="16" w:name="_Toc27851"/>
      <w:bookmarkStart w:id="17" w:name="_Toc26629"/>
      <w:bookmarkStart w:id="18" w:name="_Toc12326"/>
      <w:r>
        <w:rPr>
          <w:rFonts w:hint="eastAsia" w:ascii="仿宋GB2312" w:hAnsi="仿宋GB2312" w:eastAsia="仿宋GB2312" w:cs="仿宋GB2312"/>
          <w:color w:val="000000"/>
          <w:sz w:val="28"/>
          <w:szCs w:val="28"/>
          <w:highlight w:val="none"/>
          <w:lang w:val="en-US" w:eastAsia="zh-CN"/>
        </w:rPr>
        <w:t>竞价项目</w:t>
      </w:r>
      <w:r>
        <w:rPr>
          <w:rFonts w:hint="eastAsia" w:ascii="仿宋GB2312" w:hAnsi="仿宋GB2312" w:eastAsia="仿宋GB2312" w:cs="仿宋GB2312"/>
          <w:color w:val="000000"/>
          <w:sz w:val="28"/>
          <w:szCs w:val="28"/>
          <w:highlight w:val="none"/>
        </w:rPr>
        <w:t>在</w:t>
      </w:r>
      <w:r>
        <w:rPr>
          <w:rFonts w:hint="eastAsia" w:ascii="仿宋GB2312" w:hAnsi="仿宋GB2312" w:eastAsia="仿宋GB2312" w:cs="仿宋GB2312"/>
          <w:color w:val="000000"/>
          <w:sz w:val="28"/>
          <w:szCs w:val="28"/>
          <w:highlight w:val="none"/>
          <w:lang w:val="en-US" w:eastAsia="zh-CN"/>
        </w:rPr>
        <w:t>中粮糖业电子采购平台中</w:t>
      </w:r>
      <w:r>
        <w:rPr>
          <w:rFonts w:hint="eastAsia" w:ascii="仿宋GB2312" w:hAnsi="仿宋GB2312" w:eastAsia="仿宋GB2312" w:cs="仿宋GB2312"/>
          <w:color w:val="000000"/>
          <w:sz w:val="28"/>
          <w:szCs w:val="28"/>
          <w:highlight w:val="none"/>
        </w:rPr>
        <w:t>公开发布。</w:t>
      </w:r>
      <w:r>
        <w:rPr>
          <w:rFonts w:hint="default" w:ascii="仿宋GB2312" w:hAnsi="仿宋GB2312" w:eastAsia="仿宋GB2312" w:cs="仿宋GB2312"/>
          <w:color w:val="000000"/>
          <w:sz w:val="28"/>
          <w:szCs w:val="28"/>
          <w:highlight w:val="none"/>
        </w:rPr>
        <w:t>供应商需在202</w:t>
      </w:r>
      <w:r>
        <w:rPr>
          <w:rFonts w:hint="eastAsia" w:ascii="仿宋GB2312" w:hAnsi="仿宋GB2312" w:eastAsia="仿宋GB2312" w:cs="仿宋GB2312"/>
          <w:color w:val="000000"/>
          <w:sz w:val="28"/>
          <w:szCs w:val="28"/>
          <w:highlight w:val="none"/>
          <w:lang w:val="en-US" w:eastAsia="zh-CN"/>
        </w:rPr>
        <w:t>6</w:t>
      </w:r>
      <w:r>
        <w:rPr>
          <w:rFonts w:hint="default" w:ascii="仿宋GB2312" w:hAnsi="仿宋GB2312" w:eastAsia="仿宋GB2312" w:cs="仿宋GB2312"/>
          <w:color w:val="000000"/>
          <w:sz w:val="28"/>
          <w:szCs w:val="28"/>
          <w:highlight w:val="none"/>
        </w:rPr>
        <w:t>年</w:t>
      </w:r>
      <w:r>
        <w:rPr>
          <w:rFonts w:hint="eastAsia" w:ascii="仿宋GB2312" w:hAnsi="仿宋GB2312" w:eastAsia="仿宋GB2312" w:cs="仿宋GB2312"/>
          <w:color w:val="000000"/>
          <w:sz w:val="28"/>
          <w:szCs w:val="28"/>
          <w:highlight w:val="none"/>
          <w:lang w:val="en-US" w:eastAsia="zh-CN"/>
        </w:rPr>
        <w:t>1</w:t>
      </w:r>
      <w:r>
        <w:rPr>
          <w:rFonts w:hint="default" w:ascii="仿宋GB2312" w:hAnsi="仿宋GB2312" w:eastAsia="仿宋GB2312" w:cs="仿宋GB2312"/>
          <w:color w:val="000000"/>
          <w:sz w:val="28"/>
          <w:szCs w:val="28"/>
          <w:highlight w:val="none"/>
        </w:rPr>
        <w:t>月</w:t>
      </w:r>
      <w:r>
        <w:rPr>
          <w:rFonts w:hint="eastAsia" w:ascii="仿宋GB2312" w:hAnsi="仿宋GB2312" w:eastAsia="仿宋GB2312" w:cs="仿宋GB2312"/>
          <w:color w:val="000000"/>
          <w:sz w:val="28"/>
          <w:szCs w:val="28"/>
          <w:highlight w:val="none"/>
          <w:lang w:val="en-US" w:eastAsia="zh-CN"/>
        </w:rPr>
        <w:t>22</w:t>
      </w:r>
      <w:r>
        <w:rPr>
          <w:rFonts w:hint="default" w:ascii="仿宋GB2312" w:hAnsi="仿宋GB2312" w:eastAsia="仿宋GB2312" w:cs="仿宋GB2312"/>
          <w:color w:val="000000"/>
          <w:sz w:val="28"/>
          <w:szCs w:val="28"/>
          <w:highlight w:val="none"/>
        </w:rPr>
        <w:t>日17：00前在中粮糖业EPS采购平台</w:t>
      </w:r>
      <w:r>
        <w:rPr>
          <w:rFonts w:hint="eastAsia" w:ascii="仿宋GB2312" w:hAnsi="仿宋GB2312" w:eastAsia="仿宋GB2312" w:cs="仿宋GB2312"/>
          <w:color w:val="000000"/>
          <w:sz w:val="28"/>
          <w:szCs w:val="28"/>
          <w:highlight w:val="none"/>
        </w:rPr>
        <w:fldChar w:fldCharType="begin"/>
      </w:r>
      <w:r>
        <w:rPr>
          <w:rFonts w:hint="eastAsia" w:ascii="仿宋GB2312" w:hAnsi="仿宋GB2312" w:eastAsia="仿宋GB2312" w:cs="仿宋GB2312"/>
          <w:color w:val="000000"/>
          <w:sz w:val="28"/>
          <w:szCs w:val="28"/>
          <w:highlight w:val="none"/>
        </w:rPr>
        <w:instrText xml:space="preserve"> HYPERLINK "https://eps.tunhe.com/Supplier/ForeSupplier/QwRegStepStart%EF%BC%89%E5%AE%8C%E6%88%90%E6%B3%A8%E5%86%8C%EF%BC%9B2024%E5%B9%B45%E6%9C%8831%E6%97%A59%E7%82%B9%E5%89%8D%E5%AE%8C%E6%88%90%E7%B3%BB%E7%BB%9F%E6%8A%A5%E5%90%8D%EF%BC%9B%E9%87%87%E8%B4%AD%E4%BA%BA%E7%BB%84%E7%BB%87%E8%B5%84%E6%A0%BC%E5%AE%A1%E6%9F%A5%E5%90%88%E6%A0%BC%E5%90%8E%EF%BC%8C%E4%BE%9B%E5%BA%94%E5%95%862024%E5%B9%B46%E6%9C%883%E6%97%A5%E9%80%9A%E8%BF%87EPS%E9%87%87%E8%B4%AD%E5%B9%B3%E5%8F%B0%E8%8E%B7%E5%8F%96%E9%87%87%E8%B4%AD%E6%96%87%E4%BB%B6%EF%BC%9B2024%E5%B9%B46%E6%9C%8811%E6%97%A59%E7%82%B9%E5%89%8D%E5%9C%A8%E4%B8%AD%E7%B2%AE%E7%B3%96%E4%B8%9AEPS%E9%87%87%E8%B4%AD%E5%B9%B3%E5%8F%B0%E4%B8%8A%E6%8C%89%E9%87%87%E8%B4%AD%E6%96%87%E4%BB%B6%E8%AF%B4%E6%98%8E%E6%9D%A1%E6%AC%BE%E6%8F%90%E4%BE%9B%E7%9B%B8%E5%85%B3%E8%B5%84%E6%96%99%E5%B9%B6%E6%8F%90%E4%BA%A4%E7%AC%AC%E4%B8%80%E8%BD%AE%E6%8A%A5%E4%BB%B7(%E8%BF%87%E6%9C%9F%E6%97%A0%E6%95%88)%E3%80%82" </w:instrText>
      </w:r>
      <w:r>
        <w:rPr>
          <w:rFonts w:hint="eastAsia" w:ascii="仿宋GB2312" w:hAnsi="仿宋GB2312" w:eastAsia="仿宋GB2312" w:cs="仿宋GB2312"/>
          <w:color w:val="000000"/>
          <w:sz w:val="28"/>
          <w:szCs w:val="28"/>
          <w:highlight w:val="none"/>
        </w:rPr>
        <w:fldChar w:fldCharType="separate"/>
      </w:r>
      <w:r>
        <w:rPr>
          <w:rFonts w:hint="default" w:ascii="仿宋GB2312" w:hAnsi="仿宋GB2312" w:eastAsia="仿宋GB2312" w:cs="仿宋GB2312"/>
          <w:color w:val="000000"/>
          <w:sz w:val="28"/>
          <w:szCs w:val="28"/>
          <w:highlight w:val="none"/>
        </w:rPr>
        <w:t>完成注册；供应商202</w:t>
      </w:r>
      <w:r>
        <w:rPr>
          <w:rFonts w:hint="eastAsia" w:ascii="仿宋GB2312" w:hAnsi="仿宋GB2312" w:eastAsia="仿宋GB2312" w:cs="仿宋GB2312"/>
          <w:color w:val="000000"/>
          <w:sz w:val="28"/>
          <w:szCs w:val="28"/>
          <w:highlight w:val="none"/>
          <w:lang w:val="en-US" w:eastAsia="zh-CN"/>
        </w:rPr>
        <w:t>6</w:t>
      </w:r>
      <w:r>
        <w:rPr>
          <w:rFonts w:hint="default" w:ascii="仿宋GB2312" w:hAnsi="仿宋GB2312" w:eastAsia="仿宋GB2312" w:cs="仿宋GB2312"/>
          <w:color w:val="000000"/>
          <w:sz w:val="28"/>
          <w:szCs w:val="28"/>
          <w:highlight w:val="none"/>
        </w:rPr>
        <w:t>年</w:t>
      </w:r>
      <w:r>
        <w:rPr>
          <w:rFonts w:hint="eastAsia" w:ascii="仿宋GB2312" w:hAnsi="仿宋GB2312" w:eastAsia="仿宋GB2312" w:cs="仿宋GB2312"/>
          <w:color w:val="000000"/>
          <w:sz w:val="28"/>
          <w:szCs w:val="28"/>
          <w:highlight w:val="none"/>
          <w:lang w:val="en-US" w:eastAsia="zh-CN"/>
        </w:rPr>
        <w:t>1</w:t>
      </w:r>
      <w:r>
        <w:rPr>
          <w:rFonts w:hint="default" w:ascii="仿宋GB2312" w:hAnsi="仿宋GB2312" w:eastAsia="仿宋GB2312" w:cs="仿宋GB2312"/>
          <w:color w:val="000000"/>
          <w:sz w:val="28"/>
          <w:szCs w:val="28"/>
          <w:highlight w:val="none"/>
        </w:rPr>
        <w:t>月</w:t>
      </w:r>
      <w:r>
        <w:rPr>
          <w:rFonts w:hint="eastAsia" w:ascii="仿宋GB2312" w:hAnsi="仿宋GB2312" w:eastAsia="仿宋GB2312" w:cs="仿宋GB2312"/>
          <w:color w:val="000000"/>
          <w:sz w:val="28"/>
          <w:szCs w:val="28"/>
          <w:highlight w:val="none"/>
          <w:lang w:val="en-US" w:eastAsia="zh-CN"/>
        </w:rPr>
        <w:t>23</w:t>
      </w:r>
      <w:r>
        <w:rPr>
          <w:rFonts w:hint="default" w:ascii="仿宋GB2312" w:hAnsi="仿宋GB2312" w:eastAsia="仿宋GB2312" w:cs="仿宋GB2312"/>
          <w:color w:val="000000"/>
          <w:sz w:val="28"/>
          <w:szCs w:val="28"/>
          <w:highlight w:val="none"/>
        </w:rPr>
        <w:t>日通过EPS采购平台获取采购文件；202</w:t>
      </w:r>
      <w:r>
        <w:rPr>
          <w:rFonts w:hint="eastAsia" w:ascii="仿宋GB2312" w:hAnsi="仿宋GB2312" w:eastAsia="仿宋GB2312" w:cs="仿宋GB2312"/>
          <w:color w:val="000000"/>
          <w:sz w:val="28"/>
          <w:szCs w:val="28"/>
          <w:highlight w:val="none"/>
          <w:lang w:val="en-US" w:eastAsia="zh-CN"/>
        </w:rPr>
        <w:t>6</w:t>
      </w:r>
      <w:r>
        <w:rPr>
          <w:rFonts w:hint="default" w:ascii="仿宋GB2312" w:hAnsi="仿宋GB2312" w:eastAsia="仿宋GB2312" w:cs="仿宋GB2312"/>
          <w:color w:val="000000"/>
          <w:sz w:val="28"/>
          <w:szCs w:val="28"/>
          <w:highlight w:val="none"/>
        </w:rPr>
        <w:t>年</w:t>
      </w:r>
      <w:r>
        <w:rPr>
          <w:rFonts w:hint="eastAsia" w:ascii="仿宋GB2312" w:hAnsi="仿宋GB2312" w:eastAsia="仿宋GB2312" w:cs="仿宋GB2312"/>
          <w:color w:val="000000"/>
          <w:sz w:val="28"/>
          <w:szCs w:val="28"/>
          <w:highlight w:val="none"/>
          <w:lang w:val="en-US" w:eastAsia="zh-CN"/>
        </w:rPr>
        <w:t>1</w:t>
      </w:r>
      <w:r>
        <w:rPr>
          <w:rFonts w:hint="default" w:ascii="仿宋GB2312" w:hAnsi="仿宋GB2312" w:eastAsia="仿宋GB2312" w:cs="仿宋GB2312"/>
          <w:color w:val="000000"/>
          <w:sz w:val="28"/>
          <w:szCs w:val="28"/>
          <w:highlight w:val="none"/>
        </w:rPr>
        <w:t>月</w:t>
      </w:r>
      <w:r>
        <w:rPr>
          <w:rFonts w:hint="eastAsia" w:ascii="仿宋GB2312" w:hAnsi="仿宋GB2312" w:eastAsia="仿宋GB2312" w:cs="仿宋GB2312"/>
          <w:color w:val="000000"/>
          <w:sz w:val="28"/>
          <w:szCs w:val="28"/>
          <w:highlight w:val="none"/>
          <w:lang w:val="en-US" w:eastAsia="zh-CN"/>
        </w:rPr>
        <w:t>28</w:t>
      </w:r>
      <w:bookmarkStart w:id="19" w:name="_GoBack"/>
      <w:bookmarkEnd w:id="19"/>
      <w:r>
        <w:rPr>
          <w:rFonts w:hint="default" w:ascii="仿宋GB2312" w:hAnsi="仿宋GB2312" w:eastAsia="仿宋GB2312" w:cs="仿宋GB2312"/>
          <w:color w:val="000000"/>
          <w:sz w:val="28"/>
          <w:szCs w:val="28"/>
          <w:highlight w:val="none"/>
        </w:rPr>
        <w:t>日9点前在中粮糖业EPS采购平台提交报价(过期无效)。</w:t>
      </w:r>
      <w:r>
        <w:rPr>
          <w:rFonts w:hint="default" w:ascii="仿宋GB2312" w:hAnsi="仿宋GB2312" w:eastAsia="仿宋GB2312" w:cs="仿宋GB2312"/>
          <w:color w:val="000000"/>
          <w:sz w:val="28"/>
          <w:szCs w:val="28"/>
          <w:highlight w:val="none"/>
        </w:rPr>
        <w:fldChar w:fldCharType="end"/>
      </w:r>
      <w:bookmarkEnd w:id="2"/>
    </w:p>
    <w:p>
      <w:pPr>
        <w:spacing w:line="360" w:lineRule="auto"/>
        <w:contextualSpacing/>
        <w:rPr>
          <w:rFonts w:hint="eastAsia" w:ascii="仿宋GB2312" w:hAnsi="仿宋GB2312" w:eastAsia="仿宋GB2312" w:cs="仿宋GB2312"/>
          <w:b/>
          <w:color w:val="000000"/>
          <w:sz w:val="28"/>
          <w:szCs w:val="28"/>
          <w:highlight w:val="none"/>
        </w:rPr>
      </w:pPr>
      <w:r>
        <w:rPr>
          <w:rFonts w:hint="eastAsia" w:ascii="仿宋GB2312" w:hAnsi="仿宋GB2312" w:eastAsia="仿宋GB2312" w:cs="仿宋GB2312"/>
          <w:b/>
          <w:color w:val="000000"/>
          <w:sz w:val="28"/>
          <w:szCs w:val="28"/>
          <w:highlight w:val="none"/>
          <w:lang w:val="en-US" w:eastAsia="zh-CN"/>
        </w:rPr>
        <w:t>6</w:t>
      </w:r>
      <w:r>
        <w:rPr>
          <w:rFonts w:hint="eastAsia" w:ascii="仿宋GB2312" w:hAnsi="仿宋GB2312" w:eastAsia="仿宋GB2312" w:cs="仿宋GB2312"/>
          <w:b/>
          <w:color w:val="000000"/>
          <w:sz w:val="28"/>
          <w:szCs w:val="28"/>
          <w:highlight w:val="none"/>
        </w:rPr>
        <w:t xml:space="preserve">. </w:t>
      </w:r>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GB2312" w:hAnsi="仿宋GB2312" w:eastAsia="仿宋GB2312" w:cs="仿宋GB2312"/>
          <w:b/>
          <w:color w:val="000000"/>
          <w:sz w:val="28"/>
          <w:szCs w:val="28"/>
          <w:highlight w:val="none"/>
        </w:rPr>
        <w:t>采购人信息</w:t>
      </w:r>
    </w:p>
    <w:bookmarkEnd w:id="5"/>
    <w:p>
      <w:pPr>
        <w:spacing w:line="360" w:lineRule="auto"/>
        <w:ind w:left="-31" w:leftChars="-15" w:firstLine="599"/>
        <w:contextualSpacing/>
        <w:rPr>
          <w:rFonts w:hint="eastAsia" w:ascii="仿宋GB2312" w:hAnsi="仿宋GB2312" w:eastAsia="仿宋GB2312" w:cs="仿宋GB2312"/>
          <w:sz w:val="28"/>
          <w:szCs w:val="28"/>
          <w:highlight w:val="none"/>
        </w:rPr>
      </w:pPr>
      <w:r>
        <w:rPr>
          <w:rFonts w:hint="eastAsia" w:ascii="仿宋GB2312" w:hAnsi="仿宋GB2312" w:eastAsia="仿宋GB2312" w:cs="仿宋GB2312"/>
          <w:color w:val="000000"/>
          <w:sz w:val="28"/>
          <w:szCs w:val="28"/>
          <w:highlight w:val="none"/>
        </w:rPr>
        <w:t>采购人名称：中粮屯河番茄有限</w:t>
      </w:r>
      <w:r>
        <w:rPr>
          <w:rFonts w:hint="eastAsia" w:ascii="仿宋GB2312" w:hAnsi="仿宋GB2312" w:eastAsia="仿宋GB2312" w:cs="仿宋GB2312"/>
          <w:sz w:val="28"/>
          <w:szCs w:val="28"/>
          <w:highlight w:val="none"/>
        </w:rPr>
        <w:t>公司</w:t>
      </w:r>
    </w:p>
    <w:p>
      <w:pPr>
        <w:spacing w:line="360" w:lineRule="auto"/>
        <w:ind w:left="-31" w:leftChars="-15" w:firstLine="599"/>
        <w:contextualSpacing/>
        <w:rPr>
          <w:rFonts w:hint="eastAsia" w:ascii="仿宋GB2312" w:hAnsi="仿宋GB2312" w:eastAsia="仿宋GB2312" w:cs="仿宋GB2312"/>
          <w:sz w:val="28"/>
          <w:szCs w:val="28"/>
          <w:highlight w:val="none"/>
        </w:rPr>
      </w:pPr>
      <w:r>
        <w:rPr>
          <w:rFonts w:hint="eastAsia" w:ascii="仿宋GB2312" w:hAnsi="仿宋GB2312" w:eastAsia="仿宋GB2312" w:cs="仿宋GB2312"/>
          <w:sz w:val="28"/>
          <w:szCs w:val="28"/>
          <w:highlight w:val="none"/>
        </w:rPr>
        <w:t>采购人地址：天津滨海新区开发区第二大街泰达MSD-G1-801室</w:t>
      </w:r>
    </w:p>
    <w:p>
      <w:pPr>
        <w:spacing w:line="360" w:lineRule="auto"/>
        <w:ind w:left="-31" w:leftChars="-15" w:firstLine="599"/>
        <w:contextualSpacing/>
        <w:rPr>
          <w:rFonts w:hint="eastAsia"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联系人：</w:t>
      </w:r>
      <w:r>
        <w:rPr>
          <w:rFonts w:hint="eastAsia" w:ascii="仿宋GB2312" w:hAnsi="仿宋GB2312" w:eastAsia="仿宋GB2312" w:cs="仿宋GB2312"/>
          <w:color w:val="000000"/>
          <w:sz w:val="28"/>
          <w:szCs w:val="28"/>
          <w:highlight w:val="none"/>
          <w:lang w:val="en-US" w:eastAsia="zh-CN"/>
        </w:rPr>
        <w:t>王晶</w:t>
      </w:r>
      <w:r>
        <w:rPr>
          <w:rFonts w:hint="eastAsia" w:ascii="仿宋GB2312" w:hAnsi="仿宋GB2312" w:eastAsia="仿宋GB2312" w:cs="仿宋GB2312"/>
          <w:color w:val="000000"/>
          <w:sz w:val="28"/>
          <w:szCs w:val="28"/>
          <w:highlight w:val="none"/>
        </w:rPr>
        <w:t xml:space="preserve">  联系电话：022-66287904</w:t>
      </w:r>
    </w:p>
    <w:p>
      <w:pPr>
        <w:spacing w:line="360" w:lineRule="auto"/>
        <w:ind w:left="-31" w:leftChars="-15" w:firstLine="599"/>
        <w:contextualSpacing/>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采购业务监督人员及电话：</w:t>
      </w:r>
    </w:p>
    <w:p>
      <w:pPr>
        <w:spacing w:line="360" w:lineRule="auto"/>
        <w:ind w:left="-31" w:leftChars="-15" w:firstLine="599"/>
        <w:contextualSpacing/>
        <w:rPr>
          <w:rFonts w:hint="eastAsia" w:ascii="仿宋GB2312" w:hAnsi="仿宋GB2312" w:eastAsia="仿宋GB2312" w:cs="仿宋GB2312"/>
          <w:sz w:val="28"/>
          <w:szCs w:val="28"/>
          <w:highlight w:val="none"/>
          <w:lang w:val="en-US" w:eastAsia="zh-CN"/>
        </w:rPr>
      </w:pPr>
      <w:r>
        <w:rPr>
          <w:rFonts w:hint="eastAsia" w:ascii="仿宋GB2312" w:hAnsi="仿宋GB2312" w:eastAsia="仿宋GB2312" w:cs="仿宋GB2312"/>
          <w:sz w:val="28"/>
          <w:szCs w:val="28"/>
          <w:highlight w:val="none"/>
          <w:lang w:val="en-US" w:eastAsia="zh-CN"/>
        </w:rPr>
        <w:t>杨丽娟 022-66287909  邮箱：</w:t>
      </w:r>
      <w:r>
        <w:rPr>
          <w:rFonts w:hint="eastAsia" w:ascii="仿宋GB2312" w:hAnsi="仿宋GB2312" w:eastAsia="仿宋GB2312" w:cs="仿宋GB2312"/>
          <w:sz w:val="28"/>
          <w:szCs w:val="28"/>
          <w:highlight w:val="none"/>
          <w:lang w:val="en-US" w:eastAsia="zh-CN"/>
        </w:rPr>
        <w:fldChar w:fldCharType="begin"/>
      </w:r>
      <w:r>
        <w:rPr>
          <w:rFonts w:hint="eastAsia" w:ascii="仿宋GB2312" w:hAnsi="仿宋GB2312" w:eastAsia="仿宋GB2312" w:cs="仿宋GB2312"/>
          <w:sz w:val="28"/>
          <w:szCs w:val="28"/>
          <w:highlight w:val="none"/>
          <w:lang w:val="en-US" w:eastAsia="zh-CN"/>
        </w:rPr>
        <w:instrText xml:space="preserve"> HYPERLINK "mailto:yanglj.th@cofco.com" </w:instrText>
      </w:r>
      <w:r>
        <w:rPr>
          <w:rFonts w:hint="eastAsia" w:ascii="仿宋GB2312" w:hAnsi="仿宋GB2312" w:eastAsia="仿宋GB2312" w:cs="仿宋GB2312"/>
          <w:sz w:val="28"/>
          <w:szCs w:val="28"/>
          <w:highlight w:val="none"/>
          <w:lang w:val="en-US" w:eastAsia="zh-CN"/>
        </w:rPr>
        <w:fldChar w:fldCharType="separate"/>
      </w:r>
      <w:r>
        <w:rPr>
          <w:rFonts w:hint="eastAsia" w:ascii="仿宋GB2312" w:hAnsi="仿宋GB2312" w:eastAsia="仿宋GB2312" w:cs="仿宋GB2312"/>
          <w:sz w:val="28"/>
          <w:szCs w:val="28"/>
          <w:highlight w:val="none"/>
          <w:lang w:val="en-US" w:eastAsia="zh-CN"/>
        </w:rPr>
        <w:t>yanglj.th@cofco.com</w:t>
      </w:r>
      <w:r>
        <w:rPr>
          <w:rFonts w:hint="eastAsia" w:ascii="仿宋GB2312" w:hAnsi="仿宋GB2312" w:eastAsia="仿宋GB2312" w:cs="仿宋GB2312"/>
          <w:sz w:val="28"/>
          <w:szCs w:val="28"/>
          <w:highlight w:val="none"/>
          <w:lang w:val="en-US" w:eastAsia="zh-CN"/>
        </w:rPr>
        <w:fldChar w:fldCharType="end"/>
      </w:r>
    </w:p>
    <w:p>
      <w:pPr>
        <w:pStyle w:val="6"/>
        <w:spacing w:line="360" w:lineRule="auto"/>
        <w:rPr>
          <w:rFonts w:hint="eastAsia" w:hAnsi="宋体" w:cs="宋体"/>
          <w:b/>
          <w:bCs/>
          <w:kern w:val="0"/>
          <w:sz w:val="28"/>
          <w:szCs w:val="28"/>
          <w:highlight w:val="none"/>
        </w:rPr>
      </w:pPr>
      <w:r>
        <w:rPr>
          <w:rFonts w:hint="eastAsia" w:hAnsi="宋体" w:cs="宋体"/>
          <w:b/>
          <w:bCs/>
          <w:kern w:val="0"/>
          <w:sz w:val="28"/>
          <w:szCs w:val="28"/>
          <w:highlight w:val="none"/>
          <w:lang w:val="en-US" w:eastAsia="zh-CN"/>
        </w:rPr>
        <w:t>7</w:t>
      </w:r>
      <w:r>
        <w:rPr>
          <w:rFonts w:hint="eastAsia" w:hAnsi="宋体" w:cs="宋体"/>
          <w:b/>
          <w:bCs/>
          <w:kern w:val="0"/>
          <w:sz w:val="28"/>
          <w:szCs w:val="28"/>
          <w:highlight w:val="none"/>
        </w:rPr>
        <w:t>.监督部门及电话</w:t>
      </w:r>
    </w:p>
    <w:p>
      <w:pPr>
        <w:spacing w:line="360" w:lineRule="auto"/>
        <w:ind w:left="-31" w:leftChars="-15" w:firstLine="599"/>
        <w:contextualSpacing/>
        <w:rPr>
          <w:rFonts w:hint="eastAsia"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 xml:space="preserve">公司纪委办公室及电话：010－85017235    </w:t>
      </w:r>
    </w:p>
    <w:p>
      <w:pPr>
        <w:spacing w:line="360" w:lineRule="auto"/>
        <w:ind w:left="-31" w:leftChars="-15" w:firstLine="599"/>
        <w:contextualSpacing/>
        <w:rPr>
          <w:rFonts w:ascii="仿宋GB2312" w:hAnsi="仿宋GB2312" w:eastAsia="仿宋GB2312" w:cs="仿宋GB2312"/>
          <w:color w:val="000000"/>
          <w:sz w:val="28"/>
          <w:szCs w:val="28"/>
          <w:highlight w:val="none"/>
        </w:rPr>
      </w:pPr>
      <w:r>
        <w:rPr>
          <w:rFonts w:hint="eastAsia" w:ascii="仿宋GB2312" w:hAnsi="仿宋GB2312" w:eastAsia="仿宋GB2312" w:cs="仿宋GB2312"/>
          <w:color w:val="000000"/>
          <w:sz w:val="28"/>
          <w:szCs w:val="28"/>
          <w:highlight w:val="none"/>
        </w:rPr>
        <w:t>通信地址：北京市朝阳区朝阳门南大街8号中粮福临门大厦9层905室，中粮糖业纪委办公室收，邮编：100020。</w:t>
      </w:r>
    </w:p>
    <w:bookmarkEnd w:id="0"/>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A097684-AB3B-4165-A9BF-634303B5560D}"/>
  </w:font>
  <w:font w:name="方正小标宋_GBK">
    <w:panose1 w:val="02000000000000000000"/>
    <w:charset w:val="86"/>
    <w:family w:val="script"/>
    <w:pitch w:val="default"/>
    <w:sig w:usb0="A00002BF" w:usb1="38CF7CFA" w:usb2="00082016" w:usb3="00000000" w:csb0="00040001" w:csb1="00000000"/>
    <w:embedRegular r:id="rId2" w:fontKey="{69939FE7-8197-465D-85DB-225E351D04D6}"/>
  </w:font>
  <w:font w:name="仿宋_GB2312">
    <w:panose1 w:val="02010609030101010101"/>
    <w:charset w:val="86"/>
    <w:family w:val="modern"/>
    <w:pitch w:val="default"/>
    <w:sig w:usb0="00000001" w:usb1="080E0000" w:usb2="00000000" w:usb3="00000000" w:csb0="00040000" w:csb1="00000000"/>
    <w:embedRegular r:id="rId3" w:fontKey="{97C60D8E-C769-4CA1-97A8-013924941081}"/>
  </w:font>
  <w:font w:name="仿宋GB2312">
    <w:altName w:val="仿宋"/>
    <w:panose1 w:val="00000000000000000000"/>
    <w:charset w:val="00"/>
    <w:family w:val="auto"/>
    <w:pitch w:val="default"/>
    <w:sig w:usb0="00000000" w:usb1="00000000" w:usb2="00000000" w:usb3="00000000" w:csb0="00040001" w:csb1="00000000"/>
    <w:embedRegular r:id="rId4" w:fontKey="{6ECF9437-976F-4786-957D-4A945D2B62E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36578"/>
    <w:rsid w:val="000E3FC3"/>
    <w:rsid w:val="00136578"/>
    <w:rsid w:val="001D7A90"/>
    <w:rsid w:val="003C468C"/>
    <w:rsid w:val="00685D65"/>
    <w:rsid w:val="006D7D23"/>
    <w:rsid w:val="00E7316B"/>
    <w:rsid w:val="036D1D1F"/>
    <w:rsid w:val="04333FF8"/>
    <w:rsid w:val="045C7160"/>
    <w:rsid w:val="049D2F69"/>
    <w:rsid w:val="04DE5A80"/>
    <w:rsid w:val="05EB1182"/>
    <w:rsid w:val="068648B3"/>
    <w:rsid w:val="08090817"/>
    <w:rsid w:val="081D2FF5"/>
    <w:rsid w:val="0A823F35"/>
    <w:rsid w:val="0AC92FC0"/>
    <w:rsid w:val="0B6D6F7E"/>
    <w:rsid w:val="0C024C00"/>
    <w:rsid w:val="0C6503FE"/>
    <w:rsid w:val="0D8E4FD0"/>
    <w:rsid w:val="0EC63E70"/>
    <w:rsid w:val="1057106E"/>
    <w:rsid w:val="107C2601"/>
    <w:rsid w:val="133E603D"/>
    <w:rsid w:val="137B79FD"/>
    <w:rsid w:val="14894F33"/>
    <w:rsid w:val="15E038B4"/>
    <w:rsid w:val="164305EE"/>
    <w:rsid w:val="16FF0B9E"/>
    <w:rsid w:val="18D51CD4"/>
    <w:rsid w:val="19820396"/>
    <w:rsid w:val="1ACB3F69"/>
    <w:rsid w:val="1AE6371B"/>
    <w:rsid w:val="1B3610EF"/>
    <w:rsid w:val="1B563D8B"/>
    <w:rsid w:val="1CDC52DF"/>
    <w:rsid w:val="1E081BFA"/>
    <w:rsid w:val="209E05F3"/>
    <w:rsid w:val="216347D8"/>
    <w:rsid w:val="230404DE"/>
    <w:rsid w:val="2443573A"/>
    <w:rsid w:val="248544AB"/>
    <w:rsid w:val="27822DBB"/>
    <w:rsid w:val="2ABB3DEA"/>
    <w:rsid w:val="2B4601F1"/>
    <w:rsid w:val="2B911481"/>
    <w:rsid w:val="2BDA4281"/>
    <w:rsid w:val="2C0C0B99"/>
    <w:rsid w:val="2E9B17D4"/>
    <w:rsid w:val="2EBC4A66"/>
    <w:rsid w:val="2FD83F6E"/>
    <w:rsid w:val="310D3357"/>
    <w:rsid w:val="312A215B"/>
    <w:rsid w:val="336D632F"/>
    <w:rsid w:val="34D32B0A"/>
    <w:rsid w:val="37F0752F"/>
    <w:rsid w:val="38C509BB"/>
    <w:rsid w:val="38D64977"/>
    <w:rsid w:val="3A59760D"/>
    <w:rsid w:val="3B710987"/>
    <w:rsid w:val="3CA54D8C"/>
    <w:rsid w:val="3D4665CC"/>
    <w:rsid w:val="3D6F1DD3"/>
    <w:rsid w:val="3DAA0180"/>
    <w:rsid w:val="40C4149A"/>
    <w:rsid w:val="413E4F19"/>
    <w:rsid w:val="426E5C20"/>
    <w:rsid w:val="43983BAB"/>
    <w:rsid w:val="44C665AE"/>
    <w:rsid w:val="44D92131"/>
    <w:rsid w:val="457C33B4"/>
    <w:rsid w:val="46FD1F42"/>
    <w:rsid w:val="476A2E5A"/>
    <w:rsid w:val="4B460B4B"/>
    <w:rsid w:val="4C7C6201"/>
    <w:rsid w:val="4D3A32CE"/>
    <w:rsid w:val="4E15561E"/>
    <w:rsid w:val="4EB95D41"/>
    <w:rsid w:val="5001589E"/>
    <w:rsid w:val="503723C1"/>
    <w:rsid w:val="505B08D6"/>
    <w:rsid w:val="50C25AB5"/>
    <w:rsid w:val="50C71E13"/>
    <w:rsid w:val="51B178D7"/>
    <w:rsid w:val="52D1282F"/>
    <w:rsid w:val="53A2757D"/>
    <w:rsid w:val="54492650"/>
    <w:rsid w:val="554F18E1"/>
    <w:rsid w:val="557355CF"/>
    <w:rsid w:val="55856814"/>
    <w:rsid w:val="5586096A"/>
    <w:rsid w:val="55A41C2D"/>
    <w:rsid w:val="575011EB"/>
    <w:rsid w:val="575843F2"/>
    <w:rsid w:val="57612B7A"/>
    <w:rsid w:val="58966F0B"/>
    <w:rsid w:val="5A62322F"/>
    <w:rsid w:val="5AB6629C"/>
    <w:rsid w:val="5B9067AF"/>
    <w:rsid w:val="5BED08BF"/>
    <w:rsid w:val="5C090A3C"/>
    <w:rsid w:val="5C397F04"/>
    <w:rsid w:val="5F593600"/>
    <w:rsid w:val="60003F04"/>
    <w:rsid w:val="62D11B87"/>
    <w:rsid w:val="63AB284B"/>
    <w:rsid w:val="643E14B1"/>
    <w:rsid w:val="654F3237"/>
    <w:rsid w:val="66B04DD0"/>
    <w:rsid w:val="67B723F5"/>
    <w:rsid w:val="69207BCC"/>
    <w:rsid w:val="6B833C3B"/>
    <w:rsid w:val="6C305B70"/>
    <w:rsid w:val="6E100967"/>
    <w:rsid w:val="6E1D0376"/>
    <w:rsid w:val="6E346ECC"/>
    <w:rsid w:val="70037BB6"/>
    <w:rsid w:val="708178DE"/>
    <w:rsid w:val="72C6430B"/>
    <w:rsid w:val="73BD5F6B"/>
    <w:rsid w:val="73F22937"/>
    <w:rsid w:val="74546668"/>
    <w:rsid w:val="75D05CCE"/>
    <w:rsid w:val="78111377"/>
    <w:rsid w:val="78855618"/>
    <w:rsid w:val="798474E4"/>
    <w:rsid w:val="79AA32D3"/>
    <w:rsid w:val="79B67EF4"/>
    <w:rsid w:val="79BF5AD7"/>
    <w:rsid w:val="7AE4164A"/>
    <w:rsid w:val="7AF95CC7"/>
    <w:rsid w:val="7B4460F7"/>
    <w:rsid w:val="7C4A3006"/>
    <w:rsid w:val="7CEC5AE4"/>
    <w:rsid w:val="7D385F76"/>
    <w:rsid w:val="7E543F0E"/>
    <w:rsid w:val="7EC3792E"/>
    <w:rsid w:val="7EC8196C"/>
    <w:rsid w:val="7F2A1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autoRedefine/>
    <w:qFormat/>
    <w:uiPriority w:val="0"/>
    <w:pPr>
      <w:keepNext/>
      <w:keepLines/>
      <w:spacing w:before="260" w:after="260" w:line="416" w:lineRule="auto"/>
      <w:outlineLvl w:val="1"/>
    </w:pPr>
    <w:rPr>
      <w:rFonts w:ascii="Arial" w:hAnsi="Arial" w:eastAsia="黑体"/>
      <w:b/>
      <w:bCs/>
      <w:color w:val="CCCCFF"/>
      <w:sz w:val="32"/>
      <w:szCs w:val="32"/>
      <w:u w:val="single"/>
    </w:rPr>
  </w:style>
  <w:style w:type="paragraph" w:styleId="3">
    <w:name w:val="heading 3"/>
    <w:basedOn w:val="1"/>
    <w:next w:val="1"/>
    <w:autoRedefine/>
    <w:qFormat/>
    <w:uiPriority w:val="0"/>
    <w:pPr>
      <w:keepNext/>
      <w:keepLines/>
      <w:spacing w:before="260" w:after="260" w:line="416" w:lineRule="auto"/>
      <w:outlineLvl w:val="2"/>
    </w:pPr>
    <w:rPr>
      <w:rFonts w:ascii="Book Antiqua" w:hAnsi="Book Antiqua" w:eastAsia="隶书"/>
      <w:b/>
      <w:bCs/>
      <w:color w:val="CCCCFF"/>
      <w:sz w:val="32"/>
      <w:szCs w:val="32"/>
      <w:u w:val="single"/>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4">
    <w:name w:val="Body Text"/>
    <w:basedOn w:val="1"/>
    <w:link w:val="14"/>
    <w:autoRedefine/>
    <w:unhideWhenUsed/>
    <w:qFormat/>
    <w:uiPriority w:val="99"/>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link w:val="15"/>
    <w:autoRedefine/>
    <w:qFormat/>
    <w:uiPriority w:val="0"/>
    <w:rPr>
      <w:rFonts w:ascii="宋体" w:hAnsi="Courier New" w:cs="Times New Roman"/>
      <w:szCs w:val="22"/>
    </w:rPr>
  </w:style>
  <w:style w:type="paragraph" w:styleId="7">
    <w:name w:val="Balloon Text"/>
    <w:basedOn w:val="1"/>
    <w:link w:val="16"/>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autoRedefine/>
    <w:qFormat/>
    <w:uiPriority w:val="0"/>
    <w:rPr>
      <w:color w:val="0000FF"/>
      <w:u w:val="single"/>
    </w:rPr>
  </w:style>
  <w:style w:type="character" w:customStyle="1" w:styleId="13">
    <w:name w:val="标题 2 字符"/>
    <w:link w:val="2"/>
    <w:autoRedefine/>
    <w:qFormat/>
    <w:uiPriority w:val="0"/>
    <w:rPr>
      <w:rFonts w:ascii="Arial" w:hAnsi="Arial" w:eastAsia="黑体" w:cs="Times New Roman"/>
      <w:b/>
      <w:bCs/>
      <w:color w:val="CCCCFF"/>
      <w:sz w:val="32"/>
      <w:szCs w:val="32"/>
      <w:u w:val="single"/>
    </w:rPr>
  </w:style>
  <w:style w:type="character" w:customStyle="1" w:styleId="14">
    <w:name w:val="正文文本 Char"/>
    <w:basedOn w:val="11"/>
    <w:link w:val="4"/>
    <w:autoRedefine/>
    <w:qFormat/>
    <w:uiPriority w:val="99"/>
    <w:rPr>
      <w:rFonts w:ascii="Times New Roman" w:hAnsi="Times New Roman" w:eastAsia="宋体" w:cs="Times New Roman"/>
      <w:szCs w:val="24"/>
    </w:rPr>
  </w:style>
  <w:style w:type="character" w:customStyle="1" w:styleId="15">
    <w:name w:val="纯文本 字符"/>
    <w:link w:val="6"/>
    <w:autoRedefine/>
    <w:qFormat/>
    <w:uiPriority w:val="0"/>
    <w:rPr>
      <w:rFonts w:ascii="宋体" w:hAnsi="Courier New" w:eastAsia="宋体"/>
    </w:rPr>
  </w:style>
  <w:style w:type="character" w:customStyle="1" w:styleId="16">
    <w:name w:val="批注框文本 Char"/>
    <w:basedOn w:val="11"/>
    <w:link w:val="7"/>
    <w:autoRedefine/>
    <w:semiHidden/>
    <w:qFormat/>
    <w:uiPriority w:val="99"/>
    <w:rPr>
      <w:rFonts w:ascii="Times New Roman" w:hAnsi="Times New Roman" w:eastAsia="宋体" w:cs="Times New Roman"/>
      <w:sz w:val="18"/>
      <w:szCs w:val="18"/>
    </w:rPr>
  </w:style>
  <w:style w:type="character" w:customStyle="1" w:styleId="17">
    <w:name w:val="页脚 Char"/>
    <w:basedOn w:val="11"/>
    <w:link w:val="8"/>
    <w:autoRedefine/>
    <w:qFormat/>
    <w:uiPriority w:val="99"/>
    <w:rPr>
      <w:sz w:val="18"/>
      <w:szCs w:val="18"/>
    </w:rPr>
  </w:style>
  <w:style w:type="character" w:customStyle="1" w:styleId="18">
    <w:name w:val="页眉 Char"/>
    <w:basedOn w:val="11"/>
    <w:link w:val="9"/>
    <w:autoRedefine/>
    <w:qFormat/>
    <w:uiPriority w:val="99"/>
    <w:rPr>
      <w:sz w:val="18"/>
      <w:szCs w:val="18"/>
    </w:rPr>
  </w:style>
  <w:style w:type="character" w:customStyle="1" w:styleId="19">
    <w:name w:val="标题 2 Char"/>
    <w:basedOn w:val="11"/>
    <w:autoRedefine/>
    <w:semiHidden/>
    <w:qFormat/>
    <w:uiPriority w:val="9"/>
    <w:rPr>
      <w:rFonts w:ascii="Calibri Light" w:hAnsi="Calibri Light" w:eastAsia="宋体" w:cs="Times New Roman"/>
      <w:b/>
      <w:bCs/>
      <w:sz w:val="32"/>
      <w:szCs w:val="32"/>
    </w:rPr>
  </w:style>
  <w:style w:type="paragraph" w:styleId="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纯文本 Char"/>
    <w:basedOn w:val="11"/>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1737</Words>
  <Characters>1878</Characters>
  <Lines>11</Lines>
  <Paragraphs>3</Paragraphs>
  <TotalTime>38</TotalTime>
  <ScaleCrop>false</ScaleCrop>
  <LinksUpToDate>false</LinksUpToDate>
  <CharactersWithSpaces>1894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2021-05-07T04:42:00Z</dcterms:created>
  <dc:creator>chenchen</dc:creator>
  <cp:lastModifiedBy>梁东胜_liangdongsheng</cp:lastModifiedBy>
  <dcterms:modified xsi:type="dcterms:W3CDTF">2026-01-20T00:37:34Z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B10D8DDD8D6544B7B1073A85B355A9BF_13</vt:lpwstr>
  </property>
  <property fmtid="{D5CDD505-2E9C-101B-9397-08002B2CF9AE}" pid="4" name="KSOSaveFontToCloudKey">
    <vt:lpwstr>611430864_btnclosed</vt:lpwstr>
  </property>
  <property fmtid="{D5CDD505-2E9C-101B-9397-08002B2CF9AE}" pid="5" name="KSOTemplateDocerSaveRecord">
    <vt:lpwstr>eyJoZGlkIjoiMzEwNTM5NzYwMDRjMzkwZTVkZjY2ODkwMGIxNGU0OTUiLCJ1c2VySWQiOiI1MjAyMTAzNjYifQ==</vt:lpwstr>
  </property>
</Properties>
</file>